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1016D1" w14:paraId="7D36257A" w14:textId="77777777" w:rsidTr="00425111">
        <w:trPr>
          <w:trHeight w:hRule="exact" w:val="1418"/>
        </w:trPr>
        <w:tc>
          <w:tcPr>
            <w:tcW w:w="6804" w:type="dxa"/>
            <w:shd w:val="clear" w:color="auto" w:fill="auto"/>
            <w:vAlign w:val="center"/>
          </w:tcPr>
          <w:p w14:paraId="2C00FDFB" w14:textId="77777777" w:rsidR="00757DD5" w:rsidRPr="001016D1" w:rsidRDefault="00FB3D83" w:rsidP="00425111">
            <w:pPr>
              <w:pStyle w:val="EPName"/>
              <w:rPr>
                <w:lang w:val="en-GB"/>
              </w:rPr>
            </w:pPr>
            <w:r w:rsidRPr="001016D1">
              <w:rPr>
                <w:lang w:val="en-GB"/>
              </w:rPr>
              <w:t>European Parliament</w:t>
            </w:r>
          </w:p>
          <w:p w14:paraId="3D1C48CC" w14:textId="77777777" w:rsidR="00757DD5" w:rsidRPr="001016D1" w:rsidRDefault="00FB3D83" w:rsidP="00425111">
            <w:pPr>
              <w:pStyle w:val="EPTerm"/>
              <w:rPr>
                <w:rStyle w:val="HideTWBExt"/>
                <w:vanish w:val="0"/>
                <w:lang w:val="en-GB"/>
              </w:rPr>
            </w:pPr>
            <w:r w:rsidRPr="001016D1">
              <w:rPr>
                <w:lang w:val="en-GB"/>
              </w:rPr>
              <w:t>2024-2029</w:t>
            </w:r>
          </w:p>
        </w:tc>
        <w:tc>
          <w:tcPr>
            <w:tcW w:w="2268" w:type="dxa"/>
            <w:shd w:val="clear" w:color="auto" w:fill="auto"/>
          </w:tcPr>
          <w:p w14:paraId="01217FF2" w14:textId="77777777" w:rsidR="00757DD5" w:rsidRPr="001016D1" w:rsidRDefault="00172070" w:rsidP="00425111">
            <w:pPr>
              <w:pStyle w:val="EPLogo"/>
            </w:pPr>
            <w:r w:rsidRPr="001016D1">
              <w:rPr>
                <w:noProof/>
              </w:rPr>
              <w:drawing>
                <wp:inline distT="0" distB="0" distL="0" distR="0" wp14:anchorId="6BC3E6EA" wp14:editId="557E7FF7">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148ACDD" w14:textId="77777777" w:rsidR="008E7632" w:rsidRPr="001016D1" w:rsidRDefault="008E7632" w:rsidP="008E7632">
      <w:pPr>
        <w:pStyle w:val="LineTop"/>
        <w:rPr>
          <w:lang w:val="en-GB"/>
        </w:rPr>
      </w:pPr>
    </w:p>
    <w:p w14:paraId="7C1C5CBE" w14:textId="77777777" w:rsidR="008E7632" w:rsidRPr="001016D1" w:rsidRDefault="00FB3D83" w:rsidP="008E7632">
      <w:pPr>
        <w:pStyle w:val="ZSessionDoc"/>
        <w:rPr>
          <w:b/>
          <w:i w:val="0"/>
        </w:rPr>
      </w:pPr>
      <w:r w:rsidRPr="001016D1">
        <w:rPr>
          <w:b/>
          <w:i w:val="0"/>
        </w:rPr>
        <w:t>TEXTS ADOPTED</w:t>
      </w:r>
    </w:p>
    <w:p w14:paraId="671EE9A5" w14:textId="77777777" w:rsidR="008E7632" w:rsidRPr="001016D1" w:rsidRDefault="00FB3D83" w:rsidP="008E7632">
      <w:pPr>
        <w:pStyle w:val="LineBottom"/>
      </w:pPr>
      <w:r w:rsidRPr="001016D1">
        <w:rPr>
          <w:rFonts w:cs="Arial"/>
          <w:i/>
          <w:sz w:val="20"/>
          <w:szCs w:val="22"/>
        </w:rPr>
        <w:t xml:space="preserve"> </w:t>
      </w:r>
    </w:p>
    <w:p w14:paraId="27F64C43" w14:textId="48E8A798" w:rsidR="009C4014" w:rsidRPr="001016D1" w:rsidRDefault="00FB3D83" w:rsidP="008E7632">
      <w:pPr>
        <w:pStyle w:val="ATHeading1"/>
        <w:spacing w:before="480"/>
        <w:rPr>
          <w:lang w:val="en-GB"/>
        </w:rPr>
      </w:pPr>
      <w:bookmarkStart w:id="0" w:name="TA_Heading"/>
      <w:r w:rsidRPr="001016D1">
        <w:rPr>
          <w:lang w:val="en-GB"/>
        </w:rPr>
        <w:t>P10_TA(2026)</w:t>
      </w:r>
      <w:bookmarkStart w:id="1" w:name="TANumber"/>
      <w:bookmarkEnd w:id="0"/>
      <w:r w:rsidRPr="001016D1">
        <w:rPr>
          <w:lang w:val="en-GB"/>
        </w:rPr>
        <w:t>0</w:t>
      </w:r>
      <w:r w:rsidR="005A35B0">
        <w:rPr>
          <w:lang w:val="en-GB"/>
        </w:rPr>
        <w:t>24</w:t>
      </w:r>
      <w:r w:rsidRPr="001016D1">
        <w:rPr>
          <w:lang w:val="en-GB"/>
        </w:rPr>
        <w:t>0</w:t>
      </w:r>
      <w:bookmarkEnd w:id="1"/>
    </w:p>
    <w:p w14:paraId="2ED880B4" w14:textId="2376AE61" w:rsidR="009C4014" w:rsidRPr="001016D1" w:rsidRDefault="00FB3D83" w:rsidP="00FB3D83">
      <w:pPr>
        <w:pStyle w:val="ATHeading2"/>
        <w:rPr>
          <w:lang w:val="en-GB"/>
        </w:rPr>
      </w:pPr>
      <w:bookmarkStart w:id="2" w:name="Etoiles"/>
      <w:bookmarkEnd w:id="2"/>
      <w:r w:rsidRPr="001016D1">
        <w:rPr>
          <w:lang w:val="en-GB"/>
        </w:rPr>
        <w:t>Temporary support and payment of advances regarding the increased fertiliser prices due to the Middle East crisis</w:t>
      </w:r>
    </w:p>
    <w:p w14:paraId="42CE557A" w14:textId="3329CBF2" w:rsidR="009C4014" w:rsidRPr="001016D1" w:rsidRDefault="009C4014" w:rsidP="009C4014">
      <w:pPr>
        <w:rPr>
          <w:i/>
          <w:vanish/>
          <w:lang w:val="en-GB"/>
        </w:rPr>
      </w:pPr>
      <w:r w:rsidRPr="001016D1">
        <w:rPr>
          <w:i/>
        </w:rPr>
        <w:fldChar w:fldCharType="begin"/>
      </w:r>
      <w:r w:rsidRPr="001016D1">
        <w:rPr>
          <w:i/>
          <w:lang w:val="en-GB"/>
        </w:rPr>
        <w:instrText xml:space="preserve"> TC"</w:instrText>
      </w:r>
      <w:bookmarkStart w:id="3" w:name="DocNumber"/>
      <w:r w:rsidR="00FB3D83" w:rsidRPr="001016D1">
        <w:rPr>
          <w:i/>
          <w:lang w:val="en-GB"/>
        </w:rPr>
        <w:instrText>(C10-0139/2026)</w:instrText>
      </w:r>
      <w:bookmarkEnd w:id="3"/>
      <w:r w:rsidRPr="001016D1">
        <w:rPr>
          <w:i/>
          <w:lang w:val="en-GB"/>
        </w:rPr>
        <w:instrText xml:space="preserve">"\l3 \n&gt; \* MERGEFORMAT </w:instrText>
      </w:r>
      <w:r w:rsidRPr="001016D1">
        <w:rPr>
          <w:i/>
        </w:rPr>
        <w:fldChar w:fldCharType="end"/>
      </w:r>
    </w:p>
    <w:p w14:paraId="00B20C3B" w14:textId="77777777" w:rsidR="00FB3D83" w:rsidRPr="001016D1" w:rsidRDefault="00FB3D83" w:rsidP="009C4014">
      <w:pPr>
        <w:rPr>
          <w:vanish/>
          <w:lang w:val="en-GB"/>
        </w:rPr>
      </w:pPr>
      <w:bookmarkStart w:id="4" w:name="Commission"/>
      <w:r w:rsidRPr="001016D1">
        <w:rPr>
          <w:vanish/>
          <w:lang w:val="en-GB"/>
        </w:rPr>
        <w:t>Committee on Agriculture and Rural Development</w:t>
      </w:r>
    </w:p>
    <w:p w14:paraId="498BDDEB" w14:textId="7C590E53" w:rsidR="009C4014" w:rsidRPr="001016D1" w:rsidRDefault="00FB3D83" w:rsidP="009C4014">
      <w:pPr>
        <w:rPr>
          <w:vanish/>
          <w:lang w:val="en-GB"/>
        </w:rPr>
      </w:pPr>
      <w:bookmarkStart w:id="5" w:name="PE"/>
      <w:bookmarkEnd w:id="4"/>
      <w:r w:rsidRPr="001016D1">
        <w:rPr>
          <w:vanish/>
          <w:lang w:val="en-GB"/>
        </w:rPr>
        <w:t>PE</w:t>
      </w:r>
      <w:r w:rsidR="004307DA" w:rsidRPr="001016D1">
        <w:rPr>
          <w:vanish/>
          <w:lang w:val="en-GB"/>
        </w:rPr>
        <w:t>789</w:t>
      </w:r>
      <w:r w:rsidRPr="001016D1">
        <w:rPr>
          <w:vanish/>
          <w:lang w:val="en-GB"/>
        </w:rPr>
        <w:t>.</w:t>
      </w:r>
      <w:bookmarkEnd w:id="5"/>
      <w:r w:rsidR="004307DA" w:rsidRPr="001016D1">
        <w:rPr>
          <w:vanish/>
          <w:lang w:val="en-GB"/>
        </w:rPr>
        <w:t>799</w:t>
      </w:r>
    </w:p>
    <w:p w14:paraId="59B87C2E" w14:textId="72CB3E5D" w:rsidR="00FB3D83" w:rsidRPr="001016D1" w:rsidRDefault="00FB3D83" w:rsidP="00FB3D83">
      <w:pPr>
        <w:pStyle w:val="ATHeading3"/>
        <w:rPr>
          <w:lang w:val="en-GB"/>
        </w:rPr>
      </w:pPr>
      <w:bookmarkStart w:id="6" w:name="Sujet"/>
      <w:r w:rsidRPr="001016D1">
        <w:rPr>
          <w:lang w:val="en-GB"/>
        </w:rPr>
        <w:t>European Parliament legislative resolution of 7 July 2026 on the proposal for a regulation of the European Parliament and of the Council amending Regulation (EU) 2021/2115 as regards a specific type of intervention to provide exceptional temporary support under the European Agricultural Fund for Rural Development (EAFRD) and the possibility to adapt direct payments allocations for calendar year 2027 and Regulation (EU) 2021/2116 as regards more flexible rules on payments of advances in response to the increased fertiliser prices due to the Middle East crisis (COM(2026)0282 – C10-0139/2026 – 2026/0150(COD))</w:t>
      </w:r>
    </w:p>
    <w:p w14:paraId="15CD59D7" w14:textId="71720DC4" w:rsidR="009C4014" w:rsidRPr="001016D1" w:rsidRDefault="00FB3D83" w:rsidP="00FB3D83">
      <w:pPr>
        <w:pStyle w:val="ATHeading3"/>
        <w:rPr>
          <w:lang w:val="en-GB"/>
        </w:rPr>
      </w:pPr>
      <w:r w:rsidRPr="001016D1">
        <w:rPr>
          <w:lang w:val="en-GB"/>
        </w:rPr>
        <w:t>(Ordinary legislative procedure: first reading</w:t>
      </w:r>
      <w:bookmarkEnd w:id="6"/>
      <w:r w:rsidR="00322D3A" w:rsidRPr="001016D1">
        <w:rPr>
          <w:lang w:val="en-GB"/>
        </w:rPr>
        <w:t>)</w:t>
      </w:r>
    </w:p>
    <w:p w14:paraId="01FC4767" w14:textId="77777777" w:rsidR="006E5420" w:rsidRPr="001016D1" w:rsidRDefault="00FB3D83" w:rsidP="008B1C2E">
      <w:pPr>
        <w:pStyle w:val="Normal12"/>
        <w:spacing w:before="360"/>
        <w:rPr>
          <w:i/>
          <w:szCs w:val="24"/>
        </w:rPr>
      </w:pPr>
      <w:bookmarkStart w:id="7" w:name="TextBodyBegin"/>
      <w:bookmarkEnd w:id="7"/>
      <w:r w:rsidRPr="001016D1">
        <w:rPr>
          <w:i/>
          <w:szCs w:val="24"/>
        </w:rPr>
        <w:t>The European Parliament,</w:t>
      </w:r>
    </w:p>
    <w:p w14:paraId="5E69C03F" w14:textId="555C9088" w:rsidR="003669CF" w:rsidRPr="001016D1" w:rsidRDefault="003669CF" w:rsidP="003669CF">
      <w:pPr>
        <w:spacing w:after="240"/>
        <w:ind w:left="567" w:hanging="567"/>
        <w:rPr>
          <w:snapToGrid w:val="0"/>
          <w:lang w:val="en-GB"/>
        </w:rPr>
      </w:pPr>
      <w:r w:rsidRPr="001016D1">
        <w:rPr>
          <w:snapToGrid w:val="0"/>
          <w:lang w:val="en-GB"/>
        </w:rPr>
        <w:t>–</w:t>
      </w:r>
      <w:r w:rsidRPr="001016D1">
        <w:rPr>
          <w:snapToGrid w:val="0"/>
          <w:lang w:val="en-GB"/>
        </w:rPr>
        <w:tab/>
        <w:t>having regard to the Commission proposal to Parliament and the Council (COM(2026)0282),</w:t>
      </w:r>
    </w:p>
    <w:p w14:paraId="1A010914" w14:textId="7C544088" w:rsidR="003669CF" w:rsidRPr="001016D1" w:rsidRDefault="003669CF" w:rsidP="003669CF">
      <w:pPr>
        <w:spacing w:after="240"/>
        <w:ind w:left="567" w:hanging="567"/>
        <w:rPr>
          <w:snapToGrid w:val="0"/>
          <w:lang w:val="en-GB"/>
        </w:rPr>
      </w:pPr>
      <w:r w:rsidRPr="001016D1">
        <w:rPr>
          <w:snapToGrid w:val="0"/>
          <w:lang w:val="en-GB"/>
        </w:rPr>
        <w:t>–</w:t>
      </w:r>
      <w:r w:rsidRPr="001016D1">
        <w:rPr>
          <w:snapToGrid w:val="0"/>
          <w:lang w:val="en-GB"/>
        </w:rPr>
        <w:tab/>
        <w:t>having regard to Article 294(2) and Article </w:t>
      </w:r>
      <w:r w:rsidR="00322D3A" w:rsidRPr="001016D1">
        <w:rPr>
          <w:snapToGrid w:val="0"/>
          <w:lang w:val="en-GB"/>
        </w:rPr>
        <w:t>43(2)</w:t>
      </w:r>
      <w:r w:rsidRPr="001016D1">
        <w:rPr>
          <w:snapToGrid w:val="0"/>
          <w:lang w:val="en-GB"/>
        </w:rPr>
        <w:t xml:space="preserve"> of the Treaty on the Functioning of the European Union, pursuant to which the Commission submitted the proposal to Parliament (C10-0139/2026),</w:t>
      </w:r>
    </w:p>
    <w:p w14:paraId="34C61617" w14:textId="77777777" w:rsidR="003669CF" w:rsidRPr="001016D1" w:rsidRDefault="003669CF" w:rsidP="003669CF">
      <w:pPr>
        <w:spacing w:after="240"/>
        <w:ind w:left="567" w:hanging="567"/>
        <w:rPr>
          <w:snapToGrid w:val="0"/>
          <w:lang w:val="en-GB"/>
        </w:rPr>
      </w:pPr>
      <w:r w:rsidRPr="001016D1">
        <w:rPr>
          <w:snapToGrid w:val="0"/>
          <w:lang w:val="en-GB"/>
        </w:rPr>
        <w:t>–</w:t>
      </w:r>
      <w:r w:rsidRPr="001016D1">
        <w:rPr>
          <w:snapToGrid w:val="0"/>
          <w:lang w:val="en-GB"/>
        </w:rPr>
        <w:tab/>
        <w:t>having regard to Article 294(3) of the Treaty on the Functioning of the European Union,</w:t>
      </w:r>
    </w:p>
    <w:p w14:paraId="2E4A3152" w14:textId="77777777" w:rsidR="003669CF" w:rsidRPr="001016D1" w:rsidRDefault="003669CF" w:rsidP="003669CF">
      <w:pPr>
        <w:spacing w:after="240"/>
        <w:ind w:left="567" w:hanging="567"/>
        <w:rPr>
          <w:snapToGrid w:val="0"/>
          <w:lang w:val="en-GB"/>
        </w:rPr>
      </w:pPr>
      <w:r w:rsidRPr="001016D1">
        <w:rPr>
          <w:snapToGrid w:val="0"/>
          <w:lang w:val="en-GB"/>
        </w:rPr>
        <w:t>–</w:t>
      </w:r>
      <w:r w:rsidRPr="001016D1">
        <w:rPr>
          <w:snapToGrid w:val="0"/>
          <w:lang w:val="en-GB"/>
        </w:rPr>
        <w:tab/>
        <w:t>after consulting the European Economic and Social Committee,</w:t>
      </w:r>
    </w:p>
    <w:p w14:paraId="7F13B90D" w14:textId="0A3FB10B" w:rsidR="004C0710" w:rsidRPr="001016D1" w:rsidRDefault="004C0710" w:rsidP="003669CF">
      <w:pPr>
        <w:spacing w:after="240"/>
        <w:ind w:left="567" w:hanging="567"/>
        <w:rPr>
          <w:snapToGrid w:val="0"/>
          <w:lang w:val="en-GB"/>
        </w:rPr>
      </w:pPr>
      <w:r w:rsidRPr="001016D1">
        <w:rPr>
          <w:snapToGrid w:val="0"/>
          <w:lang w:val="en-GB"/>
        </w:rPr>
        <w:t>–</w:t>
      </w:r>
      <w:r w:rsidRPr="001016D1">
        <w:rPr>
          <w:snapToGrid w:val="0"/>
          <w:lang w:val="en-GB"/>
        </w:rPr>
        <w:tab/>
      </w:r>
      <w:r w:rsidRPr="001016D1">
        <w:rPr>
          <w:lang w:val="en-GB"/>
        </w:rPr>
        <w:t>having regard to the undertaking given by the Council representative by letter of 17 June 2026 to approve Parliament’s position, in accordance with Article 294(4) of the Treaty on the Functioning of the European Union,</w:t>
      </w:r>
    </w:p>
    <w:p w14:paraId="58EC646E" w14:textId="092F8526" w:rsidR="003669CF" w:rsidRPr="001016D1" w:rsidRDefault="003669CF" w:rsidP="003669CF">
      <w:pPr>
        <w:spacing w:after="240"/>
        <w:ind w:left="567" w:hanging="567"/>
        <w:rPr>
          <w:snapToGrid w:val="0"/>
          <w:lang w:val="en-GB"/>
        </w:rPr>
      </w:pPr>
      <w:r w:rsidRPr="001016D1">
        <w:rPr>
          <w:snapToGrid w:val="0"/>
          <w:lang w:val="en-GB"/>
        </w:rPr>
        <w:t>–</w:t>
      </w:r>
      <w:r w:rsidRPr="001016D1">
        <w:rPr>
          <w:snapToGrid w:val="0"/>
          <w:lang w:val="en-GB"/>
        </w:rPr>
        <w:tab/>
        <w:t>having regard to Rules 60 and 170 of its Rules of Procedure,</w:t>
      </w:r>
    </w:p>
    <w:p w14:paraId="7FD5BB54" w14:textId="77777777" w:rsidR="003669CF" w:rsidRPr="001016D1" w:rsidRDefault="003669CF" w:rsidP="003669CF">
      <w:pPr>
        <w:spacing w:after="240"/>
        <w:ind w:left="567" w:hanging="567"/>
        <w:rPr>
          <w:snapToGrid w:val="0"/>
          <w:lang w:val="en-GB"/>
        </w:rPr>
      </w:pPr>
      <w:r w:rsidRPr="001016D1">
        <w:rPr>
          <w:snapToGrid w:val="0"/>
          <w:lang w:val="en-GB"/>
        </w:rPr>
        <w:t>1.</w:t>
      </w:r>
      <w:r w:rsidRPr="001016D1">
        <w:rPr>
          <w:snapToGrid w:val="0"/>
          <w:lang w:val="en-GB"/>
        </w:rPr>
        <w:tab/>
        <w:t>Adopts its position at first reading hereinafter set out;</w:t>
      </w:r>
    </w:p>
    <w:p w14:paraId="458090E2" w14:textId="77777777" w:rsidR="003669CF" w:rsidRPr="001016D1" w:rsidRDefault="003669CF" w:rsidP="003669CF">
      <w:pPr>
        <w:spacing w:after="240"/>
        <w:ind w:left="567" w:hanging="567"/>
        <w:rPr>
          <w:snapToGrid w:val="0"/>
          <w:lang w:val="en-GB"/>
        </w:rPr>
      </w:pPr>
      <w:r w:rsidRPr="001016D1">
        <w:rPr>
          <w:snapToGrid w:val="0"/>
          <w:lang w:val="en-GB"/>
        </w:rPr>
        <w:lastRenderedPageBreak/>
        <w:t>2.</w:t>
      </w:r>
      <w:r w:rsidRPr="001016D1">
        <w:rPr>
          <w:snapToGrid w:val="0"/>
          <w:lang w:val="en-GB"/>
        </w:rPr>
        <w:tab/>
        <w:t>Calls on the Commission to refer the matter to Parliament again if it replaces, substantially amends or intends to substantially amend its proposal;</w:t>
      </w:r>
    </w:p>
    <w:p w14:paraId="2331A309" w14:textId="77777777" w:rsidR="003669CF" w:rsidRPr="001016D1" w:rsidRDefault="003669CF" w:rsidP="003669CF">
      <w:pPr>
        <w:spacing w:after="240"/>
        <w:ind w:left="567" w:hanging="567"/>
        <w:rPr>
          <w:snapToGrid w:val="0"/>
          <w:lang w:val="en-GB"/>
        </w:rPr>
        <w:sectPr w:rsidR="003669CF" w:rsidRPr="001016D1"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1016D1">
        <w:rPr>
          <w:snapToGrid w:val="0"/>
          <w:lang w:val="en-GB"/>
        </w:rPr>
        <w:t>3.</w:t>
      </w:r>
      <w:r w:rsidRPr="001016D1">
        <w:rPr>
          <w:snapToGrid w:val="0"/>
          <w:lang w:val="en-GB"/>
        </w:rPr>
        <w:tab/>
        <w:t>Instructs its President to forward its position to the Council, the Commission and the national parliaments.</w:t>
      </w:r>
    </w:p>
    <w:p w14:paraId="4DEA3BB2" w14:textId="2D0BF083" w:rsidR="003669CF" w:rsidRPr="001016D1" w:rsidRDefault="003669CF" w:rsidP="003669CF">
      <w:pPr>
        <w:widowControl w:val="0"/>
        <w:autoSpaceDE w:val="0"/>
        <w:autoSpaceDN w:val="0"/>
        <w:adjustRightInd w:val="0"/>
        <w:spacing w:after="240"/>
        <w:rPr>
          <w:rFonts w:eastAsia="Calibri"/>
          <w:b/>
          <w:bCs/>
          <w:color w:val="000000"/>
          <w:szCs w:val="24"/>
          <w:lang w:val="en-GB"/>
        </w:rPr>
      </w:pPr>
      <w:r w:rsidRPr="001016D1">
        <w:rPr>
          <w:rFonts w:eastAsia="Calibri"/>
          <w:b/>
          <w:bCs/>
          <w:color w:val="000000"/>
          <w:szCs w:val="24"/>
          <w:lang w:val="en-GB"/>
        </w:rPr>
        <w:lastRenderedPageBreak/>
        <w:t>P10_TC1-COD(2026)0150</w:t>
      </w:r>
    </w:p>
    <w:p w14:paraId="62E0F21C" w14:textId="74240604" w:rsidR="001D7FBB" w:rsidRPr="001016D1" w:rsidRDefault="003669CF" w:rsidP="001D7FBB">
      <w:pPr>
        <w:autoSpaceDE w:val="0"/>
        <w:autoSpaceDN w:val="0"/>
        <w:adjustRightInd w:val="0"/>
        <w:spacing w:before="120" w:after="120"/>
        <w:rPr>
          <w:rFonts w:eastAsia="Calibri"/>
          <w:b/>
          <w:szCs w:val="22"/>
          <w:lang w:val="en-GB" w:eastAsia="en-US"/>
        </w:rPr>
      </w:pPr>
      <w:r w:rsidRPr="001016D1">
        <w:rPr>
          <w:rFonts w:eastAsia="Calibri"/>
          <w:b/>
          <w:bCs/>
          <w:szCs w:val="24"/>
          <w:lang w:val="en-GB"/>
        </w:rPr>
        <w:t xml:space="preserve">Position of the European Parliament adopted at first reading </w:t>
      </w:r>
      <w:bookmarkStart w:id="8" w:name="_Hlk233981029"/>
      <w:r w:rsidRPr="001016D1">
        <w:rPr>
          <w:rFonts w:eastAsia="Calibri"/>
          <w:b/>
          <w:bCs/>
          <w:szCs w:val="24"/>
          <w:lang w:val="en-GB"/>
        </w:rPr>
        <w:t xml:space="preserve">on 7 July 2026 with a view to the adoption of Regulation (EU) 2026/… of the European Parliament and of the Council </w:t>
      </w:r>
      <w:bookmarkStart w:id="9" w:name="_DV_M1"/>
      <w:bookmarkStart w:id="10" w:name="_DV_M2"/>
      <w:bookmarkEnd w:id="9"/>
      <w:bookmarkEnd w:id="10"/>
      <w:r w:rsidR="001D7FBB" w:rsidRPr="001016D1">
        <w:rPr>
          <w:rFonts w:eastAsia="Calibri"/>
          <w:b/>
          <w:szCs w:val="22"/>
          <w:lang w:val="en-GB" w:eastAsia="en-US"/>
        </w:rPr>
        <w:t>amending Regulation (EU) 2021/2115 as regards a specific type of intervention to provide exceptional temporary support under the European Agricultural Fund for Rural Development (EAFRD) and the possibility to adapt direct payments allocations for calendar year 2027 and Regulation (EU) 2021/2116 as regards more flexible rules on payments of advances in response to the increased fertiliser prices due to the Middle East crisis</w:t>
      </w:r>
      <w:bookmarkEnd w:id="8"/>
    </w:p>
    <w:p w14:paraId="6AB4F675" w14:textId="77777777" w:rsidR="001D7FBB" w:rsidRPr="001016D1" w:rsidRDefault="001D7FBB" w:rsidP="001D7FBB">
      <w:pPr>
        <w:keepNext/>
        <w:spacing w:before="600" w:after="120" w:line="360" w:lineRule="auto"/>
        <w:rPr>
          <w:rFonts w:eastAsia="Calibri"/>
          <w:szCs w:val="22"/>
          <w:lang w:val="en-GB" w:eastAsia="en-US"/>
        </w:rPr>
      </w:pPr>
      <w:r w:rsidRPr="001016D1">
        <w:rPr>
          <w:rFonts w:eastAsia="Calibri"/>
          <w:szCs w:val="22"/>
          <w:lang w:val="en-GB" w:eastAsia="en-US"/>
        </w:rPr>
        <w:t>THE EUROPEAN PARLIAMENT AND THE COUNCIL OF THE EUROPEAN UNION,</w:t>
      </w:r>
    </w:p>
    <w:p w14:paraId="3B5FE1FD"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Having regard to the Treaty on the Functioning of the European Union, and in particular Article 43(2) thereof,</w:t>
      </w:r>
    </w:p>
    <w:p w14:paraId="686D6792"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Having regard to the proposal from the European Commission,</w:t>
      </w:r>
    </w:p>
    <w:p w14:paraId="482B42E0"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After transmission of the draft legislative act to the national parliaments,</w:t>
      </w:r>
    </w:p>
    <w:p w14:paraId="3EB1685D"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 xml:space="preserve">After consulting the European Economic and Social Committee, </w:t>
      </w:r>
    </w:p>
    <w:p w14:paraId="36FD7B39"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Acting in accordance with the ordinary legislative procedure</w:t>
      </w:r>
      <w:r w:rsidRPr="001016D1">
        <w:rPr>
          <w:rFonts w:eastAsia="Calibri"/>
          <w:szCs w:val="24"/>
          <w:vertAlign w:val="superscript"/>
          <w:lang w:val="en-GB" w:eastAsia="en-US"/>
        </w:rPr>
        <w:footnoteReference w:id="1"/>
      </w:r>
      <w:r w:rsidRPr="001016D1">
        <w:rPr>
          <w:rFonts w:eastAsia="Calibri"/>
          <w:szCs w:val="24"/>
          <w:lang w:val="en-GB" w:eastAsia="en-US"/>
        </w:rPr>
        <w:t>,</w:t>
      </w:r>
    </w:p>
    <w:p w14:paraId="356CFF77"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31915631"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lastRenderedPageBreak/>
        <w:t>Whereas:</w:t>
      </w:r>
    </w:p>
    <w:p w14:paraId="2FA46719"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w:t>
      </w:r>
      <w:r w:rsidRPr="001016D1">
        <w:rPr>
          <w:rFonts w:eastAsia="Calibri"/>
          <w:szCs w:val="24"/>
          <w:lang w:val="en-GB" w:eastAsia="en-US"/>
        </w:rPr>
        <w:tab/>
        <w:t xml:space="preserve">The recent Middle East crisis and the </w:t>
      </w:r>
      <w:r w:rsidRPr="001016D1">
        <w:rPr>
          <w:rFonts w:eastAsia="Calibri"/>
          <w:i/>
          <w:iCs/>
          <w:szCs w:val="24"/>
          <w:lang w:val="en-GB" w:eastAsia="en-US"/>
        </w:rPr>
        <w:t>de facto</w:t>
      </w:r>
      <w:r w:rsidRPr="001016D1">
        <w:rPr>
          <w:rFonts w:eastAsia="Calibri"/>
          <w:szCs w:val="24"/>
          <w:lang w:val="en-GB" w:eastAsia="en-US"/>
        </w:rPr>
        <w:t xml:space="preserve"> closure of the Strait of Hormuz have led to significant increases in global prices for oil, gas and fertilisers. The global nature of the affected markets has significant price effects on several sectors of the Union economy across Member States.</w:t>
      </w:r>
    </w:p>
    <w:p w14:paraId="511406FE"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(2)</w:t>
      </w:r>
      <w:r w:rsidRPr="001016D1">
        <w:rPr>
          <w:rFonts w:eastAsia="Calibri"/>
          <w:szCs w:val="24"/>
          <w:lang w:val="en-GB" w:eastAsia="en-US"/>
        </w:rPr>
        <w:tab/>
        <w:t>The agricultural sector is directly affected by the severe increase in fertiliser prices since fertilisers are essential to agricultural productivity, the viability of farms and food security. Purchases of fertilisers constitute one of the highest input costs for farmers. In addition to the price level, market volatility leads to Union farmers being particularly exposed. The rising costs of fertilisers could force farmers to cut back on them, resulting in a clear risk to quality and yields. Farmers might also reduce the area that they cultivate, which would affect Union agricultural production.</w:t>
      </w:r>
    </w:p>
    <w:p w14:paraId="085D211C" w14:textId="77777777" w:rsidR="001D7FBB" w:rsidRPr="001016D1" w:rsidRDefault="001D7FBB" w:rsidP="001D7FBB">
      <w:pPr>
        <w:spacing w:after="200" w:line="276" w:lineRule="auto"/>
        <w:ind w:left="851" w:hanging="851"/>
        <w:rPr>
          <w:rFonts w:eastAsia="Calibri"/>
          <w:szCs w:val="24"/>
          <w:lang w:val="en-GB" w:eastAsia="en-US"/>
        </w:rPr>
      </w:pPr>
      <w:r w:rsidRPr="001016D1">
        <w:rPr>
          <w:rFonts w:eastAsia="Calibri"/>
          <w:szCs w:val="24"/>
          <w:lang w:val="en-GB" w:eastAsia="en-US"/>
        </w:rPr>
        <w:br w:type="page"/>
      </w:r>
    </w:p>
    <w:p w14:paraId="77CBD2AF"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(3)</w:t>
      </w:r>
      <w:r w:rsidRPr="001016D1">
        <w:rPr>
          <w:rFonts w:eastAsia="Calibri"/>
          <w:szCs w:val="24"/>
          <w:lang w:val="en-GB" w:eastAsia="en-US"/>
        </w:rPr>
        <w:tab/>
        <w:t>In order to quickly address vulnerabilities of the Union food system resulting from this crisis and to assist farmers facing liquidity problems, it is appropriate to allow exceptional and temporary support by introducing a new type of intervention for crisis support in Regulation (EU) 2021/2115 of the European Parliament and of the Council</w:t>
      </w:r>
      <w:r w:rsidRPr="001016D1">
        <w:rPr>
          <w:rFonts w:eastAsia="Calibri"/>
          <w:szCs w:val="24"/>
          <w:vertAlign w:val="superscript"/>
          <w:lang w:val="en-GB" w:eastAsia="en-US"/>
        </w:rPr>
        <w:footnoteReference w:id="2"/>
      </w:r>
      <w:r w:rsidRPr="001016D1">
        <w:rPr>
          <w:rFonts w:eastAsia="Calibri"/>
          <w:szCs w:val="24"/>
          <w:lang w:val="en-GB" w:eastAsia="en-US"/>
        </w:rPr>
        <w:t xml:space="preserve"> provided for through the European Agricultural Fund for Rural Development (EAFRD) and by granting more flexibility to Member States concerning the payment of advances for direct payments in Regulation (EU) 2021/2116 of the European Parliament and of the Council</w:t>
      </w:r>
      <w:r w:rsidRPr="001016D1">
        <w:rPr>
          <w:rFonts w:eastAsia="Calibri"/>
          <w:szCs w:val="24"/>
          <w:vertAlign w:val="superscript"/>
          <w:lang w:val="en-GB" w:eastAsia="en-US"/>
        </w:rPr>
        <w:footnoteReference w:id="3"/>
      </w:r>
      <w:r w:rsidRPr="001016D1">
        <w:rPr>
          <w:rFonts w:eastAsia="Calibri"/>
          <w:szCs w:val="24"/>
          <w:lang w:val="en-GB" w:eastAsia="en-US"/>
        </w:rPr>
        <w:t>. The introduction of this new type of intervention should not result in an increase in the limits of the land application of fertilisers as determined in the action programmes under Council Directive 91/676/EEC</w:t>
      </w:r>
      <w:r w:rsidRPr="001016D1">
        <w:rPr>
          <w:rFonts w:eastAsia="Calibri"/>
          <w:szCs w:val="24"/>
          <w:vertAlign w:val="superscript"/>
          <w:lang w:val="en-GB" w:eastAsia="en-US"/>
        </w:rPr>
        <w:footnoteReference w:id="4"/>
      </w:r>
      <w:r w:rsidRPr="001016D1">
        <w:rPr>
          <w:rFonts w:eastAsia="Calibri"/>
          <w:szCs w:val="24"/>
          <w:lang w:val="en-GB" w:eastAsia="en-US"/>
        </w:rPr>
        <w:t>.</w:t>
      </w:r>
    </w:p>
    <w:p w14:paraId="615E8785" w14:textId="77777777" w:rsidR="001D7FBB" w:rsidRPr="001016D1" w:rsidRDefault="001D7FBB" w:rsidP="001D7FBB">
      <w:pPr>
        <w:spacing w:after="200" w:line="276" w:lineRule="auto"/>
        <w:ind w:left="851" w:hanging="851"/>
        <w:rPr>
          <w:rFonts w:eastAsia="Calibri"/>
          <w:szCs w:val="24"/>
          <w:lang w:val="en-GB" w:eastAsia="en-US"/>
        </w:rPr>
      </w:pPr>
      <w:r w:rsidRPr="001016D1">
        <w:rPr>
          <w:rFonts w:eastAsia="Calibri"/>
          <w:szCs w:val="24"/>
          <w:lang w:val="en-GB" w:eastAsia="en-US"/>
        </w:rPr>
        <w:br w:type="page"/>
      </w:r>
    </w:p>
    <w:p w14:paraId="0281F494"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(4)</w:t>
      </w:r>
      <w:r w:rsidRPr="001016D1">
        <w:rPr>
          <w:rFonts w:eastAsia="Calibri"/>
          <w:szCs w:val="24"/>
          <w:lang w:val="en-GB" w:eastAsia="en-US"/>
        </w:rPr>
        <w:tab/>
        <w:t>The available support under the new type of intervention should be concentrated on active farmers who are most affected by high fertiliser prices, and should be granted for the additional costs for fertilisers incurred by farmers as a result of price increases occurring as of 1 March 2026. That date only serves as the reference date for determining the higher fertiliser price and is not to be linked to the eligibility of the payments to the beneficiaries. It should be possible to reward farmers who are already under area-based commitments to reduce their use of fertilisers with higher support rates. Moreover, beneficiaries of support under that type of intervention should be given access to relevant knowledge, as well as information on how to reduce the use of fertilisers. To ensure the efficient use of public support and a fairer distribution of that support among eligible farmers, Member States should limit the maximum support per beneficiary or the maximum number of hectares supported. Because of the urgent, temporary and exceptional character of that support and the need for rapid disbursement of the corresponding payments, an end date for the payments to the beneficiaries should be set.</w:t>
      </w:r>
    </w:p>
    <w:p w14:paraId="4E907D86" w14:textId="77777777" w:rsidR="001D7FBB" w:rsidRPr="001016D1" w:rsidRDefault="001D7FBB" w:rsidP="001D7FBB">
      <w:pPr>
        <w:spacing w:after="200" w:line="276" w:lineRule="auto"/>
        <w:ind w:left="851" w:hanging="851"/>
        <w:rPr>
          <w:rFonts w:eastAsia="Calibri"/>
          <w:szCs w:val="24"/>
          <w:lang w:val="en-GB" w:eastAsia="en-US"/>
        </w:rPr>
      </w:pPr>
      <w:r w:rsidRPr="001016D1">
        <w:rPr>
          <w:rFonts w:eastAsia="Calibri"/>
          <w:szCs w:val="24"/>
          <w:lang w:val="en-GB" w:eastAsia="en-US"/>
        </w:rPr>
        <w:br w:type="page"/>
      </w:r>
    </w:p>
    <w:p w14:paraId="182C5A85"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(5)</w:t>
      </w:r>
      <w:r w:rsidRPr="001016D1">
        <w:rPr>
          <w:rFonts w:eastAsia="Calibri"/>
          <w:szCs w:val="24"/>
          <w:lang w:val="en-GB" w:eastAsia="en-US"/>
        </w:rPr>
        <w:tab/>
        <w:t>To ensure sound financial management of the Union funds, Member States should ensure that the total support received by the farmer under the new type of intervention, in combination with other national or Union support instruments designed to respond to the impact of the high fertiliser prices, does not lead to overcompensation or double funding.</w:t>
      </w:r>
    </w:p>
    <w:p w14:paraId="78996CD1"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(6)</w:t>
      </w:r>
      <w:r w:rsidRPr="001016D1">
        <w:rPr>
          <w:rFonts w:eastAsia="Calibri"/>
          <w:szCs w:val="24"/>
          <w:lang w:val="en-GB" w:eastAsia="en-US"/>
        </w:rPr>
        <w:tab/>
        <w:t>To incentivise the use of financial instruments for the support provided under the new type of intervention, maximum support rates should not apply when support is granted in the form of a standalone working capital.</w:t>
      </w:r>
    </w:p>
    <w:p w14:paraId="30F07939"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(7)</w:t>
      </w:r>
      <w:r w:rsidRPr="001016D1">
        <w:rPr>
          <w:rFonts w:eastAsia="Calibri"/>
          <w:szCs w:val="24"/>
          <w:lang w:val="en-GB" w:eastAsia="en-US"/>
        </w:rPr>
        <w:tab/>
        <w:t>In order to avoid delays for payments to farmers facing liquidity problems, provision should be made for EAFRD-financed expenditure to be eligible for the new type of intervention from the date of entry into force of this Regulation, and prior to Member States submitting to the Commission a request for a strategic amendment to the CAP Strategic Plan introducing that intervention.</w:t>
      </w:r>
    </w:p>
    <w:p w14:paraId="14675DBF"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(8)</w:t>
      </w:r>
      <w:r w:rsidRPr="001016D1">
        <w:rPr>
          <w:rFonts w:eastAsia="Calibri"/>
          <w:szCs w:val="24"/>
          <w:lang w:val="en-GB" w:eastAsia="en-US"/>
        </w:rPr>
        <w:tab/>
        <w:t>The financing of support under the new type of intervention should be programmed with an EAFRD contribution rate of up to 65 % of the eligible public expenditure.</w:t>
      </w:r>
    </w:p>
    <w:p w14:paraId="5C841A4A" w14:textId="77777777" w:rsidR="001D7FBB" w:rsidRPr="001016D1" w:rsidRDefault="001D7FBB" w:rsidP="001D7FBB">
      <w:pPr>
        <w:spacing w:after="200" w:line="276" w:lineRule="auto"/>
        <w:ind w:left="851" w:hanging="851"/>
        <w:rPr>
          <w:rFonts w:eastAsia="Calibri"/>
          <w:szCs w:val="24"/>
          <w:lang w:val="en-GB" w:eastAsia="en-US"/>
        </w:rPr>
      </w:pPr>
      <w:r w:rsidRPr="001016D1">
        <w:rPr>
          <w:rFonts w:eastAsia="Calibri"/>
          <w:szCs w:val="24"/>
          <w:lang w:val="en-GB" w:eastAsia="en-US"/>
        </w:rPr>
        <w:br w:type="page"/>
      </w:r>
    </w:p>
    <w:p w14:paraId="52F161AC"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(9)</w:t>
      </w:r>
      <w:r w:rsidRPr="001016D1">
        <w:rPr>
          <w:rFonts w:eastAsia="Calibri"/>
          <w:szCs w:val="24"/>
          <w:lang w:val="en-GB" w:eastAsia="en-US"/>
        </w:rPr>
        <w:tab/>
        <w:t>To ensure adequate funding for the new type of intervention provided for in this Regulation without jeopardising other objectives of the CAP Strategic Plans and the reserved amounts for crisis payments, a maximum share of the Union contribution to the new type of intervention should be fixed.</w:t>
      </w:r>
    </w:p>
    <w:p w14:paraId="113CE6B1" w14:textId="403623C2"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(10)</w:t>
      </w:r>
      <w:r w:rsidRPr="001016D1">
        <w:rPr>
          <w:rFonts w:eastAsia="Calibri"/>
          <w:szCs w:val="24"/>
          <w:lang w:val="en-GB" w:eastAsia="en-US"/>
        </w:rPr>
        <w:tab/>
        <w:t>Due to the special nature of the new type of intervention, the obligation to contribute to the result indicators listed in Annex I to Regulation (EU) 2021/2115 should not apply in respect of the new type of intervention.</w:t>
      </w:r>
    </w:p>
    <w:p w14:paraId="686ADAA8"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(11)</w:t>
      </w:r>
      <w:r w:rsidRPr="001016D1">
        <w:rPr>
          <w:rFonts w:eastAsia="Calibri"/>
          <w:szCs w:val="24"/>
          <w:lang w:val="en-GB" w:eastAsia="en-US"/>
        </w:rPr>
        <w:tab/>
        <w:t>When introducing this new type of intervention in the CAP Strategic Plans, such request for strategic amendment should not count towards the maximum possible requests for strategic amendments per year.</w:t>
      </w:r>
    </w:p>
    <w:p w14:paraId="66534E5F"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(12)</w:t>
      </w:r>
      <w:r w:rsidRPr="001016D1">
        <w:rPr>
          <w:rFonts w:eastAsia="Calibri"/>
          <w:szCs w:val="24"/>
          <w:lang w:val="en-GB" w:eastAsia="en-US"/>
        </w:rPr>
        <w:tab/>
        <w:t>To ensure a level playing field, the maximum additional national financing for the interventions under the new type of intervention should be limited to 200 % of EAFRD funding for this type of intervention.</w:t>
      </w:r>
    </w:p>
    <w:p w14:paraId="24F28F92"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(13)</w:t>
      </w:r>
      <w:r w:rsidRPr="001016D1">
        <w:rPr>
          <w:rFonts w:eastAsia="Calibri"/>
          <w:szCs w:val="24"/>
          <w:lang w:val="en-GB" w:eastAsia="en-US"/>
        </w:rPr>
        <w:tab/>
        <w:t>In Annex I to Regulation (EU) 2021/2115, an additional output indicator should be added for the new type of intervention.</w:t>
      </w:r>
    </w:p>
    <w:p w14:paraId="087A8D96"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(14)</w:t>
      </w:r>
      <w:r w:rsidRPr="001016D1">
        <w:rPr>
          <w:rFonts w:eastAsia="Calibri"/>
          <w:szCs w:val="24"/>
          <w:lang w:val="en-GB" w:eastAsia="en-US"/>
        </w:rPr>
        <w:tab/>
        <w:t>The title of Annex XV to Regulation (EU) 2021/2115 should be amended to reflect the fact that the financial limits of support include financing for the new type of intervention.</w:t>
      </w:r>
    </w:p>
    <w:p w14:paraId="60967A26" w14:textId="77777777" w:rsidR="001D7FBB" w:rsidRPr="001016D1" w:rsidRDefault="001D7FBB" w:rsidP="001D7FBB">
      <w:pPr>
        <w:spacing w:after="200" w:line="276" w:lineRule="auto"/>
        <w:ind w:left="851" w:hanging="851"/>
        <w:rPr>
          <w:rFonts w:eastAsia="Calibri"/>
          <w:szCs w:val="24"/>
          <w:lang w:val="en-GB" w:eastAsia="en-US"/>
        </w:rPr>
      </w:pPr>
      <w:r w:rsidRPr="001016D1">
        <w:rPr>
          <w:rFonts w:eastAsia="Calibri"/>
          <w:szCs w:val="24"/>
          <w:lang w:val="en-GB" w:eastAsia="en-US"/>
        </w:rPr>
        <w:br w:type="page"/>
      </w:r>
    </w:p>
    <w:p w14:paraId="07D8E8A9"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(15)</w:t>
      </w:r>
      <w:r w:rsidRPr="001016D1">
        <w:rPr>
          <w:rFonts w:eastAsia="Calibri"/>
          <w:szCs w:val="24"/>
          <w:lang w:val="en-GB" w:eastAsia="en-US"/>
        </w:rPr>
        <w:tab/>
        <w:t xml:space="preserve">Article 103(1) of Regulation (EU) 2021/2115 grants Member States the flexibility to adjust their allocations for direct payments by transferring funds to and from their allocations for EAFRD for the calendar years 2023 to 2026. In order to ensure that Member States can continue to successfully implement the respective national strategies underpinning their CAP Strategic Plans, including strategies to cope with unexpected crises, such as the impact of high fertiliser prices, Member States should also be allowed to adjust the allocations for direct payments for the calendar year 2027 up to a given ceiling, based on the transfer limits applicable for the calendar years 2023 to 2026, as well as to amend their CAP Strategic Plans accordingly. It is therefore appropriate to provide for that possibility by introducing a new provision in Title IV of Regulation (EU) 2021/2115 and a corresponding new Annex setting out the maximum amounts of increase and the maximum amounts of decrease per Member State. It is also necessary to amend Article 87(2) of Regulation (EU) 2021/2115 to empower the Commission to adopt a delegated act amending the Member States’ allocations set out in Annexes V and IX of that Regulation to take account of the </w:t>
      </w:r>
      <w:bookmarkStart w:id="12" w:name="_Hlk233385498"/>
      <w:r w:rsidRPr="001016D1">
        <w:rPr>
          <w:rFonts w:eastAsia="Calibri"/>
          <w:szCs w:val="24"/>
          <w:lang w:val="en-GB" w:eastAsia="en-US"/>
        </w:rPr>
        <w:t>adjustments of the direct payments allocations</w:t>
      </w:r>
      <w:bookmarkEnd w:id="12"/>
      <w:r w:rsidRPr="001016D1">
        <w:rPr>
          <w:rFonts w:eastAsia="Calibri"/>
          <w:szCs w:val="24"/>
          <w:lang w:val="en-GB" w:eastAsia="en-US"/>
        </w:rPr>
        <w:t xml:space="preserve">. In addition, it is necessary to amend Article 112(2), point (b), of Regulation (EU) 2021/2115 to include the adjustments in the overview table of the financial plan referred to in Article 107(1), point (e), of that Regulation and to amend Article 119(2), point (c), of that Regulation to include the adjustments in the list of strategic amendments to the CAP Strategic Plans. Furthermore, it is necessary to amend Article 119(7), second subparagraph, of Regulation (EU) 2021/2115 to provide that the request for strategic amendment resulting from the adjustments does not count towards the maximum possible requests for strategic amendments per year. </w:t>
      </w:r>
      <w:bookmarkStart w:id="13" w:name="_Hlk233385328"/>
      <w:r w:rsidRPr="001016D1">
        <w:rPr>
          <w:rFonts w:eastAsia="Calibri"/>
          <w:szCs w:val="24"/>
          <w:lang w:val="en-GB" w:eastAsia="en-US"/>
        </w:rPr>
        <w:t>Moreover, it is necessary to amend Article 121, second paragraph, point (b), of Regulation (EU) 2021/2115 to include those adjustments in the list of amendments of specific provisions for which the period for the adoption of the delegated act referred to in Article 87(2) of that Regulation does not count towards the time limit for the Commission to act referred to in Article 121, first subparagraph, of that Regulation.</w:t>
      </w:r>
    </w:p>
    <w:bookmarkEnd w:id="13"/>
    <w:p w14:paraId="5D2BFFB3" w14:textId="77777777" w:rsidR="00D05419" w:rsidRPr="001016D1" w:rsidRDefault="00D05419">
      <w:pPr>
        <w:rPr>
          <w:rFonts w:eastAsia="Calibri"/>
          <w:szCs w:val="24"/>
          <w:lang w:val="en-GB" w:eastAsia="en-US"/>
        </w:rPr>
      </w:pPr>
      <w:r w:rsidRPr="001016D1">
        <w:rPr>
          <w:rFonts w:eastAsia="Calibri"/>
          <w:szCs w:val="24"/>
          <w:lang w:val="en-GB" w:eastAsia="en-US"/>
        </w:rPr>
        <w:br w:type="page"/>
      </w:r>
    </w:p>
    <w:p w14:paraId="2762619B" w14:textId="067BF9D4"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(16)</w:t>
      </w:r>
      <w:r w:rsidRPr="001016D1">
        <w:rPr>
          <w:rFonts w:eastAsia="Calibri"/>
          <w:szCs w:val="24"/>
          <w:lang w:val="en-GB" w:eastAsia="en-US"/>
        </w:rPr>
        <w:tab/>
        <w:t>Given the Middle East crisis and the resulting rise of fertiliser prices and the exposure of farmers to financial risk, the current advance payment level is no longer sufficient. In order to support farmers who are experiencing liquidity problems, and since the effects of this crisis are highly likely to persist throughout the year 2026, it is appropriate to change the maximum rates for advances for direct payments in Regulation (EU) 2021/2116, to enable a higher rate to be paid for that calendar year. It is appropriate to increase the maximum rate of advances for direct payments from 70 % to 75 %, within the limit laid down in Article 11 of Regulation (EU, Euratom) 2024/2509 of the European Parliament and the Council</w:t>
      </w:r>
      <w:r w:rsidRPr="001016D1">
        <w:rPr>
          <w:rFonts w:eastAsia="Calibri"/>
          <w:szCs w:val="24"/>
          <w:vertAlign w:val="superscript"/>
          <w:lang w:val="en-GB" w:eastAsia="en-US"/>
        </w:rPr>
        <w:footnoteReference w:id="5"/>
      </w:r>
      <w:r w:rsidRPr="001016D1">
        <w:rPr>
          <w:rFonts w:eastAsia="Calibri"/>
          <w:szCs w:val="24"/>
          <w:lang w:val="en-GB" w:eastAsia="en-US"/>
        </w:rPr>
        <w:t xml:space="preserve">.  </w:t>
      </w:r>
    </w:p>
    <w:p w14:paraId="0447325B"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(17)</w:t>
      </w:r>
      <w:r w:rsidRPr="001016D1">
        <w:rPr>
          <w:rFonts w:eastAsia="Calibri"/>
          <w:szCs w:val="24"/>
          <w:lang w:val="en-GB" w:eastAsia="en-US"/>
        </w:rPr>
        <w:tab/>
        <w:t>The Member States are currently allowed to pay advances to farmers in the period from 16 October to 30 November of the calendar year. To support farmers experiencing liquidity problems caused by high fertiliser prices, it is appropriate to grant Member States more flexibility regarding the timing of advances for direct payments and to allow such payments to be made earlier in the year, directly after the application for support. However, taking into consideration that advances for direct payments paid by the Member States to farmers in one calendar year are to be reimbursed by the Commission to the Member States only from the budget of the following year, advances for direct payments paid to beneficiaries prior to 16 October 2026 should be deemed to have been effected during the month of November 2026 and should be declared by Member States for reimbursement with the declaration relating to that month so that they will be reimbursed by the Commission in the beginning of the year 2027.</w:t>
      </w:r>
    </w:p>
    <w:p w14:paraId="3A6385A1" w14:textId="77777777" w:rsidR="001D7FBB" w:rsidRPr="001016D1" w:rsidRDefault="001D7FBB" w:rsidP="001D7FBB">
      <w:pPr>
        <w:spacing w:after="200" w:line="276" w:lineRule="auto"/>
        <w:ind w:left="851" w:hanging="851"/>
        <w:rPr>
          <w:rFonts w:eastAsia="Calibri"/>
          <w:szCs w:val="24"/>
          <w:lang w:val="en-GB" w:eastAsia="en-US"/>
        </w:rPr>
      </w:pPr>
      <w:r w:rsidRPr="001016D1">
        <w:rPr>
          <w:rFonts w:eastAsia="Calibri"/>
          <w:szCs w:val="24"/>
          <w:lang w:val="en-GB" w:eastAsia="en-US"/>
        </w:rPr>
        <w:br w:type="page"/>
      </w:r>
    </w:p>
    <w:p w14:paraId="170A50A6"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(18)</w:t>
      </w:r>
      <w:r w:rsidRPr="001016D1">
        <w:rPr>
          <w:rFonts w:eastAsia="Calibri"/>
          <w:szCs w:val="24"/>
          <w:lang w:val="en-GB" w:eastAsia="en-US"/>
        </w:rPr>
        <w:tab/>
      </w:r>
      <w:bookmarkStart w:id="14" w:name="_Hlk230972467"/>
      <w:r w:rsidRPr="001016D1">
        <w:rPr>
          <w:rFonts w:eastAsia="Calibri"/>
          <w:szCs w:val="24"/>
          <w:lang w:val="en-GB" w:eastAsia="en-US"/>
        </w:rPr>
        <w:t>Article 59 of Regulation (EU) 2021/2116 gives Member States flexibility when setting up their management and control systems. Member States are encouraged to adjust their management and control systems to ensure that the additional flexibility on timing and size of advances provided for by this Regulation enables timely and effective support to farmers. In particular, Member States should decide which verifications they have to finalise before disbursing advance payments to address urgent liquidity needs. In this context, Member States should also take into consideration the possibility that they could recover any unduly paid advances and protect the financial interests of the Union before the final payment is made. At the time of the final payments, the Member State should assess the risk of non-compliance, using options such as checks on eligibility and possible non-compliances and the recovery of unduly paid amounts. When an efficient management and control system is in place, including on debt management, serious deficiencies are unlikely to arise.</w:t>
      </w:r>
    </w:p>
    <w:bookmarkEnd w:id="14"/>
    <w:p w14:paraId="01C4BE02" w14:textId="77777777" w:rsidR="001D7FBB" w:rsidRPr="001016D1" w:rsidRDefault="001D7FBB" w:rsidP="001D7FBB">
      <w:pPr>
        <w:spacing w:after="200" w:line="276" w:lineRule="auto"/>
        <w:ind w:left="851" w:hanging="851"/>
        <w:rPr>
          <w:rFonts w:eastAsia="Calibri"/>
          <w:szCs w:val="24"/>
          <w:lang w:val="en-GB" w:eastAsia="en-US"/>
        </w:rPr>
      </w:pPr>
      <w:r w:rsidRPr="001016D1">
        <w:rPr>
          <w:rFonts w:eastAsia="Calibri"/>
          <w:szCs w:val="24"/>
          <w:lang w:val="en-GB" w:eastAsia="en-US"/>
        </w:rPr>
        <w:br w:type="page"/>
      </w:r>
    </w:p>
    <w:p w14:paraId="73BA1410"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 xml:space="preserve"> </w:t>
      </w:r>
    </w:p>
    <w:p w14:paraId="44A092A4"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(19)</w:t>
      </w:r>
      <w:r w:rsidRPr="001016D1">
        <w:rPr>
          <w:rFonts w:eastAsia="Calibri"/>
          <w:szCs w:val="24"/>
          <w:lang w:val="en-GB" w:eastAsia="en-US"/>
        </w:rPr>
        <w:tab/>
        <w:t>Regulations (EU) 2021/2115 and (EU) 2021/2116 should therefore be amended accordingly.</w:t>
      </w:r>
    </w:p>
    <w:p w14:paraId="5F266C7A"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(20)</w:t>
      </w:r>
      <w:r w:rsidRPr="001016D1">
        <w:rPr>
          <w:rFonts w:eastAsia="Calibri"/>
          <w:szCs w:val="24"/>
          <w:lang w:val="en-GB" w:eastAsia="en-US"/>
        </w:rPr>
        <w:tab/>
        <w:t>Since the objectives of this Regulation, namely to quickly address vulnerabilities of the Union food system resulting from the recent Middle East crisis and to assist farmers facing liquidity problems, cannot be sufficiently achieved by the Member States, but can rather, by reason of the links between this Regulation and the other CAP instruments and the way that this Regulation is inextricably bound up with the achievement of key Union priorities,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14:paraId="601C686C"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(21)</w:t>
      </w:r>
      <w:r w:rsidRPr="001016D1">
        <w:rPr>
          <w:rFonts w:eastAsia="Calibri"/>
          <w:szCs w:val="24"/>
          <w:lang w:val="en-GB" w:eastAsia="en-US"/>
        </w:rPr>
        <w:tab/>
        <w:t>In view of the urgency of the need to allow farmers to take timely investment decisions and thus to minimise the risk of a drop in food production, it is considered to be appropriate to invoke the exception to the eight-week period provided for in Article 4 of Protocol No 1 on the role of national Parliaments in the European Union, annexed to the Treaty on European Union, to the Treaty on the Functioning of the European Union and to the Treaty establishing the European Atomic Energy Community.</w:t>
      </w:r>
    </w:p>
    <w:p w14:paraId="3CDEEAD9"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(22)</w:t>
      </w:r>
      <w:r w:rsidRPr="001016D1">
        <w:rPr>
          <w:rFonts w:eastAsia="Calibri"/>
          <w:szCs w:val="24"/>
          <w:lang w:val="en-GB" w:eastAsia="en-US"/>
        </w:rPr>
        <w:tab/>
        <w:t xml:space="preserve">In view of the need to take immediate action, this Regulation should enter into force on the day following that of its publication in the </w:t>
      </w:r>
      <w:r w:rsidRPr="001016D1">
        <w:rPr>
          <w:rFonts w:eastAsia="Calibri"/>
          <w:i/>
          <w:iCs/>
          <w:szCs w:val="24"/>
          <w:lang w:val="en-GB" w:eastAsia="en-US"/>
        </w:rPr>
        <w:t>Official Journal of the European Union,</w:t>
      </w:r>
    </w:p>
    <w:p w14:paraId="4EE46B16" w14:textId="77777777" w:rsidR="001D7FBB" w:rsidRPr="001016D1" w:rsidRDefault="001D7FBB" w:rsidP="001D7FBB">
      <w:pPr>
        <w:keepNext/>
        <w:spacing w:before="120" w:after="120" w:line="360" w:lineRule="auto"/>
        <w:rPr>
          <w:rFonts w:eastAsia="Calibri"/>
          <w:szCs w:val="24"/>
          <w:lang w:val="en-GB" w:eastAsia="en-US"/>
        </w:rPr>
      </w:pPr>
      <w:r w:rsidRPr="001016D1">
        <w:rPr>
          <w:rFonts w:eastAsia="Calibri"/>
          <w:szCs w:val="24"/>
          <w:lang w:val="en-GB" w:eastAsia="en-US"/>
        </w:rPr>
        <w:t>HAVE ADOPTED THIS REGULATION:</w:t>
      </w:r>
    </w:p>
    <w:p w14:paraId="2BED062E" w14:textId="77777777" w:rsidR="001D7FBB" w:rsidRPr="001016D1" w:rsidRDefault="001D7FBB" w:rsidP="001D7FBB">
      <w:pPr>
        <w:spacing w:after="200" w:line="276" w:lineRule="auto"/>
        <w:rPr>
          <w:rFonts w:eastAsia="Calibri"/>
          <w:i/>
          <w:szCs w:val="24"/>
          <w:lang w:val="en-GB" w:eastAsia="en-US"/>
        </w:rPr>
      </w:pPr>
      <w:r w:rsidRPr="001016D1">
        <w:rPr>
          <w:rFonts w:eastAsia="Calibri"/>
          <w:szCs w:val="24"/>
          <w:lang w:val="en-GB" w:eastAsia="en-US"/>
        </w:rPr>
        <w:br w:type="page"/>
      </w:r>
    </w:p>
    <w:p w14:paraId="3F12EEB9" w14:textId="77777777" w:rsidR="001D7FBB" w:rsidRPr="001016D1" w:rsidRDefault="001D7FBB" w:rsidP="001D7FBB">
      <w:pPr>
        <w:keepNext/>
        <w:spacing w:before="120" w:after="120" w:line="360" w:lineRule="auto"/>
        <w:jc w:val="center"/>
        <w:rPr>
          <w:rFonts w:eastAsia="Calibri"/>
          <w:iCs/>
          <w:szCs w:val="24"/>
          <w:lang w:val="en-GB" w:eastAsia="en-US"/>
        </w:rPr>
      </w:pPr>
      <w:r w:rsidRPr="001016D1">
        <w:rPr>
          <w:rFonts w:eastAsia="Calibri"/>
          <w:i/>
          <w:szCs w:val="24"/>
          <w:lang w:val="en-GB" w:eastAsia="en-US"/>
        </w:rPr>
        <w:lastRenderedPageBreak/>
        <w:t>Article 1</w:t>
      </w:r>
      <w:r w:rsidRPr="001016D1">
        <w:rPr>
          <w:rFonts w:eastAsia="Calibri"/>
          <w:i/>
          <w:szCs w:val="24"/>
          <w:lang w:val="en-GB" w:eastAsia="en-US"/>
        </w:rPr>
        <w:br/>
      </w:r>
      <w:r w:rsidRPr="001016D1">
        <w:rPr>
          <w:rFonts w:eastAsia="Calibri"/>
          <w:b/>
          <w:bCs/>
          <w:iCs/>
          <w:szCs w:val="24"/>
          <w:lang w:val="en-GB" w:eastAsia="en-US"/>
        </w:rPr>
        <w:t>Amendments to Regulation (EU) 2021/2115</w:t>
      </w:r>
    </w:p>
    <w:p w14:paraId="545D0B25"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Regulation (EU) 2021/2115 is amended as follows:</w:t>
      </w:r>
    </w:p>
    <w:p w14:paraId="10815F6A" w14:textId="77777777" w:rsidR="001D7FBB" w:rsidRPr="001016D1" w:rsidRDefault="001D7FBB" w:rsidP="001D7FBB">
      <w:pPr>
        <w:tabs>
          <w:tab w:val="left" w:pos="851"/>
        </w:tabs>
        <w:spacing w:before="120" w:after="120" w:line="360" w:lineRule="auto"/>
        <w:ind w:left="851" w:hanging="851"/>
        <w:rPr>
          <w:rFonts w:eastAsia="Calibri"/>
          <w:szCs w:val="24"/>
          <w:lang w:val="en-GB" w:eastAsia="en-US"/>
        </w:rPr>
      </w:pPr>
      <w:r w:rsidRPr="001016D1">
        <w:rPr>
          <w:rFonts w:eastAsia="Calibri"/>
          <w:szCs w:val="24"/>
          <w:lang w:val="en-GB" w:eastAsia="en-US"/>
        </w:rPr>
        <w:t>(1)</w:t>
      </w:r>
      <w:r w:rsidRPr="001016D1">
        <w:rPr>
          <w:rFonts w:eastAsia="Calibri"/>
          <w:szCs w:val="24"/>
          <w:lang w:val="en-GB" w:eastAsia="en-US"/>
        </w:rPr>
        <w:tab/>
        <w:t>in Article 69, the following point is added:</w:t>
      </w:r>
    </w:p>
    <w:p w14:paraId="4E36183C" w14:textId="77777777" w:rsidR="001D7FBB" w:rsidRPr="001016D1" w:rsidRDefault="001D7FBB" w:rsidP="001D7FBB">
      <w:pPr>
        <w:spacing w:before="120" w:after="120" w:line="360" w:lineRule="auto"/>
        <w:ind w:left="1418" w:hanging="568"/>
        <w:rPr>
          <w:rFonts w:eastAsia="Calibri"/>
          <w:szCs w:val="24"/>
          <w:lang w:val="en-GB" w:eastAsia="en-US"/>
        </w:rPr>
      </w:pPr>
      <w:r w:rsidRPr="001016D1">
        <w:rPr>
          <w:rFonts w:eastAsia="Calibri"/>
          <w:szCs w:val="24"/>
          <w:lang w:val="en-GB" w:eastAsia="en-US"/>
        </w:rPr>
        <w:t>‘(j)</w:t>
      </w:r>
      <w:r w:rsidRPr="001016D1">
        <w:rPr>
          <w:rFonts w:eastAsia="Calibri"/>
          <w:szCs w:val="24"/>
          <w:lang w:val="en-GB" w:eastAsia="en-US"/>
        </w:rPr>
        <w:tab/>
        <w:t>support to farmers affected by the severe increase in fertiliser prices due to the Middle East crisis.’;</w:t>
      </w:r>
    </w:p>
    <w:p w14:paraId="0C4C8E84"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(2)</w:t>
      </w:r>
      <w:r w:rsidRPr="001016D1">
        <w:rPr>
          <w:rFonts w:eastAsia="Calibri"/>
          <w:szCs w:val="24"/>
          <w:lang w:val="en-GB" w:eastAsia="en-US"/>
        </w:rPr>
        <w:tab/>
        <w:t>in Title III, Chapter IV, Section 1, the following article is added:</w:t>
      </w:r>
    </w:p>
    <w:p w14:paraId="700413D3" w14:textId="77777777" w:rsidR="001D7FBB" w:rsidRPr="001016D1" w:rsidRDefault="001D7FBB" w:rsidP="001D7FBB">
      <w:pPr>
        <w:spacing w:before="120" w:after="120" w:line="360" w:lineRule="auto"/>
        <w:ind w:left="850"/>
        <w:rPr>
          <w:rFonts w:eastAsia="Calibri"/>
          <w:i/>
          <w:iCs/>
          <w:szCs w:val="24"/>
          <w:lang w:val="en-GB" w:eastAsia="en-US"/>
        </w:rPr>
      </w:pPr>
      <w:r w:rsidRPr="001016D1">
        <w:rPr>
          <w:rFonts w:eastAsia="Calibri"/>
          <w:i/>
          <w:iCs/>
          <w:szCs w:val="24"/>
          <w:lang w:val="en-GB" w:eastAsia="en-US"/>
        </w:rPr>
        <w:t xml:space="preserve">‘Article 78b </w:t>
      </w:r>
      <w:r w:rsidRPr="001016D1">
        <w:rPr>
          <w:rFonts w:eastAsia="Calibri"/>
          <w:i/>
          <w:iCs/>
          <w:szCs w:val="24"/>
          <w:lang w:val="en-GB" w:eastAsia="en-US"/>
        </w:rPr>
        <w:br/>
      </w:r>
      <w:r w:rsidRPr="001016D1">
        <w:rPr>
          <w:rFonts w:eastAsia="Calibri"/>
          <w:b/>
          <w:bCs/>
          <w:szCs w:val="24"/>
          <w:lang w:val="en-GB" w:eastAsia="en-US"/>
        </w:rPr>
        <w:t>Support to farmers affected by the severe increase in fertiliser prices due to the Middle East crisis</w:t>
      </w:r>
    </w:p>
    <w:p w14:paraId="6779767E"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1.</w:t>
      </w:r>
      <w:r w:rsidRPr="001016D1">
        <w:rPr>
          <w:rFonts w:eastAsia="Calibri"/>
          <w:szCs w:val="24"/>
          <w:lang w:val="en-GB" w:eastAsia="en-US"/>
        </w:rPr>
        <w:tab/>
        <w:t>Member States may provide exceptional temporary support to active farmers who are affected by the severe increase in fertiliser prices. Any such support provided shall be subject to the conditions set out in this Article and further specified by the Member States in their CAP Strategic Plans.</w:t>
      </w:r>
    </w:p>
    <w:p w14:paraId="39C3AEE5"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2.</w:t>
      </w:r>
      <w:r w:rsidRPr="001016D1">
        <w:rPr>
          <w:rFonts w:eastAsia="Calibri"/>
          <w:szCs w:val="24"/>
          <w:lang w:val="en-GB" w:eastAsia="en-US"/>
        </w:rPr>
        <w:tab/>
        <w:t xml:space="preserve">Member States shall ensure that the support under this Article targets those farmers who are most affected by the severe increase in fertiliser prices. They shall do so by determining eligibility conditions on the basis of available evidence. </w:t>
      </w:r>
    </w:p>
    <w:p w14:paraId="231948FB"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1C118B18"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lastRenderedPageBreak/>
        <w:t>3.</w:t>
      </w:r>
      <w:r w:rsidRPr="001016D1">
        <w:rPr>
          <w:rFonts w:eastAsia="Calibri"/>
          <w:szCs w:val="24"/>
          <w:lang w:val="en-GB" w:eastAsia="en-US"/>
        </w:rPr>
        <w:tab/>
        <w:t xml:space="preserve">The support under this Article shall cover a part of the additional costs of fertilisers caused by market developments resulting from the Middle East crisis in the period starting on 1 March 2026. The additional costs shall be calculated as the difference between a representative price for fertilisers and a benchmark price for fertilisers. Member States shall, on the basis of reasonable assumptions, define the benchmark price based on the average price for fertilisers over at least three consecutive months in the period between 1 January 2025 and 28 February 2026, and the representative price based on the price for fertilisers during a period determined by the Member State, which shall not start before 1 March 2026. The support under this Article shall take the form of a unit cost per hectare calculated on the basis of the average annual consumption of fertilisers per area, differentiated by sectors or production systems. Alternatively, Member States may base the support under this Article on the actual costs incurred by each beneficiary, using the same benchmark price as described in this paragraph. </w:t>
      </w:r>
    </w:p>
    <w:p w14:paraId="6811DD40"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4.</w:t>
      </w:r>
      <w:r w:rsidRPr="001016D1">
        <w:rPr>
          <w:rFonts w:eastAsia="Calibri"/>
          <w:szCs w:val="24"/>
          <w:lang w:val="en-GB" w:eastAsia="en-US"/>
        </w:rPr>
        <w:tab/>
        <w:t>Member States shall establish the applicable support rates covering up to 50 % of the additional costs for fertilisers. Those rates may be increased up to a maximum of 80 % for farmers who are subject to commitments referred to in Articles 31 and 70, or requirements referred to in Article 72, to reduce the use of fertilisers. For financial instruments in the form of a standalone working capital, Article 80(4) shall apply.</w:t>
      </w:r>
    </w:p>
    <w:p w14:paraId="1061CFAC"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1368B0C9"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lastRenderedPageBreak/>
        <w:t>5.</w:t>
      </w:r>
      <w:r w:rsidRPr="001016D1">
        <w:rPr>
          <w:rFonts w:eastAsia="Calibri"/>
          <w:szCs w:val="24"/>
          <w:lang w:val="en-GB" w:eastAsia="en-US"/>
        </w:rPr>
        <w:tab/>
        <w:t>Member States shall set a maximum amount of support per beneficiary or a maximum number of hectares in respect of which support can be received per beneficiary.</w:t>
      </w:r>
    </w:p>
    <w:p w14:paraId="3252C472"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6.</w:t>
      </w:r>
      <w:r w:rsidRPr="001016D1">
        <w:rPr>
          <w:rFonts w:eastAsia="Calibri"/>
          <w:szCs w:val="24"/>
          <w:lang w:val="en-GB" w:eastAsia="en-US"/>
        </w:rPr>
        <w:tab/>
        <w:t xml:space="preserve">The support under this Article shall be paid to the farmer by 30 June 2027. </w:t>
      </w:r>
    </w:p>
    <w:p w14:paraId="2C471073"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7.</w:t>
      </w:r>
      <w:r w:rsidRPr="001016D1">
        <w:rPr>
          <w:rFonts w:eastAsia="Calibri"/>
          <w:szCs w:val="24"/>
          <w:lang w:val="en-GB" w:eastAsia="en-US"/>
        </w:rPr>
        <w:tab/>
        <w:t>Member States shall ensure that farmers receiving support under this Article have access to the relevant knowledge and information to enable them to optimise the sustainable use of fertilisers.</w:t>
      </w:r>
    </w:p>
    <w:p w14:paraId="3D4EC6BF"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8.</w:t>
      </w:r>
      <w:r w:rsidRPr="001016D1">
        <w:rPr>
          <w:rFonts w:eastAsia="Calibri"/>
          <w:szCs w:val="24"/>
          <w:lang w:val="en-GB" w:eastAsia="en-US"/>
        </w:rPr>
        <w:tab/>
        <w:t>When granting support under this Article, Member States shall ensure that overcompensation as a result of the combination of intervention under this Article with other national or Union support instruments is avoided.’;</w:t>
      </w:r>
    </w:p>
    <w:p w14:paraId="122B655B"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25DC10FA"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(3)</w:t>
      </w:r>
      <w:r w:rsidRPr="001016D1">
        <w:rPr>
          <w:rFonts w:eastAsia="Calibri"/>
          <w:szCs w:val="24"/>
          <w:lang w:val="en-GB" w:eastAsia="en-US"/>
        </w:rPr>
        <w:tab/>
        <w:t>Article 80 is amended as follows:</w:t>
      </w:r>
    </w:p>
    <w:p w14:paraId="06841426" w14:textId="77777777" w:rsidR="001D7FBB" w:rsidRPr="001016D1" w:rsidRDefault="001D7FBB" w:rsidP="001D7FBB">
      <w:pPr>
        <w:spacing w:before="120" w:after="120" w:line="360" w:lineRule="auto"/>
        <w:ind w:left="1417" w:hanging="567"/>
        <w:rPr>
          <w:rFonts w:eastAsia="Calibri"/>
          <w:szCs w:val="24"/>
          <w:lang w:val="en-GB" w:eastAsia="en-US"/>
        </w:rPr>
      </w:pPr>
      <w:r w:rsidRPr="001016D1">
        <w:rPr>
          <w:rFonts w:eastAsia="Calibri"/>
          <w:szCs w:val="24"/>
          <w:lang w:val="en-GB" w:eastAsia="en-US"/>
        </w:rPr>
        <w:t>(a)</w:t>
      </w:r>
      <w:r w:rsidRPr="001016D1">
        <w:rPr>
          <w:rFonts w:eastAsia="Calibri"/>
          <w:szCs w:val="24"/>
          <w:lang w:val="en-GB" w:eastAsia="en-US"/>
        </w:rPr>
        <w:tab/>
        <w:t>paragraph 1 is replaced by the following:</w:t>
      </w:r>
    </w:p>
    <w:p w14:paraId="1405BAAB" w14:textId="77777777" w:rsidR="001D7FBB" w:rsidRPr="001016D1" w:rsidRDefault="001D7FBB" w:rsidP="001D7FBB">
      <w:pPr>
        <w:spacing w:before="120" w:after="120" w:line="360" w:lineRule="auto"/>
        <w:ind w:left="1985" w:hanging="567"/>
        <w:rPr>
          <w:rFonts w:eastAsia="Calibri"/>
          <w:szCs w:val="24"/>
          <w:lang w:val="en-GB" w:eastAsia="en-US"/>
        </w:rPr>
      </w:pPr>
      <w:r w:rsidRPr="001016D1">
        <w:rPr>
          <w:rFonts w:eastAsia="Calibri"/>
          <w:szCs w:val="24"/>
          <w:lang w:val="en-GB" w:eastAsia="en-US"/>
        </w:rPr>
        <w:t>‘1.</w:t>
      </w:r>
      <w:r w:rsidRPr="001016D1">
        <w:rPr>
          <w:rFonts w:eastAsia="Calibri"/>
          <w:szCs w:val="24"/>
          <w:lang w:val="en-GB" w:eastAsia="en-US"/>
        </w:rPr>
        <w:tab/>
        <w:t xml:space="preserve">Support in the form of financial instruments referred to in Article 58 of Regulation (EU) 2021/1060 may be granted under the types of intervention referred to in Articles 73 to 78 and 78b of this Regulation.’; </w:t>
      </w:r>
    </w:p>
    <w:p w14:paraId="3AD6E2D3" w14:textId="77777777" w:rsidR="001D7FBB" w:rsidRPr="001016D1" w:rsidRDefault="001D7FBB" w:rsidP="001D7FBB">
      <w:pPr>
        <w:spacing w:before="120" w:after="120" w:line="360" w:lineRule="auto"/>
        <w:ind w:left="1417" w:hanging="567"/>
        <w:rPr>
          <w:rFonts w:eastAsia="Calibri"/>
          <w:szCs w:val="24"/>
          <w:lang w:val="en-GB" w:eastAsia="en-US"/>
        </w:rPr>
      </w:pPr>
      <w:r w:rsidRPr="001016D1">
        <w:rPr>
          <w:rFonts w:eastAsia="Calibri"/>
          <w:szCs w:val="24"/>
          <w:lang w:val="en-GB" w:eastAsia="en-US"/>
        </w:rPr>
        <w:t>(b)</w:t>
      </w:r>
      <w:r w:rsidRPr="001016D1">
        <w:rPr>
          <w:rFonts w:eastAsia="Calibri"/>
          <w:szCs w:val="24"/>
          <w:lang w:val="en-GB" w:eastAsia="en-US"/>
        </w:rPr>
        <w:tab/>
        <w:t>in paragraph 3, the first subparagraph is replaced by the following:</w:t>
      </w:r>
    </w:p>
    <w:p w14:paraId="60C8950A" w14:textId="77777777" w:rsidR="001D7FBB" w:rsidRPr="001016D1" w:rsidRDefault="001D7FBB" w:rsidP="001D7FBB">
      <w:pPr>
        <w:spacing w:before="120" w:after="120" w:line="360" w:lineRule="auto"/>
        <w:ind w:left="1985" w:hanging="567"/>
        <w:rPr>
          <w:szCs w:val="24"/>
          <w:lang w:val="en-GB" w:eastAsia="en-US"/>
        </w:rPr>
      </w:pPr>
      <w:r w:rsidRPr="001016D1">
        <w:rPr>
          <w:rFonts w:eastAsia="Calibri"/>
          <w:szCs w:val="24"/>
          <w:lang w:val="en-GB" w:eastAsia="en-US"/>
        </w:rPr>
        <w:t>‘3.</w:t>
      </w:r>
      <w:r w:rsidRPr="001016D1">
        <w:rPr>
          <w:rFonts w:eastAsia="Calibri"/>
          <w:szCs w:val="24"/>
          <w:lang w:val="en-GB" w:eastAsia="en-US"/>
        </w:rPr>
        <w:tab/>
        <w:t>In accordance with Article 58(2) of Regulation (EU) 2021/1060, working capital, including standalone working capital, may be eligible expenditure under Articles 73, 74, 76, 77, 78 and 78b of this Regulation if it contributes to the achievement of at least one specific objective relevant for the intervention concerned. Support for standalone working capital finance under any of those Articles may be provided without being subject to the requirement that the final recipient receives support for other expenditure under the same Article.’;</w:t>
      </w:r>
      <w:r w:rsidRPr="001016D1">
        <w:rPr>
          <w:szCs w:val="24"/>
          <w:lang w:val="en-GB" w:eastAsia="en-US"/>
        </w:rPr>
        <w:t xml:space="preserve"> </w:t>
      </w:r>
    </w:p>
    <w:p w14:paraId="0A0A790D" w14:textId="77777777" w:rsidR="001D7FBB" w:rsidRPr="001016D1" w:rsidRDefault="001D7FBB" w:rsidP="001D7FBB">
      <w:pPr>
        <w:spacing w:before="120" w:after="120" w:line="360" w:lineRule="auto"/>
        <w:ind w:left="1417" w:hanging="567"/>
        <w:rPr>
          <w:rFonts w:eastAsia="Calibri"/>
          <w:szCs w:val="24"/>
          <w:lang w:val="en-GB" w:eastAsia="en-US"/>
        </w:rPr>
      </w:pPr>
      <w:r w:rsidRPr="001016D1">
        <w:rPr>
          <w:rFonts w:eastAsia="Calibri"/>
          <w:szCs w:val="24"/>
          <w:lang w:val="en-GB" w:eastAsia="en-US"/>
        </w:rPr>
        <w:t>(c)</w:t>
      </w:r>
      <w:r w:rsidRPr="001016D1">
        <w:rPr>
          <w:rFonts w:eastAsia="Calibri"/>
          <w:szCs w:val="24"/>
          <w:lang w:val="en-GB" w:eastAsia="en-US"/>
        </w:rPr>
        <w:tab/>
        <w:t>paragraph 4 is replaced by the following:</w:t>
      </w:r>
    </w:p>
    <w:p w14:paraId="4ED2A816" w14:textId="77777777" w:rsidR="001D7FBB" w:rsidRPr="001016D1" w:rsidRDefault="001D7FBB" w:rsidP="001D7FBB">
      <w:pPr>
        <w:spacing w:before="120" w:after="120" w:line="360" w:lineRule="auto"/>
        <w:ind w:left="1985" w:hanging="567"/>
        <w:rPr>
          <w:rFonts w:eastAsia="Calibri"/>
          <w:szCs w:val="24"/>
          <w:lang w:val="en-GB" w:eastAsia="en-US"/>
        </w:rPr>
      </w:pPr>
      <w:r w:rsidRPr="001016D1">
        <w:rPr>
          <w:rFonts w:eastAsia="Calibri"/>
          <w:szCs w:val="24"/>
          <w:lang w:val="en-GB" w:eastAsia="en-US"/>
        </w:rPr>
        <w:t>‘4.</w:t>
      </w:r>
      <w:r w:rsidRPr="001016D1">
        <w:rPr>
          <w:rFonts w:eastAsia="Calibri"/>
          <w:szCs w:val="24"/>
          <w:lang w:val="en-GB" w:eastAsia="en-US"/>
        </w:rPr>
        <w:tab/>
        <w:t>By way of derogation from Articles 73, 74, 76, 77, 78 and 78b, the support rates laid down in those Articles shall not apply to standalone working capital finance.’;</w:t>
      </w:r>
    </w:p>
    <w:p w14:paraId="02872EF6"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1721341D"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(4)</w:t>
      </w:r>
      <w:r w:rsidRPr="001016D1">
        <w:rPr>
          <w:rFonts w:eastAsia="Calibri"/>
          <w:szCs w:val="24"/>
          <w:lang w:val="en-GB" w:eastAsia="en-US"/>
        </w:rPr>
        <w:tab/>
        <w:t>in Article 86(3), the following subparagraph is added:</w:t>
      </w:r>
    </w:p>
    <w:p w14:paraId="6FD8FE79" w14:textId="77777777" w:rsidR="001D7FBB" w:rsidRPr="001016D1" w:rsidRDefault="001D7FBB" w:rsidP="001D7FBB">
      <w:pPr>
        <w:spacing w:before="120" w:after="120" w:line="360" w:lineRule="auto"/>
        <w:ind w:left="850"/>
        <w:rPr>
          <w:rFonts w:eastAsia="Calibri"/>
          <w:szCs w:val="24"/>
          <w:lang w:val="en-GB" w:eastAsia="en-US"/>
        </w:rPr>
      </w:pPr>
      <w:r w:rsidRPr="001016D1">
        <w:rPr>
          <w:rFonts w:eastAsia="Calibri"/>
          <w:szCs w:val="24"/>
          <w:lang w:val="en-GB" w:eastAsia="en-US"/>
        </w:rPr>
        <w:t>‘By way of derogation from the first subparagraph of this paragraph, the CAP Strategic Plan may provide that, in the cases of a type of intervention pursuant to Article 78b, the eligibility of EAFRD-financed expenditure relating to amendments to the CAP Strategic Plan may start before the date of submission to the Commission of the request for amendment but not before … [date of entry into force of this amending Regulation].’;</w:t>
      </w:r>
    </w:p>
    <w:p w14:paraId="72A752CD"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(5)</w:t>
      </w:r>
      <w:r w:rsidRPr="001016D1">
        <w:rPr>
          <w:rFonts w:eastAsia="Calibri"/>
          <w:szCs w:val="24"/>
          <w:lang w:val="en-GB" w:eastAsia="en-US"/>
        </w:rPr>
        <w:tab/>
        <w:t xml:space="preserve">in Article 87(2), the first subparagraph is replaced by the following: </w:t>
      </w:r>
    </w:p>
    <w:p w14:paraId="18208394" w14:textId="77777777" w:rsidR="001D7FBB" w:rsidRPr="001016D1" w:rsidRDefault="001D7FBB" w:rsidP="001D7FBB">
      <w:pPr>
        <w:spacing w:before="120" w:after="120" w:line="360" w:lineRule="auto"/>
        <w:ind w:left="1418" w:hanging="568"/>
        <w:rPr>
          <w:rFonts w:eastAsia="Calibri"/>
          <w:szCs w:val="24"/>
          <w:lang w:val="en-GB" w:eastAsia="en-US"/>
        </w:rPr>
      </w:pPr>
      <w:r w:rsidRPr="001016D1">
        <w:rPr>
          <w:rFonts w:eastAsia="Calibri"/>
          <w:szCs w:val="24"/>
          <w:lang w:val="en-GB" w:eastAsia="en-US"/>
        </w:rPr>
        <w:t>‘2.</w:t>
      </w:r>
      <w:r w:rsidRPr="001016D1">
        <w:rPr>
          <w:rFonts w:eastAsia="Calibri"/>
          <w:szCs w:val="24"/>
          <w:lang w:val="en-GB" w:eastAsia="en-US"/>
        </w:rPr>
        <w:tab/>
        <w:t>The Commission is empowered to adopt delegated acts in accordance with Article 152 amending the Member States’ allocations set out in Annexes V and IX to take account of the developments relating to the total maximum amount of direct payments that may be granted, including the transfers referred to in Articles 17 and 103, the adjustment of the direct payments allocations referred to in Article 103a, the transfers of financial allocations referred to in Article 88(5) and any deductions needed to finance types of intervention in other sectors referred to in Article 88(6).’;</w:t>
      </w:r>
    </w:p>
    <w:p w14:paraId="3264770B"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5337B643"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(6)</w:t>
      </w:r>
      <w:r w:rsidRPr="001016D1">
        <w:rPr>
          <w:rFonts w:eastAsia="Calibri"/>
          <w:szCs w:val="24"/>
          <w:lang w:val="en-GB" w:eastAsia="en-US"/>
        </w:rPr>
        <w:tab/>
        <w:t xml:space="preserve">in Article 91(3), point (a) is replaced by the following: </w:t>
      </w:r>
    </w:p>
    <w:p w14:paraId="1B581D4E" w14:textId="77777777" w:rsidR="001D7FBB" w:rsidRPr="001016D1" w:rsidRDefault="001D7FBB" w:rsidP="001D7FBB">
      <w:pPr>
        <w:shd w:val="clear" w:color="auto" w:fill="FFFFFF"/>
        <w:spacing w:before="120" w:after="120" w:line="360" w:lineRule="auto"/>
        <w:ind w:left="1418" w:hanging="567"/>
        <w:rPr>
          <w:rFonts w:eastAsia="Calibri"/>
          <w:szCs w:val="24"/>
          <w:lang w:val="en-GB" w:eastAsia="en-US"/>
        </w:rPr>
      </w:pPr>
      <w:r w:rsidRPr="001016D1">
        <w:rPr>
          <w:rFonts w:eastAsia="Calibri"/>
          <w:szCs w:val="24"/>
          <w:lang w:val="en-GB" w:eastAsia="en-US"/>
        </w:rPr>
        <w:t>‘(a)</w:t>
      </w:r>
      <w:r w:rsidRPr="001016D1">
        <w:rPr>
          <w:rFonts w:eastAsia="Calibri"/>
          <w:szCs w:val="24"/>
          <w:lang w:val="en-GB" w:eastAsia="en-US"/>
        </w:rPr>
        <w:tab/>
        <w:t>65 % of the eligible public expenditure for payments for natural or other area-specific constraints under Article 71 and for support under Article 78b’;</w:t>
      </w:r>
    </w:p>
    <w:p w14:paraId="1E690192" w14:textId="77777777" w:rsidR="001D7FBB" w:rsidRPr="001016D1" w:rsidRDefault="001D7FBB" w:rsidP="001D7FBB">
      <w:pPr>
        <w:spacing w:before="120" w:after="120" w:line="360" w:lineRule="auto"/>
        <w:ind w:left="851" w:hanging="850"/>
        <w:rPr>
          <w:rFonts w:eastAsia="Calibri"/>
          <w:szCs w:val="24"/>
          <w:lang w:val="en-GB" w:eastAsia="en-US"/>
        </w:rPr>
      </w:pPr>
      <w:r w:rsidRPr="001016D1">
        <w:rPr>
          <w:rFonts w:eastAsia="Calibri"/>
          <w:szCs w:val="24"/>
          <w:lang w:val="en-GB" w:eastAsia="en-US"/>
        </w:rPr>
        <w:t>(7)</w:t>
      </w:r>
      <w:r w:rsidRPr="001016D1">
        <w:rPr>
          <w:rFonts w:eastAsia="Calibri"/>
          <w:szCs w:val="24"/>
          <w:lang w:val="en-GB" w:eastAsia="en-US"/>
        </w:rPr>
        <w:tab/>
        <w:t>Article 96a is replaced by the following:</w:t>
      </w:r>
    </w:p>
    <w:p w14:paraId="3D6DF569" w14:textId="77777777" w:rsidR="001D7FBB" w:rsidRPr="001016D1" w:rsidRDefault="001D7FBB" w:rsidP="001D7FBB">
      <w:pPr>
        <w:spacing w:before="120" w:after="120" w:line="360" w:lineRule="auto"/>
        <w:ind w:left="850"/>
        <w:rPr>
          <w:rFonts w:eastAsia="Calibri"/>
          <w:i/>
          <w:iCs/>
          <w:szCs w:val="24"/>
          <w:lang w:val="en-GB" w:eastAsia="en-US"/>
        </w:rPr>
      </w:pPr>
      <w:r w:rsidRPr="001016D1">
        <w:rPr>
          <w:rFonts w:eastAsia="Calibri"/>
          <w:i/>
          <w:iCs/>
          <w:szCs w:val="24"/>
          <w:lang w:val="en-GB" w:eastAsia="en-US"/>
        </w:rPr>
        <w:t>‘Article 96a</w:t>
      </w:r>
      <w:r w:rsidRPr="001016D1">
        <w:rPr>
          <w:rFonts w:eastAsia="Calibri"/>
          <w:i/>
          <w:iCs/>
          <w:szCs w:val="24"/>
          <w:lang w:val="en-GB" w:eastAsia="en-US"/>
        </w:rPr>
        <w:br/>
      </w:r>
      <w:r w:rsidRPr="001016D1">
        <w:rPr>
          <w:rFonts w:eastAsia="Calibri"/>
          <w:b/>
          <w:bCs/>
          <w:szCs w:val="24"/>
          <w:lang w:val="en-GB" w:eastAsia="en-US"/>
        </w:rPr>
        <w:t>Maximum financial allocations for crisis payments to farmers referred to in Article 78a and support to farmers referred to in Article 78b</w:t>
      </w:r>
    </w:p>
    <w:p w14:paraId="3E6C9FE7"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1.</w:t>
      </w:r>
      <w:r w:rsidRPr="001016D1">
        <w:rPr>
          <w:rFonts w:eastAsia="Calibri"/>
          <w:szCs w:val="24"/>
          <w:lang w:val="en-GB" w:eastAsia="en-US"/>
        </w:rPr>
        <w:tab/>
        <w:t>The maximum amount for each Member State that may be reserved for crisis payments to farmers following natural disasters, adverse climatic events or catastrophic events referred to in Article 78a and for support to farmers affected by the severe increase in fertiliser prices due to the Middle East crisis referred to in Article 78b shall be limited to the annual amounts set out in Annex XV.</w:t>
      </w:r>
    </w:p>
    <w:p w14:paraId="683F23D4"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2.</w:t>
      </w:r>
      <w:r w:rsidRPr="001016D1">
        <w:rPr>
          <w:rFonts w:eastAsia="Calibri"/>
          <w:szCs w:val="24"/>
          <w:lang w:val="en-GB" w:eastAsia="en-US"/>
        </w:rPr>
        <w:tab/>
        <w:t xml:space="preserve">A maximum of 25 % of the annual amounts set out in Annex XV may be reserved to finance the support to farmers referred to in Article 78b. </w:t>
      </w:r>
      <w:r w:rsidRPr="001016D1" w:rsidDel="0091773C">
        <w:rPr>
          <w:rFonts w:eastAsia="Calibri"/>
          <w:szCs w:val="24"/>
          <w:lang w:val="en-GB" w:eastAsia="en-US"/>
        </w:rPr>
        <w:t xml:space="preserve"> </w:t>
      </w:r>
    </w:p>
    <w:p w14:paraId="594E5DB9"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2E6E56A7"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lastRenderedPageBreak/>
        <w:t>3.</w:t>
      </w:r>
      <w:r w:rsidRPr="001016D1">
        <w:rPr>
          <w:rFonts w:eastAsia="Calibri"/>
          <w:szCs w:val="24"/>
          <w:lang w:val="en-GB" w:eastAsia="en-US"/>
        </w:rPr>
        <w:tab/>
        <w:t xml:space="preserve">The total EAFRD expenditure for the crisis payments referred to in Article 78a and for the support referred to in Article 78b shall not exceed the sum of the indicative financial allocations for these types of intervention for financial years 2026 and 2027, as established by Member States in their financial plans in accordance with Article 112(2), point (a), and approved by the Commission in accordance with Article 119. That financial ceiling shall constitute a financial ceiling set by Union law.’; </w:t>
      </w:r>
    </w:p>
    <w:p w14:paraId="59FF1357"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(8)</w:t>
      </w:r>
      <w:r w:rsidRPr="001016D1">
        <w:rPr>
          <w:rFonts w:eastAsia="Calibri"/>
          <w:szCs w:val="24"/>
          <w:lang w:val="en-GB" w:eastAsia="en-US"/>
        </w:rPr>
        <w:tab/>
        <w:t>in Title IV, the following Article is added:</w:t>
      </w:r>
    </w:p>
    <w:p w14:paraId="2995E62B" w14:textId="77777777" w:rsidR="001D7FBB" w:rsidRPr="001016D1" w:rsidRDefault="001D7FBB" w:rsidP="001D7FBB">
      <w:pPr>
        <w:spacing w:before="120" w:after="120" w:line="360" w:lineRule="auto"/>
        <w:ind w:left="850"/>
        <w:rPr>
          <w:rFonts w:eastAsia="Calibri"/>
          <w:szCs w:val="24"/>
          <w:lang w:val="en-GB" w:eastAsia="en-US"/>
        </w:rPr>
      </w:pPr>
      <w:r w:rsidRPr="001016D1">
        <w:rPr>
          <w:rFonts w:eastAsia="Calibri"/>
          <w:szCs w:val="24"/>
          <w:lang w:val="en-GB" w:eastAsia="en-US"/>
        </w:rPr>
        <w:t>‘</w:t>
      </w:r>
      <w:r w:rsidRPr="001016D1">
        <w:rPr>
          <w:rFonts w:eastAsia="Calibri"/>
          <w:i/>
          <w:iCs/>
          <w:szCs w:val="24"/>
          <w:lang w:val="en-GB" w:eastAsia="en-US"/>
        </w:rPr>
        <w:t>Article 103a</w:t>
      </w:r>
      <w:r w:rsidRPr="001016D1">
        <w:rPr>
          <w:rFonts w:eastAsia="Calibri"/>
          <w:szCs w:val="24"/>
          <w:lang w:val="en-GB" w:eastAsia="en-US"/>
        </w:rPr>
        <w:t xml:space="preserve"> </w:t>
      </w:r>
      <w:r w:rsidRPr="001016D1">
        <w:rPr>
          <w:rFonts w:eastAsia="Calibri"/>
          <w:szCs w:val="24"/>
          <w:lang w:val="en-GB" w:eastAsia="en-US"/>
        </w:rPr>
        <w:br/>
      </w:r>
      <w:r w:rsidRPr="001016D1">
        <w:rPr>
          <w:rFonts w:eastAsia="Calibri"/>
          <w:b/>
          <w:bCs/>
          <w:szCs w:val="24"/>
          <w:lang w:val="en-GB" w:eastAsia="en-US"/>
        </w:rPr>
        <w:t>Direct payment allocations for calendar year 2027</w:t>
      </w:r>
    </w:p>
    <w:p w14:paraId="76ABD93B" w14:textId="35AC89BE" w:rsidR="001D7FBB" w:rsidRPr="001016D1" w:rsidRDefault="001D7FBB" w:rsidP="001D7FBB">
      <w:pPr>
        <w:spacing w:before="120" w:after="120" w:line="360" w:lineRule="auto"/>
        <w:ind w:left="850"/>
        <w:rPr>
          <w:rFonts w:eastAsia="Calibri"/>
          <w:szCs w:val="24"/>
          <w:lang w:val="en-GB" w:eastAsia="en-US"/>
        </w:rPr>
      </w:pPr>
      <w:r w:rsidRPr="001016D1">
        <w:rPr>
          <w:rFonts w:eastAsia="Calibri"/>
          <w:szCs w:val="24"/>
          <w:lang w:val="en-GB" w:eastAsia="en-US"/>
        </w:rPr>
        <w:t>By 31 August 2026, Member States may decide to increase or decrease their allocations for direct payments set out in Annexes V and IX for calendar year 2027 by an amount not exceeding the maximum increase or decrease set out in Annex XVI per Member State, as part of a request for a strategic amendment of their respective CAP Strategic Plans referred to in Article 119.’;</w:t>
      </w:r>
    </w:p>
    <w:p w14:paraId="39B9B5ED"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24852AED" w14:textId="77777777" w:rsidR="001D7FBB" w:rsidRPr="001016D1" w:rsidRDefault="001D7FBB" w:rsidP="001D7FBB">
      <w:pPr>
        <w:tabs>
          <w:tab w:val="num" w:pos="3119"/>
        </w:tabs>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(9)</w:t>
      </w:r>
      <w:r w:rsidRPr="001016D1">
        <w:rPr>
          <w:rFonts w:eastAsia="Calibri"/>
          <w:szCs w:val="24"/>
          <w:lang w:val="en-GB" w:eastAsia="en-US"/>
        </w:rPr>
        <w:tab/>
        <w:t>in Article 111, the second paragraph is replaced by the following:</w:t>
      </w:r>
    </w:p>
    <w:p w14:paraId="23CC9A2B" w14:textId="77777777" w:rsidR="001D7FBB" w:rsidRPr="001016D1" w:rsidRDefault="001D7FBB" w:rsidP="001D7FBB">
      <w:pPr>
        <w:spacing w:before="120" w:after="120" w:line="360" w:lineRule="auto"/>
        <w:ind w:left="850"/>
        <w:rPr>
          <w:rFonts w:eastAsia="Calibri"/>
          <w:szCs w:val="24"/>
          <w:lang w:val="en-GB" w:eastAsia="en-US"/>
        </w:rPr>
      </w:pPr>
      <w:r w:rsidRPr="001016D1">
        <w:rPr>
          <w:rFonts w:eastAsia="Calibri"/>
          <w:szCs w:val="24"/>
          <w:lang w:val="en-GB" w:eastAsia="en-US"/>
        </w:rPr>
        <w:t>‘Point (e) of the first paragraph shall not apply to the type of intervention in the apiculture sector referred to in Article 55(1), point (a) and points (c) to (g), interventions under the type of intervention in the wine sector referred to in Article 58(1), points (h) to (k), the information and promotion actions for quality schemes under the type of intervention for cooperation referred to in Article 77, interventions under the type of intervention for crisis payments to farmers following natural disasters, adverse climatic events or catastrophic events referred to in Article 78a, and interventions under the type of intervention for support to farmers affected by the severe increase in fertiliser prices referred to in Article 78b.’;</w:t>
      </w:r>
    </w:p>
    <w:p w14:paraId="7B4335D0"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(10)</w:t>
      </w:r>
      <w:r w:rsidRPr="001016D1">
        <w:rPr>
          <w:rFonts w:eastAsia="Calibri"/>
          <w:szCs w:val="24"/>
          <w:lang w:val="en-GB" w:eastAsia="en-US"/>
        </w:rPr>
        <w:tab/>
        <w:t>in Article 112(2), point (b) is replaced by the following:</w:t>
      </w:r>
    </w:p>
    <w:p w14:paraId="5C7476BB" w14:textId="77777777" w:rsidR="001D7FBB" w:rsidRPr="001016D1" w:rsidRDefault="001D7FBB" w:rsidP="001D7FBB">
      <w:pPr>
        <w:spacing w:before="120" w:after="120" w:line="360" w:lineRule="auto"/>
        <w:ind w:left="1418" w:hanging="568"/>
        <w:rPr>
          <w:rFonts w:eastAsia="Calibri"/>
          <w:szCs w:val="24"/>
          <w:lang w:val="en-GB" w:eastAsia="en-US"/>
        </w:rPr>
      </w:pPr>
      <w:r w:rsidRPr="001016D1">
        <w:rPr>
          <w:rFonts w:eastAsia="Calibri"/>
          <w:szCs w:val="24"/>
          <w:lang w:val="en-GB" w:eastAsia="en-US"/>
        </w:rPr>
        <w:t>‘(b)</w:t>
      </w:r>
      <w:r w:rsidRPr="001016D1">
        <w:rPr>
          <w:rFonts w:eastAsia="Calibri"/>
          <w:szCs w:val="24"/>
          <w:lang w:val="en-GB" w:eastAsia="en-US"/>
        </w:rPr>
        <w:tab/>
        <w:t>the transfers of the amounts referred to in point (a) between types of intervention in the form of direct payments and types of intervention for rural development in accordance with Article 103, any deductions of the Member State’s allocations for the types of intervention in the form of direct payments to make amounts available for the types of intervention in other sectors referred to in Title III, Chapter III, Section 7, in accordance with Article 88(6), and any adjustments of the direct payments allocations in accordance with Article 103a;’;</w:t>
      </w:r>
    </w:p>
    <w:p w14:paraId="7AFBBBAC"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265BAA39"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(11)</w:t>
      </w:r>
      <w:r w:rsidRPr="001016D1">
        <w:rPr>
          <w:rFonts w:eastAsia="Calibri"/>
          <w:szCs w:val="24"/>
          <w:lang w:val="en-GB" w:eastAsia="en-US"/>
        </w:rPr>
        <w:tab/>
        <w:t>Article 119 is amended as follows:</w:t>
      </w:r>
    </w:p>
    <w:p w14:paraId="259E268C" w14:textId="77777777" w:rsidR="001D7FBB" w:rsidRPr="001016D1" w:rsidRDefault="001D7FBB" w:rsidP="001D7FBB">
      <w:pPr>
        <w:spacing w:before="120" w:after="120" w:line="360" w:lineRule="auto"/>
        <w:ind w:left="1417" w:hanging="567"/>
        <w:rPr>
          <w:rFonts w:eastAsia="Calibri"/>
          <w:szCs w:val="24"/>
          <w:lang w:val="en-GB" w:eastAsia="en-US"/>
        </w:rPr>
      </w:pPr>
      <w:r w:rsidRPr="001016D1">
        <w:rPr>
          <w:rFonts w:eastAsia="Calibri"/>
          <w:szCs w:val="24"/>
          <w:lang w:val="en-GB" w:eastAsia="en-US"/>
        </w:rPr>
        <w:t>(a)</w:t>
      </w:r>
      <w:r w:rsidRPr="001016D1">
        <w:rPr>
          <w:rFonts w:eastAsia="Calibri"/>
          <w:szCs w:val="24"/>
          <w:lang w:val="en-GB" w:eastAsia="en-US"/>
        </w:rPr>
        <w:tab/>
        <w:t>in paragraph 2, first subparagraph, point (c) is replaced by the following:</w:t>
      </w:r>
    </w:p>
    <w:p w14:paraId="3F399A88" w14:textId="77777777" w:rsidR="001D7FBB" w:rsidRPr="001016D1" w:rsidRDefault="001D7FBB" w:rsidP="001D7FBB">
      <w:pPr>
        <w:spacing w:before="120" w:after="120" w:line="360" w:lineRule="auto"/>
        <w:ind w:left="1985" w:hanging="567"/>
        <w:rPr>
          <w:rFonts w:eastAsia="Calibri"/>
          <w:szCs w:val="24"/>
          <w:lang w:val="en-GB" w:eastAsia="en-US"/>
        </w:rPr>
      </w:pPr>
      <w:r w:rsidRPr="001016D1">
        <w:rPr>
          <w:rFonts w:eastAsia="Calibri"/>
          <w:szCs w:val="24"/>
          <w:lang w:val="en-GB" w:eastAsia="en-US"/>
        </w:rPr>
        <w:t>‘(c)</w:t>
      </w:r>
      <w:r w:rsidRPr="001016D1">
        <w:rPr>
          <w:rFonts w:eastAsia="Calibri"/>
          <w:szCs w:val="24"/>
          <w:lang w:val="en-GB" w:eastAsia="en-US"/>
        </w:rPr>
        <w:tab/>
        <w:t>amendments related to Article 17(5), Article 88(7), Articles 92 to 98, Article 103(1), (5) and (6) or Article 103a;’;</w:t>
      </w:r>
    </w:p>
    <w:p w14:paraId="1FEA2CCC" w14:textId="77777777" w:rsidR="001D7FBB" w:rsidRPr="001016D1" w:rsidRDefault="001D7FBB" w:rsidP="001D7FBB">
      <w:pPr>
        <w:spacing w:before="120" w:after="120" w:line="360" w:lineRule="auto"/>
        <w:ind w:left="1417" w:hanging="567"/>
        <w:rPr>
          <w:rFonts w:eastAsia="Calibri"/>
          <w:szCs w:val="24"/>
          <w:lang w:val="en-GB" w:eastAsia="en-US"/>
        </w:rPr>
      </w:pPr>
      <w:r w:rsidRPr="001016D1">
        <w:rPr>
          <w:rFonts w:eastAsia="Calibri"/>
          <w:szCs w:val="24"/>
          <w:lang w:val="en-GB" w:eastAsia="en-US"/>
        </w:rPr>
        <w:t>(b)</w:t>
      </w:r>
      <w:r w:rsidRPr="001016D1">
        <w:rPr>
          <w:rFonts w:eastAsia="Calibri"/>
          <w:szCs w:val="24"/>
          <w:lang w:val="en-GB" w:eastAsia="en-US"/>
        </w:rPr>
        <w:tab/>
        <w:t>in paragraph 7, the second subparagraph is replaced by the following:</w:t>
      </w:r>
    </w:p>
    <w:p w14:paraId="75C55C55" w14:textId="77777777" w:rsidR="001D7FBB" w:rsidRPr="001016D1" w:rsidRDefault="001D7FBB" w:rsidP="001D7FBB">
      <w:pPr>
        <w:spacing w:before="120" w:after="120" w:line="360" w:lineRule="auto"/>
        <w:ind w:left="1418"/>
        <w:rPr>
          <w:rFonts w:eastAsia="Calibri"/>
          <w:szCs w:val="24"/>
          <w:lang w:val="en-GB" w:eastAsia="en-US"/>
        </w:rPr>
      </w:pPr>
      <w:r w:rsidRPr="001016D1">
        <w:rPr>
          <w:rFonts w:eastAsia="Calibri"/>
          <w:szCs w:val="24"/>
          <w:lang w:val="en-GB" w:eastAsia="en-US"/>
        </w:rPr>
        <w:t>‘A request for strategic amendment related to Article 17(5), Article 78b, Article 88(7), Article 103(5) or (6) or Article 103a shall not count for the limitation laid down in the first subparagraph of this paragraph.’;</w:t>
      </w:r>
    </w:p>
    <w:p w14:paraId="2F741AFF" w14:textId="77777777" w:rsidR="001D7FBB" w:rsidRPr="001016D1" w:rsidRDefault="001D7FBB" w:rsidP="001D7FBB">
      <w:pPr>
        <w:spacing w:before="120" w:after="120" w:line="360" w:lineRule="auto"/>
        <w:ind w:left="851" w:hanging="851"/>
        <w:rPr>
          <w:rFonts w:eastAsia="Calibri"/>
          <w:szCs w:val="24"/>
          <w:lang w:val="en-GB" w:eastAsia="en-US"/>
        </w:rPr>
      </w:pPr>
      <w:r w:rsidRPr="001016D1">
        <w:rPr>
          <w:rFonts w:eastAsia="Calibri"/>
          <w:szCs w:val="24"/>
          <w:lang w:val="en-GB" w:eastAsia="en-US"/>
        </w:rPr>
        <w:t>(12)</w:t>
      </w:r>
      <w:r w:rsidRPr="001016D1">
        <w:rPr>
          <w:rFonts w:eastAsia="Calibri"/>
          <w:szCs w:val="24"/>
          <w:lang w:val="en-GB" w:eastAsia="en-US"/>
        </w:rPr>
        <w:tab/>
        <w:t>in Article 121, second subparagraph, point (b) is replaced by the following:</w:t>
      </w:r>
    </w:p>
    <w:p w14:paraId="143C74B1" w14:textId="77777777" w:rsidR="001D7FBB" w:rsidRPr="001016D1" w:rsidRDefault="001D7FBB" w:rsidP="001D7FBB">
      <w:pPr>
        <w:spacing w:before="120" w:after="120" w:line="360" w:lineRule="auto"/>
        <w:ind w:left="1418" w:hanging="567"/>
        <w:rPr>
          <w:rFonts w:eastAsia="Calibri"/>
          <w:szCs w:val="24"/>
          <w:lang w:val="en-GB" w:eastAsia="en-US"/>
        </w:rPr>
      </w:pPr>
      <w:r w:rsidRPr="001016D1">
        <w:rPr>
          <w:rFonts w:eastAsia="Calibri"/>
          <w:szCs w:val="24"/>
          <w:lang w:val="en-GB" w:eastAsia="en-US"/>
        </w:rPr>
        <w:t>‘(b)</w:t>
      </w:r>
      <w:r w:rsidRPr="001016D1">
        <w:rPr>
          <w:rFonts w:eastAsia="Calibri"/>
          <w:szCs w:val="24"/>
          <w:lang w:val="en-GB" w:eastAsia="en-US"/>
        </w:rPr>
        <w:tab/>
        <w:t>for amendments related to Article 17(5), Article 88(7), Article 103(5) and Article 103a, the period for the adoption of the delegated act for the amendment of the allocations in accordance with Article 87(2).’;</w:t>
      </w:r>
    </w:p>
    <w:p w14:paraId="6E556BC9" w14:textId="77777777" w:rsidR="001D7FBB" w:rsidRPr="001016D1" w:rsidRDefault="001D7FBB" w:rsidP="001D7FBB">
      <w:pPr>
        <w:tabs>
          <w:tab w:val="num" w:pos="3119"/>
        </w:tabs>
        <w:spacing w:before="120" w:after="120" w:line="360" w:lineRule="auto"/>
        <w:ind w:left="851" w:hanging="851"/>
        <w:rPr>
          <w:rFonts w:eastAsia="Calibri"/>
          <w:szCs w:val="24"/>
          <w:lang w:val="en-GB" w:eastAsia="en-US"/>
        </w:rPr>
      </w:pPr>
      <w:r w:rsidRPr="001016D1">
        <w:rPr>
          <w:rFonts w:eastAsia="Calibri"/>
          <w:szCs w:val="24"/>
          <w:lang w:val="en-GB" w:eastAsia="en-US"/>
        </w:rPr>
        <w:t>(13)</w:t>
      </w:r>
      <w:r w:rsidRPr="001016D1">
        <w:rPr>
          <w:rFonts w:eastAsia="Calibri"/>
          <w:szCs w:val="24"/>
          <w:lang w:val="en-GB" w:eastAsia="en-US"/>
        </w:rPr>
        <w:tab/>
        <w:t>in Article 146, the following subparagraph is added:</w:t>
      </w:r>
    </w:p>
    <w:p w14:paraId="5E14F4C8" w14:textId="77777777" w:rsidR="001D7FBB" w:rsidRPr="001016D1" w:rsidRDefault="001D7FBB" w:rsidP="001D7FBB">
      <w:pPr>
        <w:spacing w:before="120" w:after="120" w:line="360" w:lineRule="auto"/>
        <w:ind w:left="851"/>
        <w:rPr>
          <w:rFonts w:eastAsia="Calibri"/>
          <w:szCs w:val="24"/>
          <w:lang w:val="en-GB" w:eastAsia="en-US"/>
        </w:rPr>
      </w:pPr>
      <w:r w:rsidRPr="001016D1">
        <w:rPr>
          <w:rFonts w:eastAsia="Calibri"/>
          <w:szCs w:val="24"/>
          <w:lang w:val="en-GB" w:eastAsia="en-US"/>
        </w:rPr>
        <w:t>‘Member States may provide additional national financing of up to 200 % of the EAFRD financing allocated in the CAP Strategic Plan for support under Article 78b.’;</w:t>
      </w:r>
    </w:p>
    <w:p w14:paraId="64FF72BF"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36E1FE47" w14:textId="77777777" w:rsidR="001D7FBB" w:rsidRPr="001016D1" w:rsidRDefault="001D7FBB" w:rsidP="001D7FBB">
      <w:pPr>
        <w:tabs>
          <w:tab w:val="num" w:pos="3119"/>
        </w:tabs>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(14)</w:t>
      </w:r>
      <w:r w:rsidRPr="001016D1">
        <w:rPr>
          <w:rFonts w:eastAsia="Calibri"/>
          <w:szCs w:val="24"/>
          <w:lang w:val="en-GB" w:eastAsia="en-US"/>
        </w:rPr>
        <w:tab/>
        <w:t>Annexes I and XV are amended in accordance with Annex I to this Regulation;</w:t>
      </w:r>
    </w:p>
    <w:p w14:paraId="16E4AB0F" w14:textId="77777777" w:rsidR="001D7FBB" w:rsidRPr="001016D1" w:rsidRDefault="001D7FBB" w:rsidP="001D7FBB">
      <w:pPr>
        <w:tabs>
          <w:tab w:val="num" w:pos="3119"/>
        </w:tabs>
        <w:spacing w:before="120" w:after="120" w:line="360" w:lineRule="auto"/>
        <w:ind w:left="851" w:hanging="851"/>
        <w:rPr>
          <w:rFonts w:eastAsia="Calibri"/>
          <w:szCs w:val="24"/>
          <w:lang w:val="en-GB" w:eastAsia="en-US"/>
        </w:rPr>
      </w:pPr>
      <w:r w:rsidRPr="001016D1">
        <w:rPr>
          <w:rFonts w:eastAsia="Calibri"/>
          <w:szCs w:val="24"/>
          <w:lang w:val="en-GB" w:eastAsia="en-US"/>
        </w:rPr>
        <w:t>(15)</w:t>
      </w:r>
      <w:r w:rsidRPr="001016D1">
        <w:rPr>
          <w:rFonts w:eastAsia="Calibri"/>
          <w:szCs w:val="24"/>
          <w:lang w:val="en-GB" w:eastAsia="en-US"/>
        </w:rPr>
        <w:tab/>
        <w:t>the text set out in Annex II to this Regulation is added as Annex XVI.</w:t>
      </w:r>
    </w:p>
    <w:p w14:paraId="5D8319F1" w14:textId="77777777" w:rsidR="001D7FBB" w:rsidRPr="001016D1" w:rsidRDefault="001D7FBB" w:rsidP="001D7FBB">
      <w:pPr>
        <w:keepNext/>
        <w:spacing w:before="120" w:after="120" w:line="360" w:lineRule="auto"/>
        <w:jc w:val="center"/>
        <w:rPr>
          <w:rFonts w:eastAsia="Calibri"/>
          <w:b/>
          <w:bCs/>
          <w:iCs/>
          <w:szCs w:val="24"/>
          <w:lang w:val="en-GB" w:eastAsia="en-US"/>
        </w:rPr>
      </w:pPr>
      <w:r w:rsidRPr="001016D1">
        <w:rPr>
          <w:rFonts w:eastAsia="Calibri"/>
          <w:i/>
          <w:szCs w:val="24"/>
          <w:lang w:val="en-GB" w:eastAsia="en-US"/>
        </w:rPr>
        <w:t>Article 2</w:t>
      </w:r>
      <w:r w:rsidRPr="001016D1">
        <w:rPr>
          <w:rFonts w:eastAsia="Calibri"/>
          <w:i/>
          <w:szCs w:val="24"/>
          <w:lang w:val="en-GB" w:eastAsia="en-US"/>
        </w:rPr>
        <w:br/>
      </w:r>
      <w:r w:rsidRPr="001016D1">
        <w:rPr>
          <w:rFonts w:eastAsia="Calibri"/>
          <w:b/>
          <w:bCs/>
          <w:iCs/>
          <w:szCs w:val="24"/>
          <w:lang w:val="en-GB" w:eastAsia="en-US"/>
        </w:rPr>
        <w:t>Amendments to Regulation (EU) 2021/2116</w:t>
      </w:r>
    </w:p>
    <w:p w14:paraId="098714EF"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Regulation (EU) 2021/2116 is amended as follows:</w:t>
      </w:r>
    </w:p>
    <w:p w14:paraId="1E3ADB42" w14:textId="77777777" w:rsidR="001D7FBB" w:rsidRPr="001016D1" w:rsidRDefault="001D7FBB" w:rsidP="001D7FBB">
      <w:pPr>
        <w:tabs>
          <w:tab w:val="num" w:pos="3119"/>
        </w:tabs>
        <w:spacing w:before="120" w:after="120" w:line="360" w:lineRule="auto"/>
        <w:ind w:left="851" w:hanging="851"/>
        <w:rPr>
          <w:rFonts w:eastAsia="Calibri"/>
          <w:szCs w:val="24"/>
          <w:lang w:val="en-GB" w:eastAsia="en-US"/>
        </w:rPr>
      </w:pPr>
      <w:r w:rsidRPr="001016D1">
        <w:rPr>
          <w:rFonts w:eastAsia="Calibri"/>
          <w:szCs w:val="24"/>
          <w:lang w:val="en-GB" w:eastAsia="en-US"/>
        </w:rPr>
        <w:t>(1)</w:t>
      </w:r>
      <w:r w:rsidRPr="001016D1">
        <w:rPr>
          <w:rFonts w:eastAsia="Calibri"/>
          <w:szCs w:val="24"/>
          <w:lang w:val="en-GB" w:eastAsia="en-US"/>
        </w:rPr>
        <w:tab/>
        <w:t>in Article 21(2), the first subparagraph is replaced by the following:</w:t>
      </w:r>
    </w:p>
    <w:p w14:paraId="52FA42ED" w14:textId="77777777" w:rsidR="001D7FBB" w:rsidRPr="001016D1" w:rsidRDefault="001D7FBB" w:rsidP="001D7FBB">
      <w:pPr>
        <w:spacing w:before="120" w:after="120" w:line="360" w:lineRule="auto"/>
        <w:ind w:left="1418" w:hanging="568"/>
        <w:rPr>
          <w:rFonts w:eastAsia="Calibri"/>
          <w:szCs w:val="24"/>
          <w:lang w:val="en-GB" w:eastAsia="en-US"/>
        </w:rPr>
      </w:pPr>
      <w:r w:rsidRPr="001016D1">
        <w:rPr>
          <w:rFonts w:eastAsia="Calibri"/>
          <w:szCs w:val="24"/>
          <w:lang w:val="en-GB" w:eastAsia="en-US"/>
        </w:rPr>
        <w:t>‘2.</w:t>
      </w:r>
      <w:r w:rsidRPr="001016D1">
        <w:rPr>
          <w:rFonts w:eastAsia="Calibri"/>
          <w:szCs w:val="24"/>
          <w:lang w:val="en-GB" w:eastAsia="en-US"/>
        </w:rPr>
        <w:tab/>
        <w:t>Monthly payments shall be made to each Member State on or before the third working day of the second month following that in which the expenditure is effected, taking account of the reductions or suspensions applied under Articles 39 to 42 or any other corrections. Expenditure effected by Member States between 1 and 15 October shall count as having been made in the month of October. Expenditure effected between 16 and 31 October shall count as having been made in the month of November. Expenditure effected by Member States to pay advances before 16 October in calendar year 2026 pursuant to Article 44(2), second subparagraph, point (a), shall count as having been made in the month of November and shall be declared in the declaration relating to that month.’;</w:t>
      </w:r>
    </w:p>
    <w:p w14:paraId="65E650AB" w14:textId="77777777" w:rsidR="001D7FBB" w:rsidRPr="001016D1" w:rsidRDefault="001D7FBB" w:rsidP="001D7FBB">
      <w:pPr>
        <w:spacing w:after="200" w:line="276" w:lineRule="auto"/>
        <w:rPr>
          <w:rFonts w:eastAsia="Calibri"/>
          <w:szCs w:val="24"/>
          <w:lang w:val="en-GB" w:eastAsia="en-US"/>
        </w:rPr>
      </w:pPr>
      <w:r w:rsidRPr="001016D1">
        <w:rPr>
          <w:rFonts w:eastAsia="Calibri"/>
          <w:szCs w:val="24"/>
          <w:lang w:val="en-GB" w:eastAsia="en-US"/>
        </w:rPr>
        <w:br w:type="page"/>
      </w:r>
    </w:p>
    <w:p w14:paraId="4FB19067" w14:textId="77777777" w:rsidR="001D7FBB" w:rsidRPr="001016D1" w:rsidRDefault="001D7FBB" w:rsidP="001D7FBB">
      <w:pPr>
        <w:tabs>
          <w:tab w:val="num" w:pos="3119"/>
        </w:tabs>
        <w:spacing w:before="120" w:after="120" w:line="360" w:lineRule="auto"/>
        <w:ind w:left="851" w:hanging="851"/>
        <w:rPr>
          <w:rFonts w:eastAsia="Calibri"/>
          <w:szCs w:val="24"/>
          <w:lang w:val="en-GB" w:eastAsia="en-US"/>
        </w:rPr>
      </w:pPr>
      <w:r w:rsidRPr="001016D1">
        <w:rPr>
          <w:rFonts w:eastAsia="Calibri"/>
          <w:szCs w:val="24"/>
          <w:lang w:val="en-GB" w:eastAsia="en-US"/>
        </w:rPr>
        <w:lastRenderedPageBreak/>
        <w:t>(2)</w:t>
      </w:r>
      <w:r w:rsidRPr="001016D1">
        <w:rPr>
          <w:rFonts w:eastAsia="Calibri"/>
          <w:szCs w:val="24"/>
          <w:lang w:val="en-GB" w:eastAsia="en-US"/>
        </w:rPr>
        <w:tab/>
        <w:t>Article 35 is replaced by the following:</w:t>
      </w:r>
    </w:p>
    <w:p w14:paraId="69FDA8EA" w14:textId="77777777" w:rsidR="001D7FBB" w:rsidRPr="001016D1" w:rsidRDefault="001D7FBB" w:rsidP="001D7FBB">
      <w:pPr>
        <w:spacing w:before="120" w:after="120" w:line="360" w:lineRule="auto"/>
        <w:ind w:left="850"/>
        <w:rPr>
          <w:rFonts w:eastAsia="Calibri"/>
          <w:i/>
          <w:iCs/>
          <w:szCs w:val="24"/>
          <w:lang w:val="en-GB" w:eastAsia="en-US"/>
        </w:rPr>
      </w:pPr>
      <w:r w:rsidRPr="001016D1">
        <w:rPr>
          <w:rFonts w:eastAsia="Calibri"/>
          <w:szCs w:val="24"/>
          <w:lang w:val="en-GB" w:eastAsia="en-US"/>
        </w:rPr>
        <w:t>‘</w:t>
      </w:r>
      <w:r w:rsidRPr="001016D1">
        <w:rPr>
          <w:rFonts w:eastAsia="Calibri"/>
          <w:i/>
          <w:iCs/>
          <w:szCs w:val="24"/>
          <w:lang w:val="en-GB" w:eastAsia="en-US"/>
        </w:rPr>
        <w:t>Article 35</w:t>
      </w:r>
      <w:r w:rsidRPr="001016D1">
        <w:rPr>
          <w:rFonts w:eastAsia="Calibri"/>
          <w:i/>
          <w:iCs/>
          <w:szCs w:val="24"/>
          <w:shd w:val="clear" w:color="auto" w:fill="EEECE1"/>
          <w:lang w:val="en-GB" w:eastAsia="en-US"/>
        </w:rPr>
        <w:t xml:space="preserve"> </w:t>
      </w:r>
      <w:r w:rsidRPr="001016D1">
        <w:rPr>
          <w:rFonts w:eastAsia="Calibri"/>
          <w:b/>
          <w:bCs/>
          <w:szCs w:val="24"/>
          <w:lang w:val="en-GB" w:eastAsia="en-US"/>
        </w:rPr>
        <w:br/>
        <w:t>Agricultural financial year</w:t>
      </w:r>
    </w:p>
    <w:p w14:paraId="43460F9F" w14:textId="77777777" w:rsidR="001D7FBB" w:rsidRPr="001016D1" w:rsidRDefault="001D7FBB" w:rsidP="001D7FBB">
      <w:pPr>
        <w:spacing w:before="120" w:after="120" w:line="360" w:lineRule="auto"/>
        <w:ind w:left="850"/>
        <w:rPr>
          <w:rFonts w:eastAsia="Calibri"/>
          <w:szCs w:val="24"/>
          <w:lang w:val="en-GB" w:eastAsia="en-US"/>
        </w:rPr>
      </w:pPr>
      <w:r w:rsidRPr="001016D1">
        <w:rPr>
          <w:rFonts w:eastAsia="Calibri"/>
          <w:szCs w:val="24"/>
          <w:lang w:val="en-GB" w:eastAsia="en-US"/>
        </w:rPr>
        <w:t xml:space="preserve">Without prejudice to special provisions on declarations of expenditure and revenue relating to public intervention laid down by the Commission pursuant to Article 47(2), first subparagraph, point (a), and on declarations of expenditure relating to advances paid before 16 October in calendar year 2026 pursuant to Article 44(2), second subparagraph, point (a), the financial year shall cover expenditure paid and revenue received and entered in the accounts of the EAGF and EAFRD by the paying agencies in respect of financial year N beginning on 16 October of year N – 1 and ending on 15 October of year N.’; </w:t>
      </w:r>
    </w:p>
    <w:p w14:paraId="71D20ED7" w14:textId="77777777" w:rsidR="001D7FBB" w:rsidRPr="001016D1" w:rsidRDefault="001D7FBB" w:rsidP="001D7FBB">
      <w:pPr>
        <w:tabs>
          <w:tab w:val="num" w:pos="3119"/>
        </w:tabs>
        <w:spacing w:before="120" w:after="120" w:line="360" w:lineRule="auto"/>
        <w:ind w:left="851" w:hanging="851"/>
        <w:rPr>
          <w:rFonts w:eastAsia="Calibri"/>
          <w:szCs w:val="24"/>
          <w:lang w:val="en-GB" w:eastAsia="en-US"/>
        </w:rPr>
      </w:pPr>
      <w:r w:rsidRPr="001016D1">
        <w:rPr>
          <w:rFonts w:eastAsia="Calibri"/>
          <w:szCs w:val="24"/>
          <w:lang w:val="en-GB" w:eastAsia="en-US"/>
        </w:rPr>
        <w:t>(3)</w:t>
      </w:r>
      <w:r w:rsidRPr="001016D1">
        <w:rPr>
          <w:rFonts w:eastAsia="Calibri"/>
          <w:szCs w:val="24"/>
          <w:lang w:val="en-GB" w:eastAsia="en-US"/>
        </w:rPr>
        <w:tab/>
        <w:t>in Article 44(2), second subparagraph, point (a) is replaced by the following:</w:t>
      </w:r>
    </w:p>
    <w:p w14:paraId="22904445" w14:textId="77777777" w:rsidR="001D7FBB" w:rsidRPr="001016D1" w:rsidRDefault="001D7FBB" w:rsidP="001D7FBB">
      <w:pPr>
        <w:spacing w:before="120" w:after="120" w:line="360" w:lineRule="auto"/>
        <w:ind w:left="1418" w:hanging="568"/>
        <w:rPr>
          <w:rFonts w:eastAsia="Calibri"/>
          <w:szCs w:val="24"/>
          <w:shd w:val="clear" w:color="auto" w:fill="EEECE1"/>
          <w:lang w:val="en-GB" w:eastAsia="en-US"/>
        </w:rPr>
      </w:pPr>
      <w:r w:rsidRPr="001016D1">
        <w:rPr>
          <w:rFonts w:eastAsia="Calibri"/>
          <w:szCs w:val="24"/>
          <w:lang w:val="en-GB" w:eastAsia="en-US"/>
        </w:rPr>
        <w:t>‘(a)</w:t>
      </w:r>
      <w:r w:rsidRPr="001016D1">
        <w:rPr>
          <w:rFonts w:eastAsia="Calibri"/>
          <w:szCs w:val="24"/>
          <w:lang w:val="en-GB" w:eastAsia="en-US"/>
        </w:rPr>
        <w:tab/>
        <w:t>prior to 1 December, but not before 16 October, pay advances of up to 70 % for interventions in the form of direct payments and for aid constituting direct payments under the measures referred to in Chapter IV of Regulation (EU) No 228/2013 and in Chapter IV of Regulation (EU) No 229/2013, and, in respect of claim year 2026, pay advances of up to 75 % for the interventions and the aid referred to in this point, including before 16 October 2026;’.</w:t>
      </w:r>
    </w:p>
    <w:p w14:paraId="1397CFC7" w14:textId="77777777" w:rsidR="001D7FBB" w:rsidRPr="001016D1" w:rsidRDefault="001D7FBB" w:rsidP="001D7FBB">
      <w:pPr>
        <w:spacing w:after="200" w:line="276" w:lineRule="auto"/>
        <w:rPr>
          <w:rFonts w:eastAsia="Calibri"/>
          <w:i/>
          <w:szCs w:val="24"/>
          <w:lang w:val="en-GB" w:eastAsia="en-US"/>
        </w:rPr>
      </w:pPr>
      <w:r w:rsidRPr="001016D1">
        <w:rPr>
          <w:rFonts w:eastAsia="Calibri"/>
          <w:szCs w:val="24"/>
          <w:lang w:val="en-GB" w:eastAsia="en-US"/>
        </w:rPr>
        <w:br w:type="page"/>
      </w:r>
    </w:p>
    <w:p w14:paraId="420ACE6C" w14:textId="77777777" w:rsidR="001D7FBB" w:rsidRPr="001016D1" w:rsidRDefault="001D7FBB" w:rsidP="001D7FBB">
      <w:pPr>
        <w:keepNext/>
        <w:spacing w:before="120" w:after="120" w:line="360" w:lineRule="auto"/>
        <w:jc w:val="center"/>
        <w:rPr>
          <w:rFonts w:eastAsia="Calibri"/>
          <w:iCs/>
          <w:szCs w:val="24"/>
          <w:lang w:val="en-GB" w:eastAsia="en-US"/>
        </w:rPr>
      </w:pPr>
      <w:r w:rsidRPr="001016D1">
        <w:rPr>
          <w:rFonts w:eastAsia="Calibri"/>
          <w:i/>
          <w:szCs w:val="24"/>
          <w:lang w:val="en-GB" w:eastAsia="en-US"/>
        </w:rPr>
        <w:lastRenderedPageBreak/>
        <w:t>Article 3</w:t>
      </w:r>
      <w:r w:rsidRPr="001016D1">
        <w:rPr>
          <w:rFonts w:eastAsia="Calibri"/>
          <w:i/>
          <w:szCs w:val="24"/>
          <w:lang w:val="en-GB" w:eastAsia="en-US"/>
        </w:rPr>
        <w:br/>
      </w:r>
      <w:r w:rsidRPr="001016D1">
        <w:rPr>
          <w:rFonts w:eastAsia="Calibri"/>
          <w:b/>
          <w:bCs/>
          <w:iCs/>
          <w:szCs w:val="24"/>
          <w:lang w:val="en-GB" w:eastAsia="en-US"/>
        </w:rPr>
        <w:t>Entry into force</w:t>
      </w:r>
    </w:p>
    <w:p w14:paraId="339DE9DD"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 xml:space="preserve">This Regulation shall enter into force on the day following that of its publication in the </w:t>
      </w:r>
      <w:r w:rsidRPr="001016D1">
        <w:rPr>
          <w:rFonts w:eastAsia="Calibri"/>
          <w:i/>
          <w:szCs w:val="24"/>
          <w:lang w:val="en-GB" w:eastAsia="en-US"/>
        </w:rPr>
        <w:t>Official Journal of the European Union</w:t>
      </w:r>
      <w:r w:rsidRPr="001016D1">
        <w:rPr>
          <w:rFonts w:eastAsia="Calibri"/>
          <w:szCs w:val="24"/>
          <w:lang w:val="en-GB" w:eastAsia="en-US"/>
        </w:rPr>
        <w:t>.</w:t>
      </w:r>
    </w:p>
    <w:p w14:paraId="4C219AF3" w14:textId="77777777" w:rsidR="001D7FBB" w:rsidRPr="001016D1" w:rsidRDefault="001D7FBB" w:rsidP="001D7FBB">
      <w:pPr>
        <w:spacing w:before="480" w:after="120" w:line="360" w:lineRule="auto"/>
        <w:rPr>
          <w:rFonts w:eastAsia="Calibri"/>
          <w:szCs w:val="24"/>
          <w:lang w:val="en-GB" w:eastAsia="en-US"/>
        </w:rPr>
      </w:pPr>
      <w:r w:rsidRPr="001016D1">
        <w:rPr>
          <w:rFonts w:eastAsia="Calibri"/>
          <w:szCs w:val="24"/>
          <w:lang w:val="en-GB" w:eastAsia="en-US"/>
        </w:rPr>
        <w:t>This Regulation shall be binding in its entirety and directly applicable in all Member States.</w:t>
      </w:r>
    </w:p>
    <w:p w14:paraId="40424A0C" w14:textId="77777777" w:rsidR="001D7FBB" w:rsidRPr="001016D1" w:rsidRDefault="001D7FBB" w:rsidP="001D7FBB">
      <w:pPr>
        <w:keepNext/>
        <w:spacing w:before="120" w:line="360" w:lineRule="auto"/>
        <w:jc w:val="both"/>
        <w:rPr>
          <w:rFonts w:eastAsia="Calibri"/>
          <w:szCs w:val="24"/>
          <w:lang w:val="en-GB" w:eastAsia="en-US"/>
        </w:rPr>
      </w:pPr>
      <w:r w:rsidRPr="001016D1">
        <w:rPr>
          <w:rFonts w:eastAsia="Calibri"/>
          <w:szCs w:val="24"/>
          <w:lang w:val="en-GB" w:eastAsia="en-US"/>
        </w:rPr>
        <w:t>Done at …,…</w:t>
      </w:r>
    </w:p>
    <w:p w14:paraId="4A1F8C2B" w14:textId="77777777" w:rsidR="001D7FBB" w:rsidRPr="001016D1" w:rsidRDefault="001D7FBB" w:rsidP="001D7FBB">
      <w:pPr>
        <w:keepNext/>
        <w:tabs>
          <w:tab w:val="left" w:pos="4252"/>
        </w:tabs>
        <w:spacing w:before="720" w:line="360" w:lineRule="auto"/>
        <w:jc w:val="both"/>
        <w:rPr>
          <w:rFonts w:eastAsia="Calibri"/>
          <w:i/>
          <w:szCs w:val="24"/>
          <w:lang w:val="en-GB" w:eastAsia="en-US"/>
        </w:rPr>
      </w:pPr>
      <w:r w:rsidRPr="001016D1">
        <w:rPr>
          <w:rFonts w:eastAsia="Calibri"/>
          <w:i/>
          <w:szCs w:val="24"/>
          <w:lang w:val="en-GB" w:eastAsia="en-US"/>
        </w:rPr>
        <w:t>For the European Parliament</w:t>
      </w:r>
      <w:r w:rsidRPr="001016D1">
        <w:rPr>
          <w:rFonts w:eastAsia="Calibri"/>
          <w:i/>
          <w:szCs w:val="24"/>
          <w:lang w:val="en-GB" w:eastAsia="en-US"/>
        </w:rPr>
        <w:tab/>
        <w:t>For the Council</w:t>
      </w:r>
    </w:p>
    <w:p w14:paraId="37513759" w14:textId="77777777" w:rsidR="001D7FBB" w:rsidRPr="001016D1" w:rsidRDefault="001D7FBB" w:rsidP="001D7FBB">
      <w:pPr>
        <w:tabs>
          <w:tab w:val="left" w:pos="4252"/>
        </w:tabs>
        <w:spacing w:after="120"/>
        <w:rPr>
          <w:rFonts w:eastAsia="Calibri"/>
          <w:i/>
          <w:szCs w:val="24"/>
          <w:lang w:val="en-GB" w:eastAsia="en-US"/>
        </w:rPr>
      </w:pPr>
      <w:r w:rsidRPr="001016D1">
        <w:rPr>
          <w:rFonts w:eastAsia="Calibri"/>
          <w:i/>
          <w:szCs w:val="24"/>
          <w:lang w:val="en-GB" w:eastAsia="en-US"/>
        </w:rPr>
        <w:t>The President</w:t>
      </w:r>
      <w:r w:rsidRPr="001016D1">
        <w:rPr>
          <w:rFonts w:eastAsia="Calibri"/>
          <w:i/>
          <w:szCs w:val="24"/>
          <w:lang w:val="en-GB" w:eastAsia="en-US"/>
        </w:rPr>
        <w:tab/>
        <w:t>The President</w:t>
      </w:r>
    </w:p>
    <w:p w14:paraId="7843215E" w14:textId="77777777" w:rsidR="001D7FBB" w:rsidRPr="001016D1" w:rsidRDefault="001D7FBB" w:rsidP="001D7FBB">
      <w:pPr>
        <w:keepNext/>
        <w:tabs>
          <w:tab w:val="left" w:pos="4252"/>
        </w:tabs>
        <w:spacing w:before="720"/>
        <w:jc w:val="both"/>
        <w:rPr>
          <w:rFonts w:eastAsia="Calibri"/>
          <w:i/>
          <w:szCs w:val="24"/>
          <w:lang w:val="en-GB" w:eastAsia="en-US"/>
        </w:rPr>
        <w:sectPr w:rsidR="001D7FBB" w:rsidRPr="001016D1" w:rsidSect="003669CF">
          <w:footnotePr>
            <w:numRestart w:val="eachSect"/>
          </w:footnotePr>
          <w:endnotePr>
            <w:numFmt w:val="decimal"/>
          </w:endnotePr>
          <w:pgSz w:w="11905" w:h="16837" w:code="9"/>
          <w:pgMar w:top="1134" w:right="1418" w:bottom="1418" w:left="1418" w:header="720" w:footer="397" w:gutter="0"/>
          <w:cols w:space="720"/>
          <w:noEndnote/>
          <w:docGrid w:linePitch="326"/>
        </w:sectPr>
      </w:pPr>
    </w:p>
    <w:p w14:paraId="1B0B9BE5" w14:textId="77777777" w:rsidR="001D7FBB" w:rsidRPr="001016D1" w:rsidRDefault="001D7FBB" w:rsidP="001D7FBB">
      <w:pPr>
        <w:spacing w:before="120" w:after="120" w:line="360" w:lineRule="auto"/>
        <w:jc w:val="center"/>
        <w:rPr>
          <w:rFonts w:eastAsia="Calibri"/>
          <w:i/>
          <w:iCs/>
          <w:szCs w:val="24"/>
          <w:lang w:val="en-GB" w:eastAsia="en-US"/>
        </w:rPr>
      </w:pPr>
      <w:r w:rsidRPr="001016D1">
        <w:rPr>
          <w:rFonts w:eastAsia="Calibri"/>
          <w:i/>
          <w:iCs/>
          <w:szCs w:val="24"/>
          <w:lang w:val="en-GB" w:eastAsia="en-US"/>
        </w:rPr>
        <w:lastRenderedPageBreak/>
        <w:t>ANNEX I</w:t>
      </w:r>
    </w:p>
    <w:p w14:paraId="27685A43" w14:textId="77777777" w:rsidR="001D7FBB" w:rsidRPr="001016D1" w:rsidRDefault="001D7FBB" w:rsidP="001D7FBB">
      <w:pPr>
        <w:spacing w:before="120" w:after="120" w:line="360" w:lineRule="auto"/>
        <w:jc w:val="both"/>
        <w:rPr>
          <w:rFonts w:eastAsia="Calibri"/>
          <w:szCs w:val="24"/>
          <w:lang w:val="en-GB" w:eastAsia="en-US"/>
        </w:rPr>
      </w:pPr>
      <w:r w:rsidRPr="001016D1">
        <w:rPr>
          <w:rFonts w:eastAsia="Calibri"/>
          <w:szCs w:val="24"/>
          <w:lang w:val="en-GB" w:eastAsia="en-US"/>
        </w:rPr>
        <w:t>Annexes I and XV to Regulation (EU) 2021/2115 are amended as follows:</w:t>
      </w:r>
    </w:p>
    <w:p w14:paraId="695B8D69" w14:textId="78CB5C5D" w:rsidR="001D7FBB" w:rsidRPr="001016D1" w:rsidRDefault="00C552A1" w:rsidP="001D7FBB">
      <w:pPr>
        <w:tabs>
          <w:tab w:val="num" w:pos="850"/>
        </w:tabs>
        <w:spacing w:before="120" w:after="120" w:line="360" w:lineRule="auto"/>
        <w:ind w:left="850" w:hanging="850"/>
        <w:rPr>
          <w:rFonts w:eastAsia="Calibri"/>
          <w:szCs w:val="24"/>
          <w:lang w:val="en-GB" w:eastAsia="en-US"/>
        </w:rPr>
      </w:pPr>
      <w:r w:rsidRPr="001016D1">
        <w:rPr>
          <w:rFonts w:eastAsia="Calibri"/>
          <w:szCs w:val="24"/>
          <w:lang w:val="en-GB" w:eastAsia="en-US"/>
        </w:rPr>
        <w:t>(1)</w:t>
      </w:r>
      <w:r w:rsidRPr="001016D1">
        <w:rPr>
          <w:rFonts w:eastAsia="Calibri"/>
          <w:szCs w:val="24"/>
          <w:lang w:val="en-GB" w:eastAsia="en-US"/>
        </w:rPr>
        <w:tab/>
      </w:r>
      <w:r w:rsidR="001D7FBB" w:rsidRPr="001016D1">
        <w:rPr>
          <w:rFonts w:eastAsia="Calibri"/>
          <w:szCs w:val="24"/>
          <w:lang w:val="en-GB" w:eastAsia="en-US"/>
        </w:rPr>
        <w:t>in Annex I, in the table ‘Monitoring – OUTPUT – Types of intervention and their output indicators’, the following entry is inserted after the row ‘Crisis payments for farmers following natural disasters, adverse climatic events or catastrophic events (Article 78a)’:</w:t>
      </w:r>
    </w:p>
    <w:p w14:paraId="784CE383" w14:textId="77777777" w:rsidR="001D7FBB" w:rsidRPr="001016D1" w:rsidRDefault="001D7FBB" w:rsidP="001D7FBB">
      <w:pPr>
        <w:spacing w:before="120" w:after="120" w:line="360" w:lineRule="auto"/>
        <w:rPr>
          <w:rFonts w:eastAsia="Calibri"/>
          <w:szCs w:val="24"/>
          <w:lang w:val="en-GB" w:eastAsia="en-US"/>
        </w:rPr>
      </w:pPr>
      <w:r w:rsidRPr="001016D1">
        <w:rPr>
          <w:rFonts w:eastAsia="Calibri"/>
          <w:szCs w:val="24"/>
          <w:lang w:val="en-GB" w:eastAsia="en-US"/>
        </w:rPr>
        <w:t>‘</w:t>
      </w:r>
    </w:p>
    <w:tbl>
      <w:tblPr>
        <w:tblStyle w:val="TableGrid"/>
        <w:tblW w:w="0" w:type="auto"/>
        <w:tblInd w:w="426" w:type="dxa"/>
        <w:tblLook w:val="04A0" w:firstRow="1" w:lastRow="0" w:firstColumn="1" w:lastColumn="0" w:noHBand="0" w:noVBand="1"/>
      </w:tblPr>
      <w:tblGrid>
        <w:gridCol w:w="4341"/>
        <w:gridCol w:w="4292"/>
      </w:tblGrid>
      <w:tr w:rsidR="001D7FBB" w:rsidRPr="005A35B0" w14:paraId="22C3FE15" w14:textId="77777777" w:rsidTr="00ED5241">
        <w:tc>
          <w:tcPr>
            <w:tcW w:w="4341" w:type="dxa"/>
          </w:tcPr>
          <w:p w14:paraId="38C107C9" w14:textId="77777777" w:rsidR="001D7FBB" w:rsidRPr="001016D1" w:rsidRDefault="001D7FBB" w:rsidP="001D7FBB">
            <w:pPr>
              <w:spacing w:line="360" w:lineRule="auto"/>
              <w:rPr>
                <w:szCs w:val="24"/>
                <w:lang w:val="en-GB"/>
              </w:rPr>
            </w:pPr>
            <w:r w:rsidRPr="001016D1">
              <w:rPr>
                <w:szCs w:val="24"/>
                <w:lang w:val="en-GB"/>
              </w:rPr>
              <w:t>Support to farmers affected by the severe increase in fertiliser prices due to the Middle East crisis (Article 78b)</w:t>
            </w:r>
          </w:p>
        </w:tc>
        <w:tc>
          <w:tcPr>
            <w:tcW w:w="4292" w:type="dxa"/>
          </w:tcPr>
          <w:p w14:paraId="605472C6" w14:textId="77777777" w:rsidR="001D7FBB" w:rsidRPr="001016D1" w:rsidRDefault="001D7FBB" w:rsidP="001D7FBB">
            <w:pPr>
              <w:spacing w:line="360" w:lineRule="auto"/>
              <w:rPr>
                <w:szCs w:val="24"/>
                <w:lang w:val="en-GB"/>
              </w:rPr>
            </w:pPr>
            <w:r w:rsidRPr="001016D1">
              <w:rPr>
                <w:szCs w:val="24"/>
                <w:lang w:val="en-GB"/>
              </w:rPr>
              <w:t>O.9b Number of farmers benefitting from support following the severe increase in fertiliser prices</w:t>
            </w:r>
          </w:p>
        </w:tc>
      </w:tr>
    </w:tbl>
    <w:p w14:paraId="53F73189" w14:textId="09286BCD" w:rsidR="001D7FBB" w:rsidRPr="001016D1" w:rsidRDefault="00ED5241" w:rsidP="001D7FBB">
      <w:pPr>
        <w:spacing w:before="120" w:after="120" w:line="360" w:lineRule="auto"/>
        <w:rPr>
          <w:rFonts w:eastAsia="Calibri"/>
          <w:szCs w:val="24"/>
          <w:lang w:val="en-GB" w:eastAsia="en-US"/>
        </w:rPr>
      </w:pPr>
      <w:r w:rsidRPr="001016D1">
        <w:rPr>
          <w:rFonts w:eastAsia="Calibri"/>
          <w:szCs w:val="24"/>
          <w:lang w:val="en-GB" w:eastAsia="en-US"/>
        </w:rPr>
        <w:t>’</w:t>
      </w:r>
      <w:r w:rsidR="001D7FBB" w:rsidRPr="001016D1">
        <w:rPr>
          <w:rFonts w:eastAsia="Calibri"/>
          <w:szCs w:val="24"/>
          <w:lang w:val="en-GB" w:eastAsia="en-US"/>
        </w:rPr>
        <w:t>;</w:t>
      </w:r>
    </w:p>
    <w:p w14:paraId="4D3440AA" w14:textId="5B6AB451" w:rsidR="001D7FBB" w:rsidRPr="001016D1" w:rsidRDefault="00C552A1" w:rsidP="001D7FBB">
      <w:pPr>
        <w:tabs>
          <w:tab w:val="num" w:pos="850"/>
        </w:tabs>
        <w:spacing w:before="120" w:after="120" w:line="360" w:lineRule="auto"/>
        <w:ind w:left="850" w:hanging="850"/>
        <w:rPr>
          <w:rFonts w:eastAsia="Calibri"/>
          <w:szCs w:val="24"/>
          <w:lang w:val="en-GB" w:eastAsia="en-US"/>
        </w:rPr>
      </w:pPr>
      <w:r w:rsidRPr="001016D1">
        <w:rPr>
          <w:rFonts w:eastAsia="Calibri"/>
          <w:szCs w:val="24"/>
          <w:lang w:val="en-GB" w:eastAsia="en-US"/>
        </w:rPr>
        <w:t>(2)</w:t>
      </w:r>
      <w:r w:rsidRPr="001016D1">
        <w:rPr>
          <w:rFonts w:eastAsia="Calibri"/>
          <w:szCs w:val="24"/>
          <w:lang w:val="en-GB" w:eastAsia="en-US"/>
        </w:rPr>
        <w:tab/>
      </w:r>
      <w:r w:rsidR="001D7FBB" w:rsidRPr="001016D1">
        <w:rPr>
          <w:rFonts w:eastAsia="Calibri"/>
          <w:szCs w:val="24"/>
          <w:lang w:val="en-GB" w:eastAsia="en-US"/>
        </w:rPr>
        <w:t xml:space="preserve"> the title of Annex XV is replaced by the following:</w:t>
      </w:r>
    </w:p>
    <w:p w14:paraId="68A1A92D" w14:textId="77777777" w:rsidR="001D7FBB" w:rsidRPr="001016D1" w:rsidRDefault="001D7FBB" w:rsidP="001D7FBB">
      <w:pPr>
        <w:spacing w:before="120" w:after="120" w:line="360" w:lineRule="auto"/>
        <w:ind w:left="426" w:firstLine="294"/>
        <w:rPr>
          <w:i/>
          <w:szCs w:val="24"/>
          <w:lang w:val="en-GB"/>
        </w:rPr>
      </w:pPr>
      <w:r w:rsidRPr="001016D1">
        <w:rPr>
          <w:i/>
          <w:szCs w:val="24"/>
          <w:lang w:val="en-GB"/>
        </w:rPr>
        <w:t>‘Annex XV</w:t>
      </w:r>
    </w:p>
    <w:p w14:paraId="1CE40103" w14:textId="77777777" w:rsidR="001D7FBB" w:rsidRPr="001016D1" w:rsidRDefault="001D7FBB" w:rsidP="001D7FBB">
      <w:pPr>
        <w:spacing w:before="120" w:after="120" w:line="360" w:lineRule="auto"/>
        <w:ind w:left="720"/>
        <w:rPr>
          <w:szCs w:val="24"/>
          <w:lang w:val="en-GB"/>
        </w:rPr>
      </w:pPr>
      <w:r w:rsidRPr="001016D1">
        <w:rPr>
          <w:szCs w:val="24"/>
          <w:lang w:val="en-GB"/>
        </w:rPr>
        <w:t>Maximum amount per Member State that can be reserved for crisis payments to farmers referred to in Article 78a and for support to farmers referred to in Article 78b’.</w:t>
      </w:r>
    </w:p>
    <w:p w14:paraId="14A05183" w14:textId="77777777" w:rsidR="001D7FBB" w:rsidRPr="001016D1" w:rsidRDefault="001D7FBB" w:rsidP="001D7FBB">
      <w:pPr>
        <w:spacing w:before="120" w:after="120" w:line="360" w:lineRule="auto"/>
        <w:jc w:val="both"/>
        <w:rPr>
          <w:rFonts w:eastAsia="Calibri"/>
          <w:i/>
          <w:iCs/>
          <w:szCs w:val="24"/>
          <w:lang w:val="en-GB" w:eastAsia="en-US"/>
        </w:rPr>
        <w:sectPr w:rsidR="001D7FBB" w:rsidRPr="001016D1" w:rsidSect="003669CF">
          <w:footnotePr>
            <w:numRestart w:val="eachSect"/>
          </w:footnotePr>
          <w:endnotePr>
            <w:numFmt w:val="decimal"/>
          </w:endnotePr>
          <w:pgSz w:w="11905" w:h="16837" w:code="9"/>
          <w:pgMar w:top="1134" w:right="1418" w:bottom="1418" w:left="1418" w:header="720" w:footer="397" w:gutter="0"/>
          <w:cols w:space="720"/>
          <w:noEndnote/>
          <w:docGrid w:linePitch="326"/>
        </w:sectPr>
      </w:pPr>
    </w:p>
    <w:p w14:paraId="2599DFFD" w14:textId="77777777" w:rsidR="001D7FBB" w:rsidRPr="001016D1" w:rsidRDefault="001D7FBB" w:rsidP="001D7FBB">
      <w:pPr>
        <w:spacing w:before="120" w:after="120" w:line="360" w:lineRule="auto"/>
        <w:jc w:val="center"/>
        <w:rPr>
          <w:rFonts w:eastAsia="Calibri"/>
          <w:i/>
          <w:iCs/>
          <w:szCs w:val="24"/>
          <w:lang w:val="en-GB" w:eastAsia="en-US"/>
        </w:rPr>
      </w:pPr>
      <w:r w:rsidRPr="001016D1">
        <w:rPr>
          <w:rFonts w:eastAsia="Calibri"/>
          <w:i/>
          <w:iCs/>
          <w:szCs w:val="24"/>
          <w:lang w:val="en-GB" w:eastAsia="en-US"/>
        </w:rPr>
        <w:lastRenderedPageBreak/>
        <w:t xml:space="preserve">ANNEX II </w:t>
      </w:r>
    </w:p>
    <w:p w14:paraId="1B32A7E2" w14:textId="77777777" w:rsidR="001D7FBB" w:rsidRPr="001016D1" w:rsidRDefault="001D7FBB" w:rsidP="001D7FBB">
      <w:pPr>
        <w:spacing w:before="120" w:after="120" w:line="360" w:lineRule="auto"/>
        <w:jc w:val="center"/>
        <w:rPr>
          <w:rFonts w:eastAsia="Calibri"/>
          <w:i/>
          <w:iCs/>
          <w:szCs w:val="24"/>
          <w:lang w:val="en-GB" w:eastAsia="en-US"/>
        </w:rPr>
      </w:pPr>
      <w:r w:rsidRPr="001016D1">
        <w:rPr>
          <w:rFonts w:eastAsia="Calibri"/>
          <w:i/>
          <w:iCs/>
          <w:szCs w:val="24"/>
          <w:lang w:val="en-GB" w:eastAsia="en-US"/>
        </w:rPr>
        <w:t xml:space="preserve">‘Annex XVI </w:t>
      </w:r>
    </w:p>
    <w:p w14:paraId="015F3AB5" w14:textId="77777777" w:rsidR="001D7FBB" w:rsidRPr="001016D1" w:rsidRDefault="001D7FBB" w:rsidP="001D7FBB">
      <w:pPr>
        <w:spacing w:before="120" w:after="120" w:line="360" w:lineRule="auto"/>
        <w:jc w:val="center"/>
        <w:rPr>
          <w:rFonts w:eastAsia="Calibri"/>
          <w:b/>
          <w:bCs/>
          <w:i/>
          <w:iCs/>
          <w:szCs w:val="24"/>
          <w:lang w:val="en-GB" w:eastAsia="en-US"/>
        </w:rPr>
      </w:pPr>
      <w:r w:rsidRPr="001016D1">
        <w:rPr>
          <w:rFonts w:eastAsia="Calibri"/>
          <w:b/>
          <w:bCs/>
          <w:i/>
          <w:iCs/>
          <w:szCs w:val="24"/>
          <w:lang w:val="en-GB" w:eastAsia="en-US"/>
        </w:rPr>
        <w:t xml:space="preserve">MAXIMUM AMOUNTS REFERRED TO IN ARTICLE 103A </w:t>
      </w:r>
    </w:p>
    <w:p w14:paraId="3D5BEEAC" w14:textId="77777777" w:rsidR="001D7FBB" w:rsidRPr="001016D1" w:rsidRDefault="001D7FBB" w:rsidP="001D7FBB">
      <w:pPr>
        <w:spacing w:before="360" w:after="120" w:line="360" w:lineRule="auto"/>
        <w:jc w:val="both"/>
        <w:rPr>
          <w:rFonts w:eastAsia="Calibri"/>
          <w:i/>
          <w:iCs/>
          <w:szCs w:val="24"/>
          <w:lang w:val="en-GB" w:eastAsia="en-US"/>
        </w:rPr>
      </w:pPr>
      <w:r w:rsidRPr="001016D1">
        <w:rPr>
          <w:rFonts w:eastAsia="Calibri"/>
          <w:i/>
          <w:iCs/>
          <w:szCs w:val="24"/>
          <w:lang w:val="en-GB" w:eastAsia="en-US"/>
        </w:rPr>
        <w:t xml:space="preserve">Maximum amount of increase for allocations for direct payments for calendar year 2027 per Member State </w:t>
      </w:r>
    </w:p>
    <w:tbl>
      <w:tblPr>
        <w:tblStyle w:val="TableGrid1"/>
        <w:tblW w:w="0" w:type="auto"/>
        <w:tblInd w:w="1696" w:type="dxa"/>
        <w:tblLook w:val="04A0" w:firstRow="1" w:lastRow="0" w:firstColumn="1" w:lastColumn="0" w:noHBand="0" w:noVBand="1"/>
      </w:tblPr>
      <w:tblGrid>
        <w:gridCol w:w="2417"/>
        <w:gridCol w:w="2374"/>
      </w:tblGrid>
      <w:tr w:rsidR="001D7FBB" w:rsidRPr="001016D1" w14:paraId="28F71384" w14:textId="77777777" w:rsidTr="00933247">
        <w:trPr>
          <w:trHeight w:val="300"/>
        </w:trPr>
        <w:tc>
          <w:tcPr>
            <w:tcW w:w="2417" w:type="dxa"/>
            <w:noWrap/>
          </w:tcPr>
          <w:p w14:paraId="0AE009D1" w14:textId="77777777" w:rsidR="001D7FBB" w:rsidRPr="001016D1" w:rsidRDefault="001D7FBB" w:rsidP="001D7FBB">
            <w:pPr>
              <w:spacing w:before="120" w:after="120"/>
              <w:jc w:val="both"/>
              <w:rPr>
                <w:rFonts w:ascii="Times New Roman" w:hAnsi="Times New Roman" w:cs="Times New Roman"/>
                <w:lang w:val="en-GB"/>
              </w:rPr>
            </w:pPr>
          </w:p>
        </w:tc>
        <w:tc>
          <w:tcPr>
            <w:tcW w:w="2374" w:type="dxa"/>
            <w:noWrap/>
          </w:tcPr>
          <w:p w14:paraId="4FE540E3"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EUR (current prices)</w:t>
            </w:r>
          </w:p>
        </w:tc>
      </w:tr>
      <w:tr w:rsidR="001D7FBB" w:rsidRPr="001016D1" w14:paraId="7A0AA5EC" w14:textId="77777777" w:rsidTr="00933247">
        <w:trPr>
          <w:trHeight w:val="300"/>
        </w:trPr>
        <w:tc>
          <w:tcPr>
            <w:tcW w:w="2417" w:type="dxa"/>
            <w:noWrap/>
            <w:hideMark/>
          </w:tcPr>
          <w:p w14:paraId="29B47AA2"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Belgium</w:t>
            </w:r>
          </w:p>
        </w:tc>
        <w:tc>
          <w:tcPr>
            <w:tcW w:w="2374" w:type="dxa"/>
            <w:noWrap/>
            <w:hideMark/>
          </w:tcPr>
          <w:p w14:paraId="0BD15DDD"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20 700 224</w:t>
            </w:r>
          </w:p>
        </w:tc>
      </w:tr>
      <w:tr w:rsidR="001D7FBB" w:rsidRPr="001016D1" w14:paraId="1F71277E" w14:textId="77777777" w:rsidTr="00933247">
        <w:trPr>
          <w:trHeight w:val="300"/>
        </w:trPr>
        <w:tc>
          <w:tcPr>
            <w:tcW w:w="2417" w:type="dxa"/>
            <w:noWrap/>
            <w:hideMark/>
          </w:tcPr>
          <w:p w14:paraId="058C493F"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Bulgaria</w:t>
            </w:r>
          </w:p>
        </w:tc>
        <w:tc>
          <w:tcPr>
            <w:tcW w:w="2374" w:type="dxa"/>
            <w:noWrap/>
            <w:hideMark/>
          </w:tcPr>
          <w:p w14:paraId="71E2A8C3"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84 648 793</w:t>
            </w:r>
          </w:p>
        </w:tc>
      </w:tr>
      <w:tr w:rsidR="001D7FBB" w:rsidRPr="001016D1" w14:paraId="062B1775" w14:textId="77777777" w:rsidTr="00933247">
        <w:trPr>
          <w:trHeight w:val="300"/>
        </w:trPr>
        <w:tc>
          <w:tcPr>
            <w:tcW w:w="2417" w:type="dxa"/>
            <w:noWrap/>
            <w:hideMark/>
          </w:tcPr>
          <w:p w14:paraId="5304E0E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Czechia</w:t>
            </w:r>
          </w:p>
        </w:tc>
        <w:tc>
          <w:tcPr>
            <w:tcW w:w="2374" w:type="dxa"/>
            <w:noWrap/>
            <w:hideMark/>
          </w:tcPr>
          <w:p w14:paraId="7D357088"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64 796 927</w:t>
            </w:r>
          </w:p>
        </w:tc>
      </w:tr>
      <w:tr w:rsidR="001D7FBB" w:rsidRPr="001016D1" w14:paraId="5DE14D5A" w14:textId="77777777" w:rsidTr="00933247">
        <w:trPr>
          <w:trHeight w:val="300"/>
        </w:trPr>
        <w:tc>
          <w:tcPr>
            <w:tcW w:w="2417" w:type="dxa"/>
            <w:noWrap/>
            <w:hideMark/>
          </w:tcPr>
          <w:p w14:paraId="3E2F9555"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Denmark</w:t>
            </w:r>
          </w:p>
        </w:tc>
        <w:tc>
          <w:tcPr>
            <w:tcW w:w="2374" w:type="dxa"/>
            <w:noWrap/>
            <w:hideMark/>
          </w:tcPr>
          <w:p w14:paraId="4280AFB3"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18 983 515</w:t>
            </w:r>
          </w:p>
        </w:tc>
      </w:tr>
      <w:tr w:rsidR="001D7FBB" w:rsidRPr="001016D1" w14:paraId="031B4F70" w14:textId="77777777" w:rsidTr="00933247">
        <w:trPr>
          <w:trHeight w:val="300"/>
        </w:trPr>
        <w:tc>
          <w:tcPr>
            <w:tcW w:w="2417" w:type="dxa"/>
            <w:noWrap/>
            <w:hideMark/>
          </w:tcPr>
          <w:p w14:paraId="2761620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Germany</w:t>
            </w:r>
          </w:p>
        </w:tc>
        <w:tc>
          <w:tcPr>
            <w:tcW w:w="2374" w:type="dxa"/>
            <w:noWrap/>
            <w:hideMark/>
          </w:tcPr>
          <w:p w14:paraId="5DFB0C7F"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273 089 935</w:t>
            </w:r>
          </w:p>
        </w:tc>
      </w:tr>
      <w:tr w:rsidR="001D7FBB" w:rsidRPr="001016D1" w14:paraId="7BA3D7BA" w14:textId="77777777" w:rsidTr="00933247">
        <w:trPr>
          <w:trHeight w:val="300"/>
        </w:trPr>
        <w:tc>
          <w:tcPr>
            <w:tcW w:w="2417" w:type="dxa"/>
            <w:noWrap/>
            <w:hideMark/>
          </w:tcPr>
          <w:p w14:paraId="49C3335C"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Estonia</w:t>
            </w:r>
          </w:p>
        </w:tc>
        <w:tc>
          <w:tcPr>
            <w:tcW w:w="2374" w:type="dxa"/>
            <w:noWrap/>
            <w:hideMark/>
          </w:tcPr>
          <w:p w14:paraId="609628B0"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26 404 994</w:t>
            </w:r>
          </w:p>
        </w:tc>
      </w:tr>
      <w:tr w:rsidR="001D7FBB" w:rsidRPr="001016D1" w14:paraId="012327C6" w14:textId="77777777" w:rsidTr="00933247">
        <w:trPr>
          <w:trHeight w:val="300"/>
        </w:trPr>
        <w:tc>
          <w:tcPr>
            <w:tcW w:w="2417" w:type="dxa"/>
            <w:noWrap/>
            <w:hideMark/>
          </w:tcPr>
          <w:p w14:paraId="5797FB12"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Ireland</w:t>
            </w:r>
          </w:p>
        </w:tc>
        <w:tc>
          <w:tcPr>
            <w:tcW w:w="2374" w:type="dxa"/>
            <w:noWrap/>
            <w:hideMark/>
          </w:tcPr>
          <w:p w14:paraId="7C87CF28"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77 910 157</w:t>
            </w:r>
          </w:p>
        </w:tc>
      </w:tr>
      <w:tr w:rsidR="001D7FBB" w:rsidRPr="001016D1" w14:paraId="4E93488D" w14:textId="77777777" w:rsidTr="00933247">
        <w:trPr>
          <w:trHeight w:val="300"/>
        </w:trPr>
        <w:tc>
          <w:tcPr>
            <w:tcW w:w="2417" w:type="dxa"/>
            <w:noWrap/>
            <w:hideMark/>
          </w:tcPr>
          <w:p w14:paraId="3CB97C52"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Greece</w:t>
            </w:r>
          </w:p>
        </w:tc>
        <w:tc>
          <w:tcPr>
            <w:tcW w:w="2374" w:type="dxa"/>
            <w:noWrap/>
            <w:hideMark/>
          </w:tcPr>
          <w:p w14:paraId="32E321C5"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139 238 400</w:t>
            </w:r>
          </w:p>
        </w:tc>
      </w:tr>
      <w:tr w:rsidR="001D7FBB" w:rsidRPr="001016D1" w14:paraId="1EF843E7" w14:textId="77777777" w:rsidTr="00933247">
        <w:trPr>
          <w:trHeight w:val="300"/>
        </w:trPr>
        <w:tc>
          <w:tcPr>
            <w:tcW w:w="2417" w:type="dxa"/>
            <w:noWrap/>
            <w:hideMark/>
          </w:tcPr>
          <w:p w14:paraId="035315BA"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Spain</w:t>
            </w:r>
          </w:p>
        </w:tc>
        <w:tc>
          <w:tcPr>
            <w:tcW w:w="2374" w:type="dxa"/>
            <w:noWrap/>
            <w:hideMark/>
          </w:tcPr>
          <w:p w14:paraId="25754582"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324 114 848</w:t>
            </w:r>
          </w:p>
        </w:tc>
      </w:tr>
      <w:tr w:rsidR="001D7FBB" w:rsidRPr="001016D1" w14:paraId="4B49A1E7" w14:textId="77777777" w:rsidTr="00933247">
        <w:trPr>
          <w:trHeight w:val="300"/>
        </w:trPr>
        <w:tc>
          <w:tcPr>
            <w:tcW w:w="2417" w:type="dxa"/>
            <w:noWrap/>
            <w:hideMark/>
          </w:tcPr>
          <w:p w14:paraId="3551BDD3"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France</w:t>
            </w:r>
          </w:p>
        </w:tc>
        <w:tc>
          <w:tcPr>
            <w:tcW w:w="2374" w:type="dxa"/>
            <w:noWrap/>
            <w:hideMark/>
          </w:tcPr>
          <w:p w14:paraId="1BEC1761"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364 860 018</w:t>
            </w:r>
          </w:p>
        </w:tc>
      </w:tr>
      <w:tr w:rsidR="001D7FBB" w:rsidRPr="001016D1" w14:paraId="2D83C5C1" w14:textId="77777777" w:rsidTr="00933247">
        <w:trPr>
          <w:trHeight w:val="300"/>
        </w:trPr>
        <w:tc>
          <w:tcPr>
            <w:tcW w:w="2417" w:type="dxa"/>
            <w:noWrap/>
            <w:hideMark/>
          </w:tcPr>
          <w:p w14:paraId="62D50790"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Croatia</w:t>
            </w:r>
          </w:p>
        </w:tc>
        <w:tc>
          <w:tcPr>
            <w:tcW w:w="2374" w:type="dxa"/>
            <w:noWrap/>
            <w:hideMark/>
          </w:tcPr>
          <w:p w14:paraId="219007B1"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74 326 850</w:t>
            </w:r>
          </w:p>
        </w:tc>
      </w:tr>
      <w:tr w:rsidR="001D7FBB" w:rsidRPr="001016D1" w14:paraId="5A609E1F" w14:textId="77777777" w:rsidTr="00933247">
        <w:trPr>
          <w:trHeight w:val="300"/>
        </w:trPr>
        <w:tc>
          <w:tcPr>
            <w:tcW w:w="2417" w:type="dxa"/>
            <w:noWrap/>
            <w:hideMark/>
          </w:tcPr>
          <w:p w14:paraId="33463649"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Italy</w:t>
            </w:r>
          </w:p>
        </w:tc>
        <w:tc>
          <w:tcPr>
            <w:tcW w:w="2374" w:type="dxa"/>
            <w:noWrap/>
            <w:hideMark/>
          </w:tcPr>
          <w:p w14:paraId="279D58B3"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337 480 344</w:t>
            </w:r>
          </w:p>
        </w:tc>
      </w:tr>
    </w:tbl>
    <w:p w14:paraId="479EF5F6" w14:textId="77777777" w:rsidR="001D7FBB" w:rsidRPr="001016D1" w:rsidRDefault="001D7FBB" w:rsidP="001D7FBB">
      <w:pPr>
        <w:spacing w:before="120" w:after="120"/>
        <w:jc w:val="both"/>
        <w:rPr>
          <w:rFonts w:eastAsia="Calibri"/>
          <w:szCs w:val="24"/>
          <w:lang w:val="en-GB" w:eastAsia="en-US"/>
        </w:rPr>
      </w:pPr>
      <w:r w:rsidRPr="001016D1">
        <w:rPr>
          <w:rFonts w:eastAsia="Calibri"/>
          <w:szCs w:val="24"/>
          <w:lang w:val="en-GB" w:eastAsia="en-US"/>
        </w:rPr>
        <w:br w:type="page"/>
      </w:r>
    </w:p>
    <w:tbl>
      <w:tblPr>
        <w:tblStyle w:val="TableGrid1"/>
        <w:tblW w:w="0" w:type="auto"/>
        <w:tblInd w:w="1696" w:type="dxa"/>
        <w:tblLook w:val="04A0" w:firstRow="1" w:lastRow="0" w:firstColumn="1" w:lastColumn="0" w:noHBand="0" w:noVBand="1"/>
      </w:tblPr>
      <w:tblGrid>
        <w:gridCol w:w="2417"/>
        <w:gridCol w:w="2374"/>
      </w:tblGrid>
      <w:tr w:rsidR="001D7FBB" w:rsidRPr="001016D1" w14:paraId="51C482BB" w14:textId="77777777" w:rsidTr="00933247">
        <w:trPr>
          <w:trHeight w:val="300"/>
        </w:trPr>
        <w:tc>
          <w:tcPr>
            <w:tcW w:w="2417" w:type="dxa"/>
            <w:noWrap/>
            <w:hideMark/>
          </w:tcPr>
          <w:p w14:paraId="384EAB05"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lastRenderedPageBreak/>
              <w:t>Cyprus</w:t>
            </w:r>
          </w:p>
        </w:tc>
        <w:tc>
          <w:tcPr>
            <w:tcW w:w="2374" w:type="dxa"/>
            <w:noWrap/>
            <w:hideMark/>
          </w:tcPr>
          <w:p w14:paraId="3D03B1B0"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5 942 629</w:t>
            </w:r>
          </w:p>
        </w:tc>
      </w:tr>
      <w:tr w:rsidR="001D7FBB" w:rsidRPr="001016D1" w14:paraId="303B6A9D" w14:textId="77777777" w:rsidTr="00933247">
        <w:trPr>
          <w:trHeight w:val="300"/>
        </w:trPr>
        <w:tc>
          <w:tcPr>
            <w:tcW w:w="2417" w:type="dxa"/>
            <w:noWrap/>
            <w:hideMark/>
          </w:tcPr>
          <w:p w14:paraId="7AD818F2"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Latvia</w:t>
            </w:r>
          </w:p>
        </w:tc>
        <w:tc>
          <w:tcPr>
            <w:tcW w:w="2374" w:type="dxa"/>
            <w:noWrap/>
            <w:hideMark/>
          </w:tcPr>
          <w:p w14:paraId="4F41F406"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35 248 552</w:t>
            </w:r>
          </w:p>
        </w:tc>
      </w:tr>
      <w:tr w:rsidR="001D7FBB" w:rsidRPr="001016D1" w14:paraId="7BD4A99D" w14:textId="77777777" w:rsidTr="00933247">
        <w:trPr>
          <w:trHeight w:val="300"/>
        </w:trPr>
        <w:tc>
          <w:tcPr>
            <w:tcW w:w="2417" w:type="dxa"/>
            <w:noWrap/>
            <w:hideMark/>
          </w:tcPr>
          <w:p w14:paraId="7275DA1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Lithuania</w:t>
            </w:r>
          </w:p>
        </w:tc>
        <w:tc>
          <w:tcPr>
            <w:tcW w:w="2374" w:type="dxa"/>
            <w:noWrap/>
            <w:hideMark/>
          </w:tcPr>
          <w:p w14:paraId="2E3D2C2E"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58 648 549</w:t>
            </w:r>
          </w:p>
        </w:tc>
      </w:tr>
      <w:tr w:rsidR="001D7FBB" w:rsidRPr="001016D1" w14:paraId="67EB3A87" w14:textId="77777777" w:rsidTr="00933247">
        <w:trPr>
          <w:trHeight w:val="300"/>
        </w:trPr>
        <w:tc>
          <w:tcPr>
            <w:tcW w:w="2417" w:type="dxa"/>
            <w:noWrap/>
            <w:hideMark/>
          </w:tcPr>
          <w:p w14:paraId="287BE220"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Luxembourg</w:t>
            </w:r>
          </w:p>
        </w:tc>
        <w:tc>
          <w:tcPr>
            <w:tcW w:w="2374" w:type="dxa"/>
            <w:noWrap/>
            <w:hideMark/>
          </w:tcPr>
          <w:p w14:paraId="339EA34B"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3 077 661</w:t>
            </w:r>
          </w:p>
        </w:tc>
      </w:tr>
      <w:tr w:rsidR="001D7FBB" w:rsidRPr="001016D1" w14:paraId="3A1B2D1C" w14:textId="77777777" w:rsidTr="00933247">
        <w:trPr>
          <w:trHeight w:val="300"/>
        </w:trPr>
        <w:tc>
          <w:tcPr>
            <w:tcW w:w="2417" w:type="dxa"/>
            <w:noWrap/>
            <w:hideMark/>
          </w:tcPr>
          <w:p w14:paraId="4631356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Hungary</w:t>
            </w:r>
          </w:p>
        </w:tc>
        <w:tc>
          <w:tcPr>
            <w:tcW w:w="2374" w:type="dxa"/>
            <w:noWrap/>
            <w:hideMark/>
          </w:tcPr>
          <w:p w14:paraId="68DB24AF"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104 217 287</w:t>
            </w:r>
          </w:p>
        </w:tc>
      </w:tr>
      <w:tr w:rsidR="001D7FBB" w:rsidRPr="001016D1" w14:paraId="1E85A015" w14:textId="77777777" w:rsidTr="00933247">
        <w:trPr>
          <w:trHeight w:val="300"/>
        </w:trPr>
        <w:tc>
          <w:tcPr>
            <w:tcW w:w="2417" w:type="dxa"/>
            <w:noWrap/>
            <w:hideMark/>
          </w:tcPr>
          <w:p w14:paraId="3F9E555A"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Malta</w:t>
            </w:r>
          </w:p>
        </w:tc>
        <w:tc>
          <w:tcPr>
            <w:tcW w:w="2374" w:type="dxa"/>
            <w:noWrap/>
            <w:hideMark/>
          </w:tcPr>
          <w:p w14:paraId="383D30CB"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4 996 124</w:t>
            </w:r>
          </w:p>
        </w:tc>
      </w:tr>
      <w:tr w:rsidR="001D7FBB" w:rsidRPr="001016D1" w14:paraId="64BB0D55" w14:textId="77777777" w:rsidTr="00933247">
        <w:trPr>
          <w:trHeight w:val="300"/>
        </w:trPr>
        <w:tc>
          <w:tcPr>
            <w:tcW w:w="2417" w:type="dxa"/>
            <w:noWrap/>
            <w:hideMark/>
          </w:tcPr>
          <w:p w14:paraId="075B1249"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Netherlands</w:t>
            </w:r>
          </w:p>
        </w:tc>
        <w:tc>
          <w:tcPr>
            <w:tcW w:w="2374" w:type="dxa"/>
            <w:noWrap/>
            <w:hideMark/>
          </w:tcPr>
          <w:p w14:paraId="4BD92707"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18 317 092</w:t>
            </w:r>
          </w:p>
        </w:tc>
      </w:tr>
      <w:tr w:rsidR="001D7FBB" w:rsidRPr="001016D1" w14:paraId="2D1637A4" w14:textId="77777777" w:rsidTr="00933247">
        <w:trPr>
          <w:trHeight w:val="300"/>
        </w:trPr>
        <w:tc>
          <w:tcPr>
            <w:tcW w:w="2417" w:type="dxa"/>
            <w:noWrap/>
            <w:hideMark/>
          </w:tcPr>
          <w:p w14:paraId="76FB7541"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Austria</w:t>
            </w:r>
          </w:p>
        </w:tc>
        <w:tc>
          <w:tcPr>
            <w:tcW w:w="2374" w:type="dxa"/>
            <w:noWrap/>
            <w:hideMark/>
          </w:tcPr>
          <w:p w14:paraId="27CE36BA"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130 006 188</w:t>
            </w:r>
          </w:p>
        </w:tc>
      </w:tr>
      <w:tr w:rsidR="001D7FBB" w:rsidRPr="001016D1" w14:paraId="2D0D22AE" w14:textId="77777777" w:rsidTr="00933247">
        <w:trPr>
          <w:trHeight w:val="300"/>
        </w:trPr>
        <w:tc>
          <w:tcPr>
            <w:tcW w:w="2417" w:type="dxa"/>
            <w:noWrap/>
            <w:hideMark/>
          </w:tcPr>
          <w:p w14:paraId="48615FA6"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Poland</w:t>
            </w:r>
          </w:p>
        </w:tc>
        <w:tc>
          <w:tcPr>
            <w:tcW w:w="2374" w:type="dxa"/>
            <w:noWrap/>
            <w:hideMark/>
          </w:tcPr>
          <w:p w14:paraId="5A9F51AC"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396 000 462</w:t>
            </w:r>
          </w:p>
        </w:tc>
      </w:tr>
      <w:tr w:rsidR="001D7FBB" w:rsidRPr="001016D1" w14:paraId="7535A028" w14:textId="77777777" w:rsidTr="00933247">
        <w:trPr>
          <w:trHeight w:val="300"/>
        </w:trPr>
        <w:tc>
          <w:tcPr>
            <w:tcW w:w="2417" w:type="dxa"/>
            <w:noWrap/>
            <w:hideMark/>
          </w:tcPr>
          <w:p w14:paraId="6BF835F7"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Portugal</w:t>
            </w:r>
          </w:p>
        </w:tc>
        <w:tc>
          <w:tcPr>
            <w:tcW w:w="2374" w:type="dxa"/>
            <w:noWrap/>
            <w:hideMark/>
          </w:tcPr>
          <w:p w14:paraId="2C3B2CE2"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162 165 186</w:t>
            </w:r>
          </w:p>
        </w:tc>
      </w:tr>
      <w:tr w:rsidR="001D7FBB" w:rsidRPr="001016D1" w14:paraId="49C41185" w14:textId="77777777" w:rsidTr="00933247">
        <w:trPr>
          <w:trHeight w:val="300"/>
        </w:trPr>
        <w:tc>
          <w:tcPr>
            <w:tcW w:w="2417" w:type="dxa"/>
            <w:noWrap/>
            <w:hideMark/>
          </w:tcPr>
          <w:p w14:paraId="254E185E"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Romania</w:t>
            </w:r>
          </w:p>
        </w:tc>
        <w:tc>
          <w:tcPr>
            <w:tcW w:w="2374" w:type="dxa"/>
            <w:noWrap/>
            <w:hideMark/>
          </w:tcPr>
          <w:p w14:paraId="40098F1D"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290 114 968</w:t>
            </w:r>
          </w:p>
        </w:tc>
      </w:tr>
      <w:tr w:rsidR="001D7FBB" w:rsidRPr="001016D1" w14:paraId="6855F0BE" w14:textId="77777777" w:rsidTr="00933247">
        <w:trPr>
          <w:trHeight w:val="300"/>
        </w:trPr>
        <w:tc>
          <w:tcPr>
            <w:tcW w:w="2417" w:type="dxa"/>
            <w:noWrap/>
            <w:hideMark/>
          </w:tcPr>
          <w:p w14:paraId="01E0E7D3"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Slovenia</w:t>
            </w:r>
          </w:p>
        </w:tc>
        <w:tc>
          <w:tcPr>
            <w:tcW w:w="2374" w:type="dxa"/>
            <w:noWrap/>
            <w:hideMark/>
          </w:tcPr>
          <w:p w14:paraId="2C2A283A"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27 542 548</w:t>
            </w:r>
          </w:p>
        </w:tc>
      </w:tr>
      <w:tr w:rsidR="001D7FBB" w:rsidRPr="001016D1" w14:paraId="7F2EC21F" w14:textId="77777777" w:rsidTr="00933247">
        <w:trPr>
          <w:trHeight w:val="300"/>
        </w:trPr>
        <w:tc>
          <w:tcPr>
            <w:tcW w:w="2417" w:type="dxa"/>
            <w:noWrap/>
            <w:hideMark/>
          </w:tcPr>
          <w:p w14:paraId="4401984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Slovakia</w:t>
            </w:r>
          </w:p>
        </w:tc>
        <w:tc>
          <w:tcPr>
            <w:tcW w:w="2374" w:type="dxa"/>
            <w:noWrap/>
            <w:hideMark/>
          </w:tcPr>
          <w:p w14:paraId="0C3C44F9"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77 723 373</w:t>
            </w:r>
          </w:p>
        </w:tc>
      </w:tr>
      <w:tr w:rsidR="001D7FBB" w:rsidRPr="001016D1" w14:paraId="6056E696" w14:textId="77777777" w:rsidTr="00933247">
        <w:trPr>
          <w:trHeight w:val="300"/>
        </w:trPr>
        <w:tc>
          <w:tcPr>
            <w:tcW w:w="2417" w:type="dxa"/>
            <w:noWrap/>
            <w:hideMark/>
          </w:tcPr>
          <w:p w14:paraId="3FDA0BE8"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Finland</w:t>
            </w:r>
          </w:p>
        </w:tc>
        <w:tc>
          <w:tcPr>
            <w:tcW w:w="2374" w:type="dxa"/>
            <w:noWrap/>
            <w:hideMark/>
          </w:tcPr>
          <w:p w14:paraId="2B07ABCF"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106 364 987</w:t>
            </w:r>
          </w:p>
        </w:tc>
      </w:tr>
      <w:tr w:rsidR="001D7FBB" w:rsidRPr="001016D1" w14:paraId="0047F256" w14:textId="77777777" w:rsidTr="00933247">
        <w:trPr>
          <w:trHeight w:val="300"/>
        </w:trPr>
        <w:tc>
          <w:tcPr>
            <w:tcW w:w="2417" w:type="dxa"/>
            <w:noWrap/>
            <w:hideMark/>
          </w:tcPr>
          <w:p w14:paraId="00D8DFCA"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Sweden</w:t>
            </w:r>
          </w:p>
        </w:tc>
        <w:tc>
          <w:tcPr>
            <w:tcW w:w="2374" w:type="dxa"/>
            <w:noWrap/>
            <w:hideMark/>
          </w:tcPr>
          <w:p w14:paraId="1B0DECF3"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63 566 922</w:t>
            </w:r>
          </w:p>
        </w:tc>
      </w:tr>
    </w:tbl>
    <w:p w14:paraId="632873DE" w14:textId="77777777" w:rsidR="001D7FBB" w:rsidRPr="001016D1" w:rsidRDefault="001D7FBB" w:rsidP="001D7FBB">
      <w:pPr>
        <w:spacing w:before="120" w:after="120"/>
        <w:jc w:val="both"/>
        <w:rPr>
          <w:rFonts w:eastAsia="Calibri"/>
          <w:i/>
          <w:iCs/>
          <w:szCs w:val="24"/>
          <w:lang w:val="en-GB" w:eastAsia="en-US"/>
        </w:rPr>
      </w:pPr>
    </w:p>
    <w:p w14:paraId="21F1EAB3" w14:textId="77777777" w:rsidR="001D7FBB" w:rsidRPr="001016D1" w:rsidRDefault="001D7FBB" w:rsidP="001D7FBB">
      <w:pPr>
        <w:spacing w:after="200" w:line="276" w:lineRule="auto"/>
        <w:rPr>
          <w:rFonts w:eastAsia="Calibri"/>
          <w:i/>
          <w:iCs/>
          <w:szCs w:val="24"/>
          <w:lang w:val="en-GB" w:eastAsia="en-US"/>
        </w:rPr>
      </w:pPr>
      <w:r w:rsidRPr="001016D1">
        <w:rPr>
          <w:rFonts w:eastAsia="Calibri"/>
          <w:i/>
          <w:iCs/>
          <w:szCs w:val="24"/>
          <w:lang w:val="en-GB" w:eastAsia="en-US"/>
        </w:rPr>
        <w:br w:type="page"/>
      </w:r>
    </w:p>
    <w:p w14:paraId="58C59371" w14:textId="77777777" w:rsidR="001D7FBB" w:rsidRPr="001016D1" w:rsidRDefault="001D7FBB" w:rsidP="001D7FBB">
      <w:pPr>
        <w:spacing w:before="120" w:after="120"/>
        <w:jc w:val="both"/>
        <w:rPr>
          <w:rFonts w:eastAsia="Calibri"/>
          <w:i/>
          <w:iCs/>
          <w:szCs w:val="24"/>
          <w:lang w:val="en-GB" w:eastAsia="en-US"/>
        </w:rPr>
      </w:pPr>
      <w:r w:rsidRPr="001016D1">
        <w:rPr>
          <w:rFonts w:eastAsia="Calibri"/>
          <w:i/>
          <w:iCs/>
          <w:szCs w:val="24"/>
          <w:lang w:val="en-GB" w:eastAsia="en-US"/>
        </w:rPr>
        <w:lastRenderedPageBreak/>
        <w:t xml:space="preserve">Maximum amount of decrease for allocations for direct payments for calendar year 2027 per Member State </w:t>
      </w:r>
    </w:p>
    <w:tbl>
      <w:tblPr>
        <w:tblStyle w:val="TableGrid2"/>
        <w:tblW w:w="0" w:type="auto"/>
        <w:tblInd w:w="1696" w:type="dxa"/>
        <w:tblLook w:val="04A0" w:firstRow="1" w:lastRow="0" w:firstColumn="1" w:lastColumn="0" w:noHBand="0" w:noVBand="1"/>
      </w:tblPr>
      <w:tblGrid>
        <w:gridCol w:w="2417"/>
        <w:gridCol w:w="2374"/>
      </w:tblGrid>
      <w:tr w:rsidR="001D7FBB" w:rsidRPr="001016D1" w14:paraId="54866BB9" w14:textId="77777777" w:rsidTr="00933247">
        <w:trPr>
          <w:trHeight w:val="300"/>
        </w:trPr>
        <w:tc>
          <w:tcPr>
            <w:tcW w:w="2417" w:type="dxa"/>
            <w:noWrap/>
            <w:vAlign w:val="center"/>
          </w:tcPr>
          <w:p w14:paraId="2EB63BA8" w14:textId="77777777" w:rsidR="001D7FBB" w:rsidRPr="001016D1" w:rsidRDefault="001D7FBB" w:rsidP="001D7FBB">
            <w:pPr>
              <w:spacing w:before="120" w:after="120"/>
              <w:jc w:val="both"/>
              <w:rPr>
                <w:rFonts w:ascii="Times New Roman" w:hAnsi="Times New Roman" w:cs="Times New Roman"/>
                <w:lang w:val="en-GB"/>
              </w:rPr>
            </w:pPr>
          </w:p>
        </w:tc>
        <w:tc>
          <w:tcPr>
            <w:tcW w:w="2374" w:type="dxa"/>
            <w:noWrap/>
            <w:vAlign w:val="center"/>
          </w:tcPr>
          <w:p w14:paraId="201B5B33"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EUR (current prices)</w:t>
            </w:r>
          </w:p>
        </w:tc>
      </w:tr>
      <w:tr w:rsidR="001D7FBB" w:rsidRPr="001016D1" w14:paraId="3EE0C365" w14:textId="77777777" w:rsidTr="00933247">
        <w:trPr>
          <w:trHeight w:val="300"/>
        </w:trPr>
        <w:tc>
          <w:tcPr>
            <w:tcW w:w="2417" w:type="dxa"/>
            <w:noWrap/>
            <w:vAlign w:val="center"/>
            <w:hideMark/>
          </w:tcPr>
          <w:p w14:paraId="43DF7AE3"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Belgium</w:t>
            </w:r>
          </w:p>
        </w:tc>
        <w:tc>
          <w:tcPr>
            <w:tcW w:w="2374" w:type="dxa"/>
            <w:noWrap/>
            <w:vAlign w:val="center"/>
            <w:hideMark/>
          </w:tcPr>
          <w:p w14:paraId="6F7A38C5"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123 731 481</w:t>
            </w:r>
          </w:p>
        </w:tc>
      </w:tr>
      <w:tr w:rsidR="001D7FBB" w:rsidRPr="001016D1" w14:paraId="288A9AF7" w14:textId="77777777" w:rsidTr="00933247">
        <w:trPr>
          <w:trHeight w:val="300"/>
        </w:trPr>
        <w:tc>
          <w:tcPr>
            <w:tcW w:w="2417" w:type="dxa"/>
            <w:noWrap/>
            <w:vAlign w:val="center"/>
            <w:hideMark/>
          </w:tcPr>
          <w:p w14:paraId="4FB4CDD6"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Bulgaria</w:t>
            </w:r>
          </w:p>
        </w:tc>
        <w:tc>
          <w:tcPr>
            <w:tcW w:w="2374" w:type="dxa"/>
            <w:noWrap/>
            <w:vAlign w:val="center"/>
            <w:hideMark/>
          </w:tcPr>
          <w:p w14:paraId="664963E8"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207 943 425</w:t>
            </w:r>
          </w:p>
        </w:tc>
      </w:tr>
      <w:tr w:rsidR="001D7FBB" w:rsidRPr="001016D1" w14:paraId="432FCD06" w14:textId="77777777" w:rsidTr="00933247">
        <w:trPr>
          <w:trHeight w:val="300"/>
        </w:trPr>
        <w:tc>
          <w:tcPr>
            <w:tcW w:w="2417" w:type="dxa"/>
            <w:noWrap/>
            <w:vAlign w:val="center"/>
            <w:hideMark/>
          </w:tcPr>
          <w:p w14:paraId="6867CDD8"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Czechia</w:t>
            </w:r>
          </w:p>
        </w:tc>
        <w:tc>
          <w:tcPr>
            <w:tcW w:w="2374" w:type="dxa"/>
            <w:noWrap/>
            <w:vAlign w:val="center"/>
            <w:hideMark/>
          </w:tcPr>
          <w:p w14:paraId="7150C8AF"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213 736 824</w:t>
            </w:r>
          </w:p>
        </w:tc>
      </w:tr>
      <w:tr w:rsidR="001D7FBB" w:rsidRPr="001016D1" w14:paraId="447F281A" w14:textId="77777777" w:rsidTr="00933247">
        <w:trPr>
          <w:trHeight w:val="300"/>
        </w:trPr>
        <w:tc>
          <w:tcPr>
            <w:tcW w:w="2417" w:type="dxa"/>
            <w:noWrap/>
            <w:vAlign w:val="center"/>
            <w:hideMark/>
          </w:tcPr>
          <w:p w14:paraId="1BD924F1"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Denmark</w:t>
            </w:r>
          </w:p>
        </w:tc>
        <w:tc>
          <w:tcPr>
            <w:tcW w:w="2374" w:type="dxa"/>
            <w:noWrap/>
            <w:vAlign w:val="center"/>
            <w:hideMark/>
          </w:tcPr>
          <w:p w14:paraId="746AE925"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215 591 819</w:t>
            </w:r>
          </w:p>
        </w:tc>
      </w:tr>
      <w:tr w:rsidR="001D7FBB" w:rsidRPr="001016D1" w14:paraId="54F3C999" w14:textId="77777777" w:rsidTr="00933247">
        <w:trPr>
          <w:trHeight w:val="300"/>
        </w:trPr>
        <w:tc>
          <w:tcPr>
            <w:tcW w:w="2417" w:type="dxa"/>
            <w:noWrap/>
            <w:vAlign w:val="center"/>
            <w:hideMark/>
          </w:tcPr>
          <w:p w14:paraId="5D324A6E"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Germany</w:t>
            </w:r>
          </w:p>
        </w:tc>
        <w:tc>
          <w:tcPr>
            <w:tcW w:w="2374" w:type="dxa"/>
            <w:noWrap/>
            <w:vAlign w:val="center"/>
            <w:hideMark/>
          </w:tcPr>
          <w:p w14:paraId="6D5E47C2"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1 228 923 865</w:t>
            </w:r>
          </w:p>
        </w:tc>
      </w:tr>
      <w:tr w:rsidR="001D7FBB" w:rsidRPr="001016D1" w14:paraId="5CECF38C" w14:textId="77777777" w:rsidTr="00933247">
        <w:trPr>
          <w:trHeight w:val="300"/>
        </w:trPr>
        <w:tc>
          <w:tcPr>
            <w:tcW w:w="2417" w:type="dxa"/>
            <w:noWrap/>
            <w:vAlign w:val="center"/>
            <w:hideMark/>
          </w:tcPr>
          <w:p w14:paraId="2789D09E"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Estonia</w:t>
            </w:r>
          </w:p>
        </w:tc>
        <w:tc>
          <w:tcPr>
            <w:tcW w:w="2374" w:type="dxa"/>
            <w:noWrap/>
            <w:vAlign w:val="center"/>
            <w:hideMark/>
          </w:tcPr>
          <w:p w14:paraId="6D1515A9"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51 254 687</w:t>
            </w:r>
          </w:p>
        </w:tc>
      </w:tr>
      <w:tr w:rsidR="001D7FBB" w:rsidRPr="001016D1" w14:paraId="4C1A91A4" w14:textId="77777777" w:rsidTr="00933247">
        <w:trPr>
          <w:trHeight w:val="300"/>
        </w:trPr>
        <w:tc>
          <w:tcPr>
            <w:tcW w:w="2417" w:type="dxa"/>
            <w:noWrap/>
            <w:vAlign w:val="center"/>
            <w:hideMark/>
          </w:tcPr>
          <w:p w14:paraId="09482525"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Ireland</w:t>
            </w:r>
          </w:p>
        </w:tc>
        <w:tc>
          <w:tcPr>
            <w:tcW w:w="2374" w:type="dxa"/>
            <w:noWrap/>
            <w:vAlign w:val="center"/>
            <w:hideMark/>
          </w:tcPr>
          <w:p w14:paraId="2FC5A368"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296 570 499</w:t>
            </w:r>
          </w:p>
        </w:tc>
      </w:tr>
      <w:tr w:rsidR="001D7FBB" w:rsidRPr="001016D1" w14:paraId="5273FBEE" w14:textId="77777777" w:rsidTr="00933247">
        <w:trPr>
          <w:trHeight w:val="300"/>
        </w:trPr>
        <w:tc>
          <w:tcPr>
            <w:tcW w:w="2417" w:type="dxa"/>
            <w:noWrap/>
            <w:vAlign w:val="center"/>
            <w:hideMark/>
          </w:tcPr>
          <w:p w14:paraId="325217A5"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Greece</w:t>
            </w:r>
          </w:p>
        </w:tc>
        <w:tc>
          <w:tcPr>
            <w:tcW w:w="2374" w:type="dxa"/>
            <w:noWrap/>
            <w:vAlign w:val="center"/>
            <w:hideMark/>
          </w:tcPr>
          <w:p w14:paraId="1261F155"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472 915 011</w:t>
            </w:r>
          </w:p>
        </w:tc>
      </w:tr>
      <w:tr w:rsidR="001D7FBB" w:rsidRPr="001016D1" w14:paraId="67B75286" w14:textId="77777777" w:rsidTr="00933247">
        <w:trPr>
          <w:trHeight w:val="300"/>
        </w:trPr>
        <w:tc>
          <w:tcPr>
            <w:tcW w:w="2417" w:type="dxa"/>
            <w:noWrap/>
            <w:vAlign w:val="center"/>
            <w:hideMark/>
          </w:tcPr>
          <w:p w14:paraId="4694C030"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Spain</w:t>
            </w:r>
          </w:p>
        </w:tc>
        <w:tc>
          <w:tcPr>
            <w:tcW w:w="2374" w:type="dxa"/>
            <w:noWrap/>
            <w:vAlign w:val="center"/>
            <w:hideMark/>
          </w:tcPr>
          <w:p w14:paraId="539DCC66"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1 209 271 990</w:t>
            </w:r>
          </w:p>
        </w:tc>
      </w:tr>
      <w:tr w:rsidR="001D7FBB" w:rsidRPr="001016D1" w14:paraId="78BD7345" w14:textId="77777777" w:rsidTr="00933247">
        <w:trPr>
          <w:trHeight w:val="300"/>
        </w:trPr>
        <w:tc>
          <w:tcPr>
            <w:tcW w:w="2417" w:type="dxa"/>
            <w:noWrap/>
            <w:vAlign w:val="center"/>
            <w:hideMark/>
          </w:tcPr>
          <w:p w14:paraId="7EE5C6FA"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France</w:t>
            </w:r>
          </w:p>
        </w:tc>
        <w:tc>
          <w:tcPr>
            <w:tcW w:w="2374" w:type="dxa"/>
            <w:noWrap/>
            <w:vAlign w:val="center"/>
            <w:hideMark/>
          </w:tcPr>
          <w:p w14:paraId="500F5F07"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1 821 250 134</w:t>
            </w:r>
          </w:p>
        </w:tc>
      </w:tr>
      <w:tr w:rsidR="001D7FBB" w:rsidRPr="001016D1" w14:paraId="5359F505" w14:textId="77777777" w:rsidTr="00933247">
        <w:trPr>
          <w:trHeight w:val="300"/>
        </w:trPr>
        <w:tc>
          <w:tcPr>
            <w:tcW w:w="2417" w:type="dxa"/>
            <w:noWrap/>
            <w:vAlign w:val="center"/>
            <w:hideMark/>
          </w:tcPr>
          <w:p w14:paraId="16FC1535"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Croatia</w:t>
            </w:r>
          </w:p>
        </w:tc>
        <w:tc>
          <w:tcPr>
            <w:tcW w:w="2374" w:type="dxa"/>
            <w:noWrap/>
            <w:vAlign w:val="center"/>
            <w:hideMark/>
          </w:tcPr>
          <w:p w14:paraId="5FC63E89"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93 692 559</w:t>
            </w:r>
          </w:p>
        </w:tc>
      </w:tr>
      <w:tr w:rsidR="001D7FBB" w:rsidRPr="001016D1" w14:paraId="37D0B5F1" w14:textId="77777777" w:rsidTr="00933247">
        <w:trPr>
          <w:trHeight w:val="300"/>
        </w:trPr>
        <w:tc>
          <w:tcPr>
            <w:tcW w:w="2417" w:type="dxa"/>
            <w:noWrap/>
            <w:vAlign w:val="center"/>
            <w:hideMark/>
          </w:tcPr>
          <w:p w14:paraId="3D19A632"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Italy</w:t>
            </w:r>
          </w:p>
        </w:tc>
        <w:tc>
          <w:tcPr>
            <w:tcW w:w="2374" w:type="dxa"/>
            <w:noWrap/>
            <w:vAlign w:val="center"/>
            <w:hideMark/>
          </w:tcPr>
          <w:p w14:paraId="1C099CCA"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907 132 289</w:t>
            </w:r>
          </w:p>
        </w:tc>
      </w:tr>
      <w:tr w:rsidR="001D7FBB" w:rsidRPr="001016D1" w14:paraId="0F57C222" w14:textId="77777777" w:rsidTr="00933247">
        <w:trPr>
          <w:trHeight w:val="300"/>
        </w:trPr>
        <w:tc>
          <w:tcPr>
            <w:tcW w:w="2417" w:type="dxa"/>
            <w:noWrap/>
            <w:vAlign w:val="center"/>
            <w:hideMark/>
          </w:tcPr>
          <w:p w14:paraId="5CE0C01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Cyprus</w:t>
            </w:r>
          </w:p>
        </w:tc>
        <w:tc>
          <w:tcPr>
            <w:tcW w:w="2374" w:type="dxa"/>
            <w:noWrap/>
            <w:vAlign w:val="center"/>
            <w:hideMark/>
          </w:tcPr>
          <w:p w14:paraId="3536B8AE"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11 911 885</w:t>
            </w:r>
          </w:p>
        </w:tc>
      </w:tr>
      <w:tr w:rsidR="001D7FBB" w:rsidRPr="001016D1" w14:paraId="39ED04F2" w14:textId="77777777" w:rsidTr="00933247">
        <w:trPr>
          <w:trHeight w:val="300"/>
        </w:trPr>
        <w:tc>
          <w:tcPr>
            <w:tcW w:w="2417" w:type="dxa"/>
            <w:noWrap/>
            <w:vAlign w:val="center"/>
            <w:hideMark/>
          </w:tcPr>
          <w:p w14:paraId="34BF3A70"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Latvia</w:t>
            </w:r>
          </w:p>
        </w:tc>
        <w:tc>
          <w:tcPr>
            <w:tcW w:w="2374" w:type="dxa"/>
            <w:noWrap/>
            <w:vAlign w:val="center"/>
            <w:hideMark/>
          </w:tcPr>
          <w:p w14:paraId="2731BB59"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91 120 936</w:t>
            </w:r>
          </w:p>
        </w:tc>
      </w:tr>
      <w:tr w:rsidR="001D7FBB" w:rsidRPr="001016D1" w14:paraId="7717907D" w14:textId="77777777" w:rsidTr="00933247">
        <w:trPr>
          <w:trHeight w:val="300"/>
        </w:trPr>
        <w:tc>
          <w:tcPr>
            <w:tcW w:w="2417" w:type="dxa"/>
            <w:noWrap/>
            <w:vAlign w:val="center"/>
            <w:hideMark/>
          </w:tcPr>
          <w:p w14:paraId="54E399E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Lithuania</w:t>
            </w:r>
          </w:p>
        </w:tc>
        <w:tc>
          <w:tcPr>
            <w:tcW w:w="2374" w:type="dxa"/>
            <w:noWrap/>
            <w:vAlign w:val="center"/>
            <w:hideMark/>
          </w:tcPr>
          <w:p w14:paraId="3A94BCB0"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153 178 204</w:t>
            </w:r>
          </w:p>
        </w:tc>
      </w:tr>
    </w:tbl>
    <w:p w14:paraId="5E0F0278" w14:textId="77777777" w:rsidR="001D7FBB" w:rsidRPr="001016D1" w:rsidRDefault="001D7FBB" w:rsidP="001D7FBB">
      <w:pPr>
        <w:spacing w:before="120" w:after="120"/>
        <w:jc w:val="both"/>
        <w:rPr>
          <w:rFonts w:eastAsia="Calibri"/>
          <w:szCs w:val="24"/>
          <w:lang w:val="en-GB" w:eastAsia="en-US"/>
        </w:rPr>
      </w:pPr>
      <w:r w:rsidRPr="001016D1">
        <w:rPr>
          <w:rFonts w:eastAsia="Calibri"/>
          <w:szCs w:val="24"/>
          <w:lang w:val="en-GB" w:eastAsia="en-US"/>
        </w:rPr>
        <w:br w:type="page"/>
      </w:r>
    </w:p>
    <w:tbl>
      <w:tblPr>
        <w:tblStyle w:val="TableGrid2"/>
        <w:tblW w:w="0" w:type="auto"/>
        <w:tblInd w:w="1696" w:type="dxa"/>
        <w:tblLook w:val="04A0" w:firstRow="1" w:lastRow="0" w:firstColumn="1" w:lastColumn="0" w:noHBand="0" w:noVBand="1"/>
      </w:tblPr>
      <w:tblGrid>
        <w:gridCol w:w="2417"/>
        <w:gridCol w:w="2374"/>
      </w:tblGrid>
      <w:tr w:rsidR="001D7FBB" w:rsidRPr="001016D1" w14:paraId="37DA4ED2" w14:textId="77777777" w:rsidTr="00933247">
        <w:trPr>
          <w:trHeight w:val="300"/>
        </w:trPr>
        <w:tc>
          <w:tcPr>
            <w:tcW w:w="2417" w:type="dxa"/>
            <w:noWrap/>
            <w:vAlign w:val="center"/>
            <w:hideMark/>
          </w:tcPr>
          <w:p w14:paraId="00DEA790"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lastRenderedPageBreak/>
              <w:t>Luxembourg</w:t>
            </w:r>
          </w:p>
        </w:tc>
        <w:tc>
          <w:tcPr>
            <w:tcW w:w="2374" w:type="dxa"/>
            <w:noWrap/>
            <w:vAlign w:val="center"/>
            <w:hideMark/>
          </w:tcPr>
          <w:p w14:paraId="78CEFD5A"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8 186 957</w:t>
            </w:r>
          </w:p>
        </w:tc>
      </w:tr>
      <w:tr w:rsidR="001D7FBB" w:rsidRPr="001016D1" w14:paraId="1E7087B2" w14:textId="77777777" w:rsidTr="00933247">
        <w:trPr>
          <w:trHeight w:val="300"/>
        </w:trPr>
        <w:tc>
          <w:tcPr>
            <w:tcW w:w="2417" w:type="dxa"/>
            <w:noWrap/>
            <w:vAlign w:val="center"/>
            <w:hideMark/>
          </w:tcPr>
          <w:p w14:paraId="4D0EADAC"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Hungary</w:t>
            </w:r>
          </w:p>
        </w:tc>
        <w:tc>
          <w:tcPr>
            <w:tcW w:w="2374" w:type="dxa"/>
            <w:noWrap/>
            <w:vAlign w:val="center"/>
            <w:hideMark/>
          </w:tcPr>
          <w:p w14:paraId="47298217"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310 796 291</w:t>
            </w:r>
          </w:p>
        </w:tc>
      </w:tr>
      <w:tr w:rsidR="001D7FBB" w:rsidRPr="001016D1" w14:paraId="0C632EA3" w14:textId="77777777" w:rsidTr="00933247">
        <w:trPr>
          <w:trHeight w:val="300"/>
        </w:trPr>
        <w:tc>
          <w:tcPr>
            <w:tcW w:w="2417" w:type="dxa"/>
            <w:noWrap/>
            <w:vAlign w:val="center"/>
            <w:hideMark/>
          </w:tcPr>
          <w:p w14:paraId="5E127B3F"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Malta</w:t>
            </w:r>
          </w:p>
        </w:tc>
        <w:tc>
          <w:tcPr>
            <w:tcW w:w="2374" w:type="dxa"/>
            <w:noWrap/>
            <w:vAlign w:val="center"/>
            <w:hideMark/>
          </w:tcPr>
          <w:p w14:paraId="060F19F3"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1 148 505</w:t>
            </w:r>
          </w:p>
        </w:tc>
      </w:tr>
      <w:tr w:rsidR="001D7FBB" w:rsidRPr="001016D1" w14:paraId="3F71C638" w14:textId="77777777" w:rsidTr="00933247">
        <w:trPr>
          <w:trHeight w:val="300"/>
        </w:trPr>
        <w:tc>
          <w:tcPr>
            <w:tcW w:w="2417" w:type="dxa"/>
            <w:noWrap/>
            <w:vAlign w:val="center"/>
            <w:hideMark/>
          </w:tcPr>
          <w:p w14:paraId="5400CEE6"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Netherlands</w:t>
            </w:r>
          </w:p>
        </w:tc>
        <w:tc>
          <w:tcPr>
            <w:tcW w:w="2374" w:type="dxa"/>
            <w:noWrap/>
            <w:vAlign w:val="center"/>
            <w:hideMark/>
          </w:tcPr>
          <w:p w14:paraId="3E0E236C"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179 345 582</w:t>
            </w:r>
          </w:p>
        </w:tc>
      </w:tr>
      <w:tr w:rsidR="001D7FBB" w:rsidRPr="001016D1" w14:paraId="338F8499" w14:textId="77777777" w:rsidTr="00933247">
        <w:trPr>
          <w:trHeight w:val="300"/>
        </w:trPr>
        <w:tc>
          <w:tcPr>
            <w:tcW w:w="2417" w:type="dxa"/>
            <w:noWrap/>
            <w:vAlign w:val="center"/>
            <w:hideMark/>
          </w:tcPr>
          <w:p w14:paraId="0ACE1FF9"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Austria</w:t>
            </w:r>
          </w:p>
        </w:tc>
        <w:tc>
          <w:tcPr>
            <w:tcW w:w="2374" w:type="dxa"/>
            <w:noWrap/>
            <w:vAlign w:val="center"/>
            <w:hideMark/>
          </w:tcPr>
          <w:p w14:paraId="20AD4DD4"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169 395 462</w:t>
            </w:r>
          </w:p>
        </w:tc>
      </w:tr>
      <w:tr w:rsidR="001D7FBB" w:rsidRPr="001016D1" w14:paraId="2482C6C5" w14:textId="77777777" w:rsidTr="00933247">
        <w:trPr>
          <w:trHeight w:val="300"/>
        </w:trPr>
        <w:tc>
          <w:tcPr>
            <w:tcW w:w="2417" w:type="dxa"/>
            <w:noWrap/>
            <w:vAlign w:val="center"/>
            <w:hideMark/>
          </w:tcPr>
          <w:p w14:paraId="23DEBF78"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Poland</w:t>
            </w:r>
          </w:p>
        </w:tc>
        <w:tc>
          <w:tcPr>
            <w:tcW w:w="2374" w:type="dxa"/>
            <w:noWrap/>
            <w:vAlign w:val="center"/>
            <w:hideMark/>
          </w:tcPr>
          <w:p w14:paraId="336428EC"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796 492 035</w:t>
            </w:r>
          </w:p>
        </w:tc>
      </w:tr>
      <w:tr w:rsidR="001D7FBB" w:rsidRPr="001016D1" w14:paraId="392CE4F0" w14:textId="77777777" w:rsidTr="00933247">
        <w:trPr>
          <w:trHeight w:val="300"/>
        </w:trPr>
        <w:tc>
          <w:tcPr>
            <w:tcW w:w="2417" w:type="dxa"/>
            <w:noWrap/>
            <w:vAlign w:val="center"/>
            <w:hideMark/>
          </w:tcPr>
          <w:p w14:paraId="48102FA9"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Portugal</w:t>
            </w:r>
          </w:p>
        </w:tc>
        <w:tc>
          <w:tcPr>
            <w:tcW w:w="2374" w:type="dxa"/>
            <w:noWrap/>
            <w:vAlign w:val="center"/>
            <w:hideMark/>
          </w:tcPr>
          <w:p w14:paraId="300133CC"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159 948 413</w:t>
            </w:r>
          </w:p>
        </w:tc>
      </w:tr>
      <w:tr w:rsidR="001D7FBB" w:rsidRPr="001016D1" w14:paraId="4B663C6E" w14:textId="77777777" w:rsidTr="00933247">
        <w:trPr>
          <w:trHeight w:val="300"/>
        </w:trPr>
        <w:tc>
          <w:tcPr>
            <w:tcW w:w="2417" w:type="dxa"/>
            <w:noWrap/>
            <w:vAlign w:val="center"/>
            <w:hideMark/>
          </w:tcPr>
          <w:p w14:paraId="0A579E23"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Romania</w:t>
            </w:r>
          </w:p>
        </w:tc>
        <w:tc>
          <w:tcPr>
            <w:tcW w:w="2374" w:type="dxa"/>
            <w:noWrap/>
            <w:vAlign w:val="center"/>
            <w:hideMark/>
          </w:tcPr>
          <w:p w14:paraId="5E5A5B1C"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507 398 799</w:t>
            </w:r>
          </w:p>
        </w:tc>
      </w:tr>
      <w:tr w:rsidR="001D7FBB" w:rsidRPr="001016D1" w14:paraId="3AB2D518" w14:textId="77777777" w:rsidTr="00933247">
        <w:trPr>
          <w:trHeight w:val="300"/>
        </w:trPr>
        <w:tc>
          <w:tcPr>
            <w:tcW w:w="2417" w:type="dxa"/>
            <w:noWrap/>
            <w:vAlign w:val="center"/>
            <w:hideMark/>
          </w:tcPr>
          <w:p w14:paraId="2C291A15"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Slovenia</w:t>
            </w:r>
          </w:p>
        </w:tc>
        <w:tc>
          <w:tcPr>
            <w:tcW w:w="2374" w:type="dxa"/>
            <w:noWrap/>
            <w:vAlign w:val="center"/>
            <w:hideMark/>
          </w:tcPr>
          <w:p w14:paraId="3FDA7477"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32 882 513</w:t>
            </w:r>
          </w:p>
        </w:tc>
      </w:tr>
      <w:tr w:rsidR="001D7FBB" w:rsidRPr="001016D1" w14:paraId="5973E06D" w14:textId="77777777" w:rsidTr="00933247">
        <w:trPr>
          <w:trHeight w:val="300"/>
        </w:trPr>
        <w:tc>
          <w:tcPr>
            <w:tcW w:w="2417" w:type="dxa"/>
            <w:noWrap/>
            <w:vAlign w:val="center"/>
            <w:hideMark/>
          </w:tcPr>
          <w:p w14:paraId="79A5C7B7"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Slovakia</w:t>
            </w:r>
          </w:p>
        </w:tc>
        <w:tc>
          <w:tcPr>
            <w:tcW w:w="2374" w:type="dxa"/>
            <w:noWrap/>
            <w:vAlign w:val="center"/>
            <w:hideMark/>
          </w:tcPr>
          <w:p w14:paraId="67EBBB0D"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103 868 686</w:t>
            </w:r>
          </w:p>
        </w:tc>
      </w:tr>
      <w:tr w:rsidR="001D7FBB" w:rsidRPr="001016D1" w14:paraId="2E52892D" w14:textId="77777777" w:rsidTr="00933247">
        <w:trPr>
          <w:trHeight w:val="300"/>
        </w:trPr>
        <w:tc>
          <w:tcPr>
            <w:tcW w:w="2417" w:type="dxa"/>
            <w:noWrap/>
            <w:vAlign w:val="center"/>
            <w:hideMark/>
          </w:tcPr>
          <w:p w14:paraId="4D75955B"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Finland</w:t>
            </w:r>
          </w:p>
        </w:tc>
        <w:tc>
          <w:tcPr>
            <w:tcW w:w="2374" w:type="dxa"/>
            <w:noWrap/>
            <w:vAlign w:val="center"/>
            <w:hideMark/>
          </w:tcPr>
          <w:p w14:paraId="32EFA325"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131 201 466</w:t>
            </w:r>
          </w:p>
        </w:tc>
      </w:tr>
      <w:tr w:rsidR="001D7FBB" w:rsidRPr="001016D1" w14:paraId="2E36A54D" w14:textId="77777777" w:rsidTr="00933247">
        <w:trPr>
          <w:trHeight w:val="300"/>
        </w:trPr>
        <w:tc>
          <w:tcPr>
            <w:tcW w:w="2417" w:type="dxa"/>
            <w:noWrap/>
            <w:vAlign w:val="center"/>
            <w:hideMark/>
          </w:tcPr>
          <w:p w14:paraId="2F6548CF" w14:textId="77777777" w:rsidR="001D7FBB" w:rsidRPr="001016D1" w:rsidRDefault="001D7FBB" w:rsidP="001D7FBB">
            <w:pPr>
              <w:spacing w:before="120" w:after="120"/>
              <w:jc w:val="both"/>
              <w:rPr>
                <w:rFonts w:ascii="Times New Roman" w:hAnsi="Times New Roman" w:cs="Times New Roman"/>
                <w:lang w:val="en-GB"/>
              </w:rPr>
            </w:pPr>
            <w:r w:rsidRPr="001016D1">
              <w:rPr>
                <w:rFonts w:ascii="Times New Roman" w:hAnsi="Times New Roman" w:cs="Times New Roman"/>
                <w:lang w:val="en-GB"/>
              </w:rPr>
              <w:t>Sweden</w:t>
            </w:r>
          </w:p>
        </w:tc>
        <w:tc>
          <w:tcPr>
            <w:tcW w:w="2374" w:type="dxa"/>
            <w:noWrap/>
            <w:vAlign w:val="center"/>
            <w:hideMark/>
          </w:tcPr>
          <w:p w14:paraId="5BA6EF49" w14:textId="77777777" w:rsidR="001D7FBB" w:rsidRPr="001016D1" w:rsidRDefault="001D7FBB" w:rsidP="001D7FBB">
            <w:pPr>
              <w:spacing w:before="120" w:after="120"/>
              <w:jc w:val="right"/>
              <w:rPr>
                <w:rFonts w:ascii="Times New Roman" w:hAnsi="Times New Roman" w:cs="Times New Roman"/>
                <w:lang w:val="en-GB"/>
              </w:rPr>
            </w:pPr>
            <w:r w:rsidRPr="001016D1">
              <w:rPr>
                <w:rFonts w:ascii="Times New Roman" w:hAnsi="Times New Roman" w:cs="Times New Roman"/>
                <w:lang w:val="en-GB"/>
              </w:rPr>
              <w:t>171 704 104</w:t>
            </w:r>
          </w:p>
        </w:tc>
      </w:tr>
    </w:tbl>
    <w:p w14:paraId="01705664" w14:textId="77777777" w:rsidR="001D7FBB" w:rsidRPr="001016D1" w:rsidRDefault="001D7FBB" w:rsidP="001D7FBB">
      <w:pPr>
        <w:spacing w:before="120" w:after="120"/>
        <w:jc w:val="both"/>
        <w:rPr>
          <w:rFonts w:eastAsia="Calibri"/>
          <w:szCs w:val="24"/>
          <w:lang w:val="en-GB" w:eastAsia="en-US"/>
        </w:rPr>
      </w:pPr>
    </w:p>
    <w:p w14:paraId="4DAEDE85" w14:textId="77777777" w:rsidR="001D7FBB" w:rsidRPr="000267F5" w:rsidRDefault="001D7FBB" w:rsidP="001D7FBB">
      <w:pPr>
        <w:spacing w:before="120" w:after="120" w:line="360" w:lineRule="auto"/>
        <w:rPr>
          <w:rFonts w:eastAsia="Calibri"/>
          <w:szCs w:val="24"/>
          <w:lang w:val="en-GB" w:eastAsia="en-US"/>
        </w:rPr>
      </w:pPr>
      <w:r w:rsidRPr="001016D1">
        <w:rPr>
          <w:rFonts w:eastAsia="Calibri"/>
          <w:szCs w:val="24"/>
          <w:lang w:val="en-GB" w:eastAsia="en-US"/>
        </w:rPr>
        <w:t>’</w:t>
      </w:r>
    </w:p>
    <w:p w14:paraId="4AEF0045" w14:textId="77777777" w:rsidR="009F28EF" w:rsidRPr="000267F5" w:rsidRDefault="009F28EF" w:rsidP="00FF4B79">
      <w:pPr>
        <w:pStyle w:val="Normal12"/>
        <w:rPr>
          <w:szCs w:val="24"/>
        </w:rPr>
      </w:pPr>
    </w:p>
    <w:sectPr w:rsidR="009F28EF" w:rsidRPr="000267F5" w:rsidSect="003669CF">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3FA4" w14:textId="77777777" w:rsidR="00FB3D83" w:rsidRDefault="00FB3D83" w:rsidP="009C4014">
      <w:r>
        <w:separator/>
      </w:r>
    </w:p>
  </w:endnote>
  <w:endnote w:type="continuationSeparator" w:id="0">
    <w:p w14:paraId="065AD0E3" w14:textId="77777777" w:rsidR="00FB3D83" w:rsidRDefault="00FB3D83"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3C1E"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F507"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1D6F"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A3594" w14:textId="77777777" w:rsidR="00FB3D83" w:rsidRDefault="00FB3D83" w:rsidP="009C4014">
      <w:r>
        <w:separator/>
      </w:r>
    </w:p>
  </w:footnote>
  <w:footnote w:type="continuationSeparator" w:id="0">
    <w:p w14:paraId="6C80F4CF" w14:textId="77777777" w:rsidR="00FB3D83" w:rsidRDefault="00FB3D83" w:rsidP="009C4014">
      <w:r>
        <w:continuationSeparator/>
      </w:r>
    </w:p>
  </w:footnote>
  <w:footnote w:id="1">
    <w:p w14:paraId="489B63E4" w14:textId="6EBC5CEE" w:rsidR="001D7FBB" w:rsidRPr="004F45C3" w:rsidRDefault="001D7FBB" w:rsidP="001D7FBB">
      <w:pPr>
        <w:pStyle w:val="FootnoteText"/>
        <w:ind w:left="851" w:hanging="851"/>
        <w:rPr>
          <w:sz w:val="24"/>
          <w:szCs w:val="24"/>
          <w:lang w:val="en-GB"/>
        </w:rPr>
      </w:pPr>
      <w:r w:rsidRPr="004F45C3">
        <w:rPr>
          <w:rStyle w:val="FootnoteReference"/>
          <w:sz w:val="24"/>
          <w:szCs w:val="24"/>
        </w:rPr>
        <w:footnoteRef/>
      </w:r>
      <w:r w:rsidRPr="004F45C3">
        <w:rPr>
          <w:sz w:val="24"/>
          <w:szCs w:val="24"/>
          <w:lang w:val="en-GB"/>
        </w:rPr>
        <w:t xml:space="preserve"> </w:t>
      </w:r>
      <w:r w:rsidRPr="004F45C3">
        <w:rPr>
          <w:sz w:val="24"/>
          <w:szCs w:val="24"/>
          <w:lang w:val="en-GB"/>
        </w:rPr>
        <w:tab/>
        <w:t>Position of the European Parliament of 7 July 2026.</w:t>
      </w:r>
    </w:p>
  </w:footnote>
  <w:footnote w:id="2">
    <w:p w14:paraId="0C540363" w14:textId="77777777" w:rsidR="001D7FBB" w:rsidRPr="004F45C3" w:rsidRDefault="001D7FBB" w:rsidP="001D7FBB">
      <w:pPr>
        <w:pStyle w:val="FootnoteText"/>
        <w:ind w:left="851" w:hanging="851"/>
        <w:rPr>
          <w:sz w:val="24"/>
          <w:szCs w:val="24"/>
          <w:lang w:val="en-GB"/>
        </w:rPr>
      </w:pPr>
      <w:r w:rsidRPr="004F45C3">
        <w:rPr>
          <w:rStyle w:val="FootnoteReference"/>
          <w:sz w:val="24"/>
          <w:szCs w:val="24"/>
        </w:rPr>
        <w:footnoteRef/>
      </w:r>
      <w:r w:rsidRPr="004F45C3">
        <w:rPr>
          <w:sz w:val="24"/>
          <w:szCs w:val="24"/>
          <w:lang w:val="en-GB"/>
        </w:rPr>
        <w:tab/>
        <w:t xml:space="preserve">Regulation (EU) 2021/2115 of the European Parliament and of the Council of 2 December 2021 establishing rules on support for strategic plans to be drawn up by Member States under the common agricultural policy (CAP Strategic Plans) and financed by the European Agricultural Guarantee Fund (EAGF) and by the European Agricultural Fund for Rural Development (EAFRD) and repealing Regulations (EU) No 1305/2013 and (EU) No 1307/2013 (OJ L 435, 6.12.2021, p. 1, ELI: </w:t>
      </w:r>
      <w:hyperlink r:id="rId1" w:history="1">
        <w:r w:rsidRPr="004F45C3">
          <w:rPr>
            <w:rStyle w:val="Hyperlink"/>
            <w:sz w:val="24"/>
            <w:szCs w:val="24"/>
            <w:lang w:val="en-GB"/>
          </w:rPr>
          <w:t>http://data.europa.eu/eli/reg/2021/2115/oj</w:t>
        </w:r>
      </w:hyperlink>
      <w:r w:rsidRPr="004F45C3">
        <w:rPr>
          <w:sz w:val="24"/>
          <w:szCs w:val="24"/>
          <w:lang w:val="en-GB"/>
        </w:rPr>
        <w:t xml:space="preserve">). </w:t>
      </w:r>
    </w:p>
  </w:footnote>
  <w:footnote w:id="3">
    <w:p w14:paraId="0E12B37A" w14:textId="77777777" w:rsidR="001D7FBB" w:rsidRPr="004F45C3" w:rsidRDefault="001D7FBB" w:rsidP="001D7FBB">
      <w:pPr>
        <w:pStyle w:val="FootnoteText"/>
        <w:ind w:left="851" w:hanging="851"/>
        <w:rPr>
          <w:sz w:val="24"/>
          <w:szCs w:val="24"/>
          <w:lang w:val="en-GB"/>
        </w:rPr>
      </w:pPr>
      <w:r w:rsidRPr="004F45C3">
        <w:rPr>
          <w:rStyle w:val="FootnoteReference"/>
          <w:sz w:val="24"/>
          <w:szCs w:val="24"/>
        </w:rPr>
        <w:footnoteRef/>
      </w:r>
      <w:r w:rsidRPr="004F45C3">
        <w:rPr>
          <w:sz w:val="24"/>
          <w:szCs w:val="24"/>
          <w:lang w:val="en-GB"/>
        </w:rPr>
        <w:tab/>
        <w:t xml:space="preserve">Regulation (EU) 2021/2116 of the European Parliament and of the Council of 2 December 2021 on the financing, management and monitoring of the common agricultural policy and repealing Regulation (EU) No 1306/2013 (OJ L 435, 6.12.2021, p. 187, ELI: </w:t>
      </w:r>
      <w:hyperlink r:id="rId2" w:history="1">
        <w:r w:rsidRPr="004F45C3">
          <w:rPr>
            <w:rStyle w:val="Hyperlink"/>
            <w:sz w:val="24"/>
            <w:szCs w:val="24"/>
            <w:lang w:val="en-GB"/>
          </w:rPr>
          <w:t>http://data.europa.eu/eli/reg/2021/2116/oj</w:t>
        </w:r>
      </w:hyperlink>
      <w:r w:rsidRPr="004F45C3">
        <w:rPr>
          <w:sz w:val="24"/>
          <w:szCs w:val="24"/>
          <w:lang w:val="en-GB"/>
        </w:rPr>
        <w:t>).</w:t>
      </w:r>
    </w:p>
  </w:footnote>
  <w:footnote w:id="4">
    <w:p w14:paraId="7E7BFFDF" w14:textId="77777777" w:rsidR="001D7FBB" w:rsidRPr="004F45C3" w:rsidRDefault="001D7FBB" w:rsidP="001D7FBB">
      <w:pPr>
        <w:pStyle w:val="FootnoteText"/>
        <w:ind w:left="851" w:hanging="851"/>
        <w:rPr>
          <w:sz w:val="24"/>
          <w:szCs w:val="24"/>
          <w:lang w:val="en-GB"/>
        </w:rPr>
      </w:pPr>
      <w:r w:rsidRPr="004F45C3">
        <w:rPr>
          <w:rStyle w:val="FootnoteReference"/>
          <w:sz w:val="24"/>
          <w:szCs w:val="24"/>
        </w:rPr>
        <w:footnoteRef/>
      </w:r>
      <w:r w:rsidRPr="004F45C3">
        <w:rPr>
          <w:sz w:val="24"/>
          <w:szCs w:val="24"/>
          <w:lang w:val="en-GB"/>
        </w:rPr>
        <w:tab/>
      </w:r>
      <w:bookmarkStart w:id="11" w:name="https://eur-lex.europa.eu/legal-content/"/>
      <w:r w:rsidRPr="004F45C3">
        <w:rPr>
          <w:sz w:val="24"/>
          <w:szCs w:val="24"/>
        </w:rPr>
        <w:fldChar w:fldCharType="begin"/>
      </w:r>
      <w:r w:rsidRPr="004F45C3">
        <w:rPr>
          <w:sz w:val="24"/>
          <w:szCs w:val="24"/>
          <w:lang w:val="en-GB"/>
        </w:rPr>
        <w:instrText>HYPERLINK "https://eur-lex.europa.eu/legal-content/AUTO/?uri=CELEX:31991L0676&amp;qid=1780589360563&amp;rid=1"</w:instrText>
      </w:r>
      <w:r w:rsidRPr="004F45C3">
        <w:rPr>
          <w:sz w:val="24"/>
          <w:szCs w:val="24"/>
        </w:rPr>
      </w:r>
      <w:r w:rsidRPr="004F45C3">
        <w:rPr>
          <w:sz w:val="24"/>
          <w:szCs w:val="24"/>
        </w:rPr>
        <w:fldChar w:fldCharType="separate"/>
      </w:r>
      <w:r w:rsidRPr="004F45C3">
        <w:rPr>
          <w:sz w:val="24"/>
          <w:szCs w:val="24"/>
          <w:lang w:val="en-GB"/>
        </w:rPr>
        <w:t>Council Directive 91/676/EEC of 12 December 1991 concerning the protection of waters against pollution caused by nitrates from agricultural sources</w:t>
      </w:r>
      <w:r w:rsidRPr="004F45C3">
        <w:rPr>
          <w:sz w:val="24"/>
          <w:szCs w:val="24"/>
        </w:rPr>
        <w:fldChar w:fldCharType="end"/>
      </w:r>
      <w:bookmarkEnd w:id="11"/>
      <w:r w:rsidRPr="004F45C3">
        <w:rPr>
          <w:sz w:val="24"/>
          <w:szCs w:val="24"/>
          <w:lang w:val="en-GB"/>
        </w:rPr>
        <w:t xml:space="preserve"> (OJ L 375, 31.12.1991, p. 1, ELI: </w:t>
      </w:r>
      <w:hyperlink r:id="rId3" w:history="1">
        <w:r w:rsidRPr="004F45C3">
          <w:rPr>
            <w:rStyle w:val="Hyperlink"/>
            <w:sz w:val="24"/>
            <w:szCs w:val="24"/>
            <w:lang w:val="en-GB"/>
          </w:rPr>
          <w:t>http://data.europa.eu/eli/dir/1991/676/oj</w:t>
        </w:r>
      </w:hyperlink>
      <w:r w:rsidRPr="004F45C3">
        <w:rPr>
          <w:sz w:val="24"/>
          <w:szCs w:val="24"/>
          <w:lang w:val="en-GB"/>
        </w:rPr>
        <w:t xml:space="preserve">). </w:t>
      </w:r>
    </w:p>
  </w:footnote>
  <w:footnote w:id="5">
    <w:p w14:paraId="761402D2" w14:textId="77777777" w:rsidR="001D7FBB" w:rsidRPr="000267F5" w:rsidRDefault="001D7FBB" w:rsidP="001D7FBB">
      <w:pPr>
        <w:pStyle w:val="FootnoteText"/>
        <w:ind w:left="851" w:hanging="851"/>
        <w:rPr>
          <w:sz w:val="24"/>
          <w:szCs w:val="24"/>
          <w:lang w:val="en-IE"/>
        </w:rPr>
      </w:pPr>
      <w:r w:rsidRPr="004F45C3">
        <w:rPr>
          <w:rStyle w:val="FootnoteReference"/>
          <w:sz w:val="24"/>
          <w:szCs w:val="24"/>
        </w:rPr>
        <w:footnoteRef/>
      </w:r>
      <w:r w:rsidRPr="004F45C3">
        <w:rPr>
          <w:sz w:val="24"/>
          <w:szCs w:val="24"/>
          <w:lang w:val="en-GB"/>
        </w:rPr>
        <w:tab/>
        <w:t xml:space="preserve">Regulation (EU, Euratom) 2024/2509 of the European Parliament and of the Council of 23 September 2024 on the financial rules applicable to the general budget of the Union (OJ L, 2024/2509, 26.9.2024, ELI: </w:t>
      </w:r>
      <w:hyperlink r:id="rId4" w:history="1">
        <w:r w:rsidRPr="004F45C3">
          <w:rPr>
            <w:rStyle w:val="Hyperlink"/>
            <w:sz w:val="24"/>
            <w:szCs w:val="24"/>
            <w:lang w:val="en-GB"/>
          </w:rPr>
          <w:t>http://data.europa.eu/eli/reg/2024/2509/oj</w:t>
        </w:r>
      </w:hyperlink>
      <w:r w:rsidRPr="004F45C3">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C441C"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7DFB"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22A5"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1" w15:restartNumberingAfterBreak="0">
    <w:nsid w:val="63591D18"/>
    <w:multiLevelType w:val="hybridMultilevel"/>
    <w:tmpl w:val="5038D67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6" w15:restartNumberingAfterBreak="0">
    <w:nsid w:val="74871DA4"/>
    <w:multiLevelType w:val="hybridMultilevel"/>
    <w:tmpl w:val="EAB6CC6C"/>
    <w:lvl w:ilvl="0" w:tplc="EB40B9CA">
      <w:start w:val="1"/>
      <w:numFmt w:val="bullet"/>
      <w:lvlText w:val=""/>
      <w:lvlJc w:val="left"/>
      <w:pPr>
        <w:ind w:left="1080" w:hanging="360"/>
      </w:pPr>
      <w:rPr>
        <w:rFonts w:ascii="Symbol" w:hAnsi="Symbol"/>
      </w:rPr>
    </w:lvl>
    <w:lvl w:ilvl="1" w:tplc="02E4402E">
      <w:start w:val="1"/>
      <w:numFmt w:val="bullet"/>
      <w:lvlText w:val=""/>
      <w:lvlJc w:val="left"/>
      <w:pPr>
        <w:ind w:left="1440" w:hanging="360"/>
      </w:pPr>
      <w:rPr>
        <w:rFonts w:ascii="Symbol" w:hAnsi="Symbol"/>
      </w:rPr>
    </w:lvl>
    <w:lvl w:ilvl="2" w:tplc="A59A991C">
      <w:start w:val="1"/>
      <w:numFmt w:val="bullet"/>
      <w:lvlText w:val=""/>
      <w:lvlJc w:val="left"/>
      <w:pPr>
        <w:ind w:left="1080" w:hanging="360"/>
      </w:pPr>
      <w:rPr>
        <w:rFonts w:ascii="Symbol" w:hAnsi="Symbol"/>
      </w:rPr>
    </w:lvl>
    <w:lvl w:ilvl="3" w:tplc="77789376">
      <w:start w:val="1"/>
      <w:numFmt w:val="bullet"/>
      <w:lvlText w:val=""/>
      <w:lvlJc w:val="left"/>
      <w:pPr>
        <w:ind w:left="1080" w:hanging="360"/>
      </w:pPr>
      <w:rPr>
        <w:rFonts w:ascii="Symbol" w:hAnsi="Symbol"/>
      </w:rPr>
    </w:lvl>
    <w:lvl w:ilvl="4" w:tplc="A7DE9B40">
      <w:start w:val="1"/>
      <w:numFmt w:val="bullet"/>
      <w:lvlText w:val=""/>
      <w:lvlJc w:val="left"/>
      <w:pPr>
        <w:ind w:left="1080" w:hanging="360"/>
      </w:pPr>
      <w:rPr>
        <w:rFonts w:ascii="Symbol" w:hAnsi="Symbol"/>
      </w:rPr>
    </w:lvl>
    <w:lvl w:ilvl="5" w:tplc="9612B5AA">
      <w:start w:val="1"/>
      <w:numFmt w:val="bullet"/>
      <w:lvlText w:val=""/>
      <w:lvlJc w:val="left"/>
      <w:pPr>
        <w:ind w:left="1080" w:hanging="360"/>
      </w:pPr>
      <w:rPr>
        <w:rFonts w:ascii="Symbol" w:hAnsi="Symbol"/>
      </w:rPr>
    </w:lvl>
    <w:lvl w:ilvl="6" w:tplc="C390FC4C">
      <w:start w:val="1"/>
      <w:numFmt w:val="bullet"/>
      <w:lvlText w:val=""/>
      <w:lvlJc w:val="left"/>
      <w:pPr>
        <w:ind w:left="1080" w:hanging="360"/>
      </w:pPr>
      <w:rPr>
        <w:rFonts w:ascii="Symbol" w:hAnsi="Symbol"/>
      </w:rPr>
    </w:lvl>
    <w:lvl w:ilvl="7" w:tplc="80629AFC">
      <w:start w:val="1"/>
      <w:numFmt w:val="bullet"/>
      <w:lvlText w:val=""/>
      <w:lvlJc w:val="left"/>
      <w:pPr>
        <w:ind w:left="1080" w:hanging="360"/>
      </w:pPr>
      <w:rPr>
        <w:rFonts w:ascii="Symbol" w:hAnsi="Symbol"/>
      </w:rPr>
    </w:lvl>
    <w:lvl w:ilvl="8" w:tplc="4C8851D6">
      <w:start w:val="1"/>
      <w:numFmt w:val="bullet"/>
      <w:lvlText w:val=""/>
      <w:lvlJc w:val="left"/>
      <w:pPr>
        <w:ind w:left="1080" w:hanging="360"/>
      </w:pPr>
      <w:rPr>
        <w:rFonts w:ascii="Symbol" w:hAnsi="Symbol"/>
      </w:rPr>
    </w:lvl>
  </w:abstractNum>
  <w:abstractNum w:abstractNumId="3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9" w15:restartNumberingAfterBreak="0">
    <w:nsid w:val="7E902F9F"/>
    <w:multiLevelType w:val="hybridMultilevel"/>
    <w:tmpl w:val="46604940"/>
    <w:lvl w:ilvl="0" w:tplc="A698985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817646913">
    <w:abstractNumId w:val="8"/>
  </w:num>
  <w:num w:numId="2" w16cid:durableId="1502768796">
    <w:abstractNumId w:val="5"/>
  </w:num>
  <w:num w:numId="3" w16cid:durableId="1583753325">
    <w:abstractNumId w:val="2"/>
  </w:num>
  <w:num w:numId="4" w16cid:durableId="2045984662">
    <w:abstractNumId w:val="1"/>
  </w:num>
  <w:num w:numId="5" w16cid:durableId="74791163">
    <w:abstractNumId w:val="34"/>
  </w:num>
  <w:num w:numId="6" w16cid:durableId="1050111916">
    <w:abstractNumId w:val="22"/>
  </w:num>
  <w:num w:numId="7" w16cid:durableId="884753233">
    <w:abstractNumId w:val="15"/>
  </w:num>
  <w:num w:numId="8" w16cid:durableId="563369246">
    <w:abstractNumId w:val="40"/>
  </w:num>
  <w:num w:numId="9" w16cid:durableId="958336686">
    <w:abstractNumId w:val="40"/>
  </w:num>
  <w:num w:numId="10" w16cid:durableId="591401468">
    <w:abstractNumId w:val="0"/>
  </w:num>
  <w:num w:numId="11" w16cid:durableId="1525636558">
    <w:abstractNumId w:val="26"/>
  </w:num>
  <w:num w:numId="12" w16cid:durableId="719669486">
    <w:abstractNumId w:val="12"/>
  </w:num>
  <w:num w:numId="13" w16cid:durableId="1788547964">
    <w:abstractNumId w:val="23"/>
  </w:num>
  <w:num w:numId="14" w16cid:durableId="667053552">
    <w:abstractNumId w:val="21"/>
  </w:num>
  <w:num w:numId="15" w16cid:durableId="1632008470">
    <w:abstractNumId w:val="33"/>
  </w:num>
  <w:num w:numId="16" w16cid:durableId="469250507">
    <w:abstractNumId w:val="30"/>
  </w:num>
  <w:num w:numId="17" w16cid:durableId="428239973">
    <w:abstractNumId w:val="35"/>
  </w:num>
  <w:num w:numId="18" w16cid:durableId="1232157170">
    <w:abstractNumId w:val="37"/>
  </w:num>
  <w:num w:numId="19" w16cid:durableId="2004308667">
    <w:abstractNumId w:val="3"/>
  </w:num>
  <w:num w:numId="20" w16cid:durableId="1953591815">
    <w:abstractNumId w:val="14"/>
  </w:num>
  <w:num w:numId="21" w16cid:durableId="1081219775">
    <w:abstractNumId w:val="4"/>
  </w:num>
  <w:num w:numId="22" w16cid:durableId="716317055">
    <w:abstractNumId w:val="16"/>
  </w:num>
  <w:num w:numId="23" w16cid:durableId="901906901">
    <w:abstractNumId w:val="13"/>
  </w:num>
  <w:num w:numId="24" w16cid:durableId="1219901640">
    <w:abstractNumId w:val="24"/>
  </w:num>
  <w:num w:numId="25" w16cid:durableId="359861386">
    <w:abstractNumId w:val="11"/>
  </w:num>
  <w:num w:numId="26" w16cid:durableId="109252429">
    <w:abstractNumId w:val="38"/>
    <w:lvlOverride w:ilvl="0">
      <w:startOverride w:val="1"/>
    </w:lvlOverride>
  </w:num>
  <w:num w:numId="27" w16cid:durableId="3792110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12670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77205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12753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3050536">
    <w:abstractNumId w:val="20"/>
    <w:lvlOverride w:ilvl="0">
      <w:startOverride w:val="1"/>
    </w:lvlOverride>
  </w:num>
  <w:num w:numId="32" w16cid:durableId="2089693441">
    <w:abstractNumId w:val="29"/>
  </w:num>
  <w:num w:numId="33" w16cid:durableId="1693998065">
    <w:abstractNumId w:val="17"/>
  </w:num>
  <w:num w:numId="34" w16cid:durableId="788817884">
    <w:abstractNumId w:val="32"/>
  </w:num>
  <w:num w:numId="35" w16cid:durableId="1535464848">
    <w:abstractNumId w:val="10"/>
  </w:num>
  <w:num w:numId="36" w16cid:durableId="639657071">
    <w:abstractNumId w:val="18"/>
  </w:num>
  <w:num w:numId="37" w16cid:durableId="361050661">
    <w:abstractNumId w:val="19"/>
  </w:num>
  <w:num w:numId="38" w16cid:durableId="472790552">
    <w:abstractNumId w:val="7"/>
  </w:num>
  <w:num w:numId="39" w16cid:durableId="2031682509">
    <w:abstractNumId w:val="6"/>
  </w:num>
  <w:num w:numId="40" w16cid:durableId="150604668">
    <w:abstractNumId w:val="20"/>
  </w:num>
  <w:num w:numId="41" w16cid:durableId="472332852">
    <w:abstractNumId w:val="27"/>
  </w:num>
  <w:num w:numId="42" w16cid:durableId="1298296966">
    <w:abstractNumId w:val="28"/>
  </w:num>
  <w:num w:numId="43" w16cid:durableId="1306230484">
    <w:abstractNumId w:val="9"/>
  </w:num>
  <w:num w:numId="44" w16cid:durableId="24066917">
    <w:abstractNumId w:val="25"/>
  </w:num>
  <w:num w:numId="45" w16cid:durableId="485436588">
    <w:abstractNumId w:val="38"/>
  </w:num>
  <w:num w:numId="46" w16cid:durableId="1991707875">
    <w:abstractNumId w:val="36"/>
  </w:num>
  <w:num w:numId="47" w16cid:durableId="377248535">
    <w:abstractNumId w:val="39"/>
  </w:num>
  <w:num w:numId="48" w16cid:durableId="675337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83"/>
    <w:rsid w:val="00013B2A"/>
    <w:rsid w:val="000267F5"/>
    <w:rsid w:val="000C2BFE"/>
    <w:rsid w:val="000F27A9"/>
    <w:rsid w:val="000F6208"/>
    <w:rsid w:val="001016D1"/>
    <w:rsid w:val="00125CBC"/>
    <w:rsid w:val="00172070"/>
    <w:rsid w:val="00185E15"/>
    <w:rsid w:val="001D4BBF"/>
    <w:rsid w:val="001D63A8"/>
    <w:rsid w:val="001D7FBB"/>
    <w:rsid w:val="002924A9"/>
    <w:rsid w:val="0029469C"/>
    <w:rsid w:val="002A1D4E"/>
    <w:rsid w:val="002B4BCF"/>
    <w:rsid w:val="002D323B"/>
    <w:rsid w:val="002F1925"/>
    <w:rsid w:val="00300C61"/>
    <w:rsid w:val="00312A38"/>
    <w:rsid w:val="003202DD"/>
    <w:rsid w:val="00322D3A"/>
    <w:rsid w:val="003669CF"/>
    <w:rsid w:val="003775B9"/>
    <w:rsid w:val="00397B2A"/>
    <w:rsid w:val="003E1189"/>
    <w:rsid w:val="003F4DFE"/>
    <w:rsid w:val="00425111"/>
    <w:rsid w:val="004307DA"/>
    <w:rsid w:val="00451C48"/>
    <w:rsid w:val="0047030E"/>
    <w:rsid w:val="004C0710"/>
    <w:rsid w:val="004E6A17"/>
    <w:rsid w:val="004F2EA7"/>
    <w:rsid w:val="004F45C3"/>
    <w:rsid w:val="00520780"/>
    <w:rsid w:val="00525ED0"/>
    <w:rsid w:val="00534CAB"/>
    <w:rsid w:val="00547BB1"/>
    <w:rsid w:val="00576635"/>
    <w:rsid w:val="00591365"/>
    <w:rsid w:val="005A2421"/>
    <w:rsid w:val="005A35B0"/>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A57C0"/>
    <w:rsid w:val="007B16FE"/>
    <w:rsid w:val="007C3388"/>
    <w:rsid w:val="008512F3"/>
    <w:rsid w:val="00857458"/>
    <w:rsid w:val="00873A0F"/>
    <w:rsid w:val="00895FA0"/>
    <w:rsid w:val="008A7534"/>
    <w:rsid w:val="008B1C2E"/>
    <w:rsid w:val="008C2172"/>
    <w:rsid w:val="008D7C16"/>
    <w:rsid w:val="008D7D99"/>
    <w:rsid w:val="008E7632"/>
    <w:rsid w:val="008F0108"/>
    <w:rsid w:val="008F7F1C"/>
    <w:rsid w:val="00907FE0"/>
    <w:rsid w:val="009865B7"/>
    <w:rsid w:val="009B7E10"/>
    <w:rsid w:val="009C4014"/>
    <w:rsid w:val="009F28EF"/>
    <w:rsid w:val="00A1739E"/>
    <w:rsid w:val="00B54C72"/>
    <w:rsid w:val="00B85C1E"/>
    <w:rsid w:val="00C15516"/>
    <w:rsid w:val="00C16C81"/>
    <w:rsid w:val="00C438BA"/>
    <w:rsid w:val="00C552A1"/>
    <w:rsid w:val="00C57739"/>
    <w:rsid w:val="00C65BE8"/>
    <w:rsid w:val="00CB451F"/>
    <w:rsid w:val="00CC4897"/>
    <w:rsid w:val="00D05419"/>
    <w:rsid w:val="00D174B3"/>
    <w:rsid w:val="00D202A4"/>
    <w:rsid w:val="00D91669"/>
    <w:rsid w:val="00DF097A"/>
    <w:rsid w:val="00DF53A8"/>
    <w:rsid w:val="00E039BF"/>
    <w:rsid w:val="00E11822"/>
    <w:rsid w:val="00E73B02"/>
    <w:rsid w:val="00E74BF3"/>
    <w:rsid w:val="00ED5154"/>
    <w:rsid w:val="00ED5241"/>
    <w:rsid w:val="00EF3610"/>
    <w:rsid w:val="00F177A4"/>
    <w:rsid w:val="00F97E29"/>
    <w:rsid w:val="00FA607C"/>
    <w:rsid w:val="00FB1507"/>
    <w:rsid w:val="00FB3609"/>
    <w:rsid w:val="00FB3D83"/>
    <w:rsid w:val="00FF4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EAE08"/>
  <w15:chartTrackingRefBased/>
  <w15:docId w15:val="{856FBD83-58FE-4600-9DB4-12F75489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link w:val="Heading1Char"/>
    <w:uiPriority w:val="9"/>
    <w:qFormat/>
    <w:pPr>
      <w:keepNext/>
      <w:keepLines/>
      <w:spacing w:after="120"/>
      <w:ind w:left="510" w:hanging="510"/>
      <w:outlineLvl w:val="0"/>
    </w:pPr>
    <w:rPr>
      <w:b/>
      <w:kern w:val="28"/>
      <w:sz w:val="28"/>
    </w:rPr>
  </w:style>
  <w:style w:type="paragraph" w:styleId="Heading2">
    <w:name w:val="heading 2"/>
    <w:basedOn w:val="Normal"/>
    <w:next w:val="Normal"/>
    <w:link w:val="Heading2Char"/>
    <w:uiPriority w:val="9"/>
    <w:qFormat/>
    <w:pPr>
      <w:keepNext/>
      <w:numPr>
        <w:ilvl w:val="1"/>
        <w:numId w:val="4"/>
      </w:numPr>
      <w:spacing w:before="240" w:after="60"/>
      <w:outlineLvl w:val="1"/>
    </w:pPr>
  </w:style>
  <w:style w:type="paragraph" w:styleId="Heading3">
    <w:name w:val="heading 3"/>
    <w:basedOn w:val="Normal"/>
    <w:next w:val="Normal"/>
    <w:link w:val="Heading3Char"/>
    <w:uiPriority w:val="9"/>
    <w:qFormat/>
    <w:pPr>
      <w:keepNext/>
      <w:numPr>
        <w:ilvl w:val="2"/>
        <w:numId w:val="4"/>
      </w:numPr>
      <w:spacing w:before="240" w:after="60"/>
      <w:outlineLvl w:val="2"/>
    </w:pPr>
    <w:rPr>
      <w:rFonts w:ascii="Arial" w:hAnsi="Arial"/>
    </w:rPr>
  </w:style>
  <w:style w:type="paragraph" w:styleId="Heading4">
    <w:name w:val="heading 4"/>
    <w:basedOn w:val="Normal"/>
    <w:next w:val="Normal"/>
    <w:link w:val="Heading4Char"/>
    <w:uiPriority w:val="9"/>
    <w:qFormat/>
    <w:pPr>
      <w:keepNext/>
      <w:numPr>
        <w:ilvl w:val="3"/>
        <w:numId w:val="4"/>
      </w:numPr>
      <w:spacing w:before="240" w:after="60"/>
      <w:outlineLvl w:val="3"/>
    </w:pPr>
    <w:rPr>
      <w:lang w:val="en-US"/>
    </w:rPr>
  </w:style>
  <w:style w:type="paragraph" w:styleId="Heading5">
    <w:name w:val="heading 5"/>
    <w:basedOn w:val="Normal"/>
    <w:next w:val="Normal"/>
    <w:link w:val="Heading5Char"/>
    <w:uiPriority w:val="9"/>
    <w:qFormat/>
    <w:pPr>
      <w:numPr>
        <w:ilvl w:val="4"/>
        <w:numId w:val="7"/>
      </w:numPr>
      <w:spacing w:before="240" w:after="60"/>
      <w:outlineLvl w:val="4"/>
    </w:pPr>
    <w:rPr>
      <w:lang w:val="en-US"/>
    </w:rPr>
  </w:style>
  <w:style w:type="paragraph" w:styleId="Heading6">
    <w:name w:val="heading 6"/>
    <w:basedOn w:val="Normal"/>
    <w:next w:val="Normal"/>
    <w:link w:val="Heading6Char"/>
    <w:uiPriority w:val="9"/>
    <w:semiHidden/>
    <w:unhideWhenUsed/>
    <w:qFormat/>
    <w:rsid w:val="001D7FBB"/>
    <w:pPr>
      <w:keepNext/>
      <w:keepLines/>
      <w:spacing w:before="40"/>
      <w:outlineLvl w:val="5"/>
    </w:pPr>
    <w:rPr>
      <w:rFonts w:eastAsia="MS Gothic"/>
      <w:iCs/>
      <w:lang w:val="en-GB"/>
    </w:rPr>
  </w:style>
  <w:style w:type="paragraph" w:styleId="Heading7">
    <w:name w:val="heading 7"/>
    <w:basedOn w:val="Normal"/>
    <w:next w:val="Normal"/>
    <w:link w:val="Heading7Char"/>
    <w:uiPriority w:val="9"/>
    <w:semiHidden/>
    <w:unhideWhenUsed/>
    <w:qFormat/>
    <w:rsid w:val="001D7FBB"/>
    <w:pPr>
      <w:keepNext/>
      <w:keepLines/>
      <w:spacing w:before="40"/>
      <w:outlineLvl w:val="6"/>
    </w:pPr>
    <w:rPr>
      <w:rFonts w:eastAsia="MS Gothic"/>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uiPriority w:val="39"/>
    <w:semiHidden/>
    <w:pPr>
      <w:keepNext/>
      <w:keepLines/>
      <w:spacing w:before="200"/>
    </w:pPr>
    <w:rPr>
      <w:b/>
      <w:noProof/>
    </w:rPr>
  </w:style>
  <w:style w:type="paragraph" w:styleId="TOC2">
    <w:name w:val="toc 2"/>
    <w:basedOn w:val="Normal"/>
    <w:next w:val="Normal"/>
    <w:autoRedefine/>
    <w:uiPriority w:val="39"/>
    <w:semiHidden/>
    <w:pPr>
      <w:keepNext/>
      <w:keepLines/>
    </w:pPr>
    <w:rPr>
      <w:b/>
      <w:noProof/>
    </w:rPr>
  </w:style>
  <w:style w:type="paragraph" w:styleId="TOC3">
    <w:name w:val="toc 3"/>
    <w:basedOn w:val="Normal"/>
    <w:next w:val="Normal"/>
    <w:autoRedefine/>
    <w:uiPriority w:val="39"/>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Heading61">
    <w:name w:val="Heading 61"/>
    <w:basedOn w:val="Normal"/>
    <w:next w:val="Text2"/>
    <w:uiPriority w:val="9"/>
    <w:semiHidden/>
    <w:unhideWhenUsed/>
    <w:qFormat/>
    <w:rsid w:val="001D7FBB"/>
    <w:pPr>
      <w:keepNext/>
      <w:spacing w:before="120" w:after="120"/>
      <w:jc w:val="both"/>
      <w:outlineLvl w:val="5"/>
    </w:pPr>
    <w:rPr>
      <w:rFonts w:eastAsia="MS Gothic"/>
      <w:iCs/>
      <w:szCs w:val="22"/>
      <w:lang w:val="en-GB" w:eastAsia="en-US"/>
    </w:rPr>
  </w:style>
  <w:style w:type="paragraph" w:customStyle="1" w:styleId="Heading71">
    <w:name w:val="Heading 71"/>
    <w:basedOn w:val="Normal"/>
    <w:next w:val="Text2"/>
    <w:uiPriority w:val="9"/>
    <w:semiHidden/>
    <w:unhideWhenUsed/>
    <w:qFormat/>
    <w:rsid w:val="001D7FBB"/>
    <w:pPr>
      <w:keepNext/>
      <w:spacing w:before="120" w:after="120"/>
      <w:jc w:val="both"/>
      <w:outlineLvl w:val="6"/>
    </w:pPr>
    <w:rPr>
      <w:rFonts w:eastAsia="MS Gothic"/>
      <w:iCs/>
      <w:szCs w:val="22"/>
      <w:lang w:val="en-GB" w:eastAsia="en-US"/>
    </w:rPr>
  </w:style>
  <w:style w:type="numbering" w:customStyle="1" w:styleId="NoList1">
    <w:name w:val="No List1"/>
    <w:next w:val="NoList"/>
    <w:uiPriority w:val="99"/>
    <w:semiHidden/>
    <w:unhideWhenUsed/>
    <w:rsid w:val="001D7FBB"/>
  </w:style>
  <w:style w:type="paragraph" w:styleId="ListBullet4">
    <w:name w:val="List Bullet 4"/>
    <w:basedOn w:val="Normal"/>
    <w:rsid w:val="001D7FBB"/>
    <w:pPr>
      <w:numPr>
        <w:numId w:val="11"/>
      </w:numPr>
      <w:tabs>
        <w:tab w:val="clear" w:pos="1134"/>
        <w:tab w:val="num" w:pos="360"/>
      </w:tabs>
      <w:spacing w:before="120" w:after="120"/>
      <w:ind w:left="0" w:firstLine="0"/>
      <w:jc w:val="both"/>
    </w:pPr>
    <w:rPr>
      <w:szCs w:val="22"/>
      <w:lang w:val="en-GB" w:eastAsia="de-DE"/>
    </w:rPr>
  </w:style>
  <w:style w:type="paragraph" w:styleId="ListNumber">
    <w:name w:val="List Number"/>
    <w:basedOn w:val="Normal"/>
    <w:rsid w:val="001D7FBB"/>
    <w:pPr>
      <w:numPr>
        <w:numId w:val="15"/>
      </w:numPr>
      <w:tabs>
        <w:tab w:val="clear" w:pos="709"/>
      </w:tabs>
      <w:spacing w:before="120" w:after="120"/>
      <w:ind w:left="0" w:firstLine="0"/>
      <w:jc w:val="both"/>
    </w:pPr>
    <w:rPr>
      <w:szCs w:val="22"/>
      <w:lang w:val="en-GB" w:eastAsia="de-DE"/>
    </w:rPr>
  </w:style>
  <w:style w:type="paragraph" w:customStyle="1" w:styleId="ListBullet1">
    <w:name w:val="List Bullet 1"/>
    <w:basedOn w:val="Normal"/>
    <w:rsid w:val="001D7FBB"/>
    <w:pPr>
      <w:numPr>
        <w:numId w:val="10"/>
      </w:numPr>
      <w:tabs>
        <w:tab w:val="clear" w:pos="1134"/>
      </w:tabs>
      <w:spacing w:before="120" w:after="120"/>
      <w:ind w:left="0" w:firstLine="0"/>
      <w:jc w:val="both"/>
    </w:pPr>
    <w:rPr>
      <w:szCs w:val="22"/>
      <w:lang w:val="en-GB" w:eastAsia="de-DE"/>
    </w:rPr>
  </w:style>
  <w:style w:type="paragraph" w:customStyle="1" w:styleId="ListDash">
    <w:name w:val="List Dash"/>
    <w:basedOn w:val="Normal"/>
    <w:rsid w:val="001D7FBB"/>
    <w:pPr>
      <w:numPr>
        <w:numId w:val="12"/>
      </w:numPr>
      <w:tabs>
        <w:tab w:val="clear" w:pos="283"/>
      </w:tabs>
      <w:spacing w:before="120" w:after="120"/>
      <w:ind w:left="0" w:firstLine="0"/>
      <w:jc w:val="both"/>
    </w:pPr>
    <w:rPr>
      <w:szCs w:val="22"/>
      <w:lang w:val="en-GB" w:eastAsia="de-DE"/>
    </w:rPr>
  </w:style>
  <w:style w:type="paragraph" w:customStyle="1" w:styleId="ListDash1">
    <w:name w:val="List Dash 1"/>
    <w:basedOn w:val="Normal"/>
    <w:rsid w:val="001D7FBB"/>
    <w:pPr>
      <w:numPr>
        <w:numId w:val="13"/>
      </w:numPr>
      <w:tabs>
        <w:tab w:val="clear" w:pos="1134"/>
      </w:tabs>
      <w:spacing w:before="120" w:after="120"/>
      <w:ind w:left="0" w:firstLine="0"/>
      <w:jc w:val="both"/>
    </w:pPr>
    <w:rPr>
      <w:szCs w:val="22"/>
      <w:lang w:val="en-GB" w:eastAsia="de-DE"/>
    </w:rPr>
  </w:style>
  <w:style w:type="paragraph" w:customStyle="1" w:styleId="ListDash2">
    <w:name w:val="List Dash 2"/>
    <w:basedOn w:val="Normal"/>
    <w:rsid w:val="001D7FBB"/>
    <w:pPr>
      <w:numPr>
        <w:numId w:val="14"/>
      </w:numPr>
      <w:tabs>
        <w:tab w:val="clear" w:pos="1134"/>
      </w:tabs>
      <w:spacing w:before="120" w:after="120"/>
      <w:ind w:left="0" w:firstLine="0"/>
      <w:jc w:val="both"/>
    </w:pPr>
    <w:rPr>
      <w:szCs w:val="22"/>
      <w:lang w:val="en-GB" w:eastAsia="de-DE"/>
    </w:rPr>
  </w:style>
  <w:style w:type="paragraph" w:customStyle="1" w:styleId="ListNumberLevel2">
    <w:name w:val="List Number (Level 2)"/>
    <w:basedOn w:val="Normal"/>
    <w:rsid w:val="001D7FBB"/>
    <w:pPr>
      <w:numPr>
        <w:ilvl w:val="1"/>
        <w:numId w:val="15"/>
      </w:numPr>
      <w:tabs>
        <w:tab w:val="clear" w:pos="1417"/>
      </w:tabs>
      <w:spacing w:before="120" w:after="120"/>
      <w:ind w:left="0" w:firstLine="0"/>
      <w:jc w:val="both"/>
    </w:pPr>
    <w:rPr>
      <w:szCs w:val="22"/>
      <w:lang w:val="en-GB" w:eastAsia="de-DE"/>
    </w:rPr>
  </w:style>
  <w:style w:type="paragraph" w:customStyle="1" w:styleId="ListNumberLevel3">
    <w:name w:val="List Number (Level 3)"/>
    <w:basedOn w:val="Normal"/>
    <w:rsid w:val="001D7FBB"/>
    <w:pPr>
      <w:numPr>
        <w:ilvl w:val="2"/>
        <w:numId w:val="15"/>
      </w:numPr>
      <w:tabs>
        <w:tab w:val="clear" w:pos="2126"/>
      </w:tabs>
      <w:spacing w:before="120" w:after="120"/>
      <w:ind w:left="0" w:firstLine="0"/>
      <w:jc w:val="both"/>
    </w:pPr>
    <w:rPr>
      <w:szCs w:val="22"/>
      <w:lang w:val="en-GB" w:eastAsia="de-DE"/>
    </w:rPr>
  </w:style>
  <w:style w:type="paragraph" w:customStyle="1" w:styleId="ListNumberLevel4">
    <w:name w:val="List Number (Level 4)"/>
    <w:basedOn w:val="Normal"/>
    <w:rsid w:val="001D7FBB"/>
    <w:pPr>
      <w:numPr>
        <w:ilvl w:val="3"/>
        <w:numId w:val="15"/>
      </w:numPr>
      <w:tabs>
        <w:tab w:val="clear" w:pos="2835"/>
      </w:tabs>
      <w:spacing w:before="120" w:after="120"/>
      <w:ind w:left="0" w:firstLine="0"/>
      <w:jc w:val="both"/>
    </w:pPr>
    <w:rPr>
      <w:szCs w:val="22"/>
      <w:lang w:val="en-GB" w:eastAsia="de-DE"/>
    </w:rPr>
  </w:style>
  <w:style w:type="table" w:styleId="TableGrid">
    <w:name w:val="Table Grid"/>
    <w:basedOn w:val="TableNormal"/>
    <w:rsid w:val="001D7FBB"/>
    <w:pPr>
      <w:spacing w:before="120" w:after="120"/>
      <w:jc w:val="both"/>
    </w:pPr>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D7FBB"/>
    <w:rPr>
      <w:color w:val="0000FF"/>
      <w:u w:val="single"/>
    </w:rPr>
  </w:style>
  <w:style w:type="paragraph" w:styleId="ListBullet">
    <w:name w:val="List Bullet"/>
    <w:basedOn w:val="Normal"/>
    <w:rsid w:val="001D7FBB"/>
    <w:pPr>
      <w:numPr>
        <w:numId w:val="16"/>
      </w:numPr>
      <w:tabs>
        <w:tab w:val="clear" w:pos="283"/>
      </w:tabs>
      <w:spacing w:before="120" w:after="120"/>
      <w:ind w:left="0" w:firstLine="0"/>
      <w:jc w:val="both"/>
    </w:pPr>
    <w:rPr>
      <w:szCs w:val="22"/>
    </w:rPr>
  </w:style>
  <w:style w:type="paragraph" w:styleId="ListBullet2">
    <w:name w:val="List Bullet 2"/>
    <w:basedOn w:val="Normal"/>
    <w:rsid w:val="001D7FBB"/>
    <w:pPr>
      <w:numPr>
        <w:numId w:val="17"/>
      </w:numPr>
      <w:tabs>
        <w:tab w:val="clear" w:pos="1134"/>
      </w:tabs>
      <w:spacing w:before="120" w:after="120"/>
      <w:ind w:left="0" w:firstLine="0"/>
      <w:jc w:val="both"/>
    </w:pPr>
    <w:rPr>
      <w:szCs w:val="22"/>
    </w:rPr>
  </w:style>
  <w:style w:type="paragraph" w:styleId="ListBullet3">
    <w:name w:val="List Bullet 3"/>
    <w:basedOn w:val="Normal"/>
    <w:rsid w:val="001D7FBB"/>
    <w:pPr>
      <w:numPr>
        <w:numId w:val="18"/>
      </w:numPr>
      <w:tabs>
        <w:tab w:val="clear" w:pos="1134"/>
      </w:tabs>
      <w:spacing w:before="120" w:after="120"/>
      <w:ind w:left="0" w:firstLine="0"/>
      <w:jc w:val="both"/>
    </w:pPr>
    <w:rPr>
      <w:szCs w:val="22"/>
    </w:rPr>
  </w:style>
  <w:style w:type="paragraph" w:styleId="ListNumber2">
    <w:name w:val="List Number 2"/>
    <w:basedOn w:val="Normal"/>
    <w:rsid w:val="001D7FBB"/>
    <w:pPr>
      <w:numPr>
        <w:numId w:val="22"/>
      </w:numPr>
      <w:tabs>
        <w:tab w:val="clear" w:pos="1560"/>
      </w:tabs>
      <w:spacing w:before="120" w:after="120"/>
      <w:ind w:left="0" w:firstLine="0"/>
      <w:jc w:val="both"/>
    </w:pPr>
    <w:rPr>
      <w:szCs w:val="22"/>
    </w:rPr>
  </w:style>
  <w:style w:type="paragraph" w:styleId="ListNumber3">
    <w:name w:val="List Number 3"/>
    <w:basedOn w:val="Normal"/>
    <w:rsid w:val="001D7FBB"/>
    <w:pPr>
      <w:numPr>
        <w:numId w:val="23"/>
      </w:numPr>
      <w:tabs>
        <w:tab w:val="clear" w:pos="1560"/>
      </w:tabs>
      <w:spacing w:before="120" w:after="120"/>
      <w:ind w:left="0" w:firstLine="0"/>
      <w:jc w:val="both"/>
    </w:pPr>
    <w:rPr>
      <w:szCs w:val="22"/>
    </w:rPr>
  </w:style>
  <w:style w:type="paragraph" w:styleId="ListNumber4">
    <w:name w:val="List Number 4"/>
    <w:basedOn w:val="Normal"/>
    <w:rsid w:val="001D7FBB"/>
    <w:pPr>
      <w:numPr>
        <w:numId w:val="24"/>
      </w:numPr>
      <w:tabs>
        <w:tab w:val="clear" w:pos="1560"/>
      </w:tabs>
      <w:spacing w:before="120" w:after="120"/>
      <w:ind w:left="0" w:firstLine="0"/>
      <w:jc w:val="both"/>
    </w:pPr>
    <w:rPr>
      <w:szCs w:val="22"/>
    </w:rPr>
  </w:style>
  <w:style w:type="paragraph" w:customStyle="1" w:styleId="ListDash3">
    <w:name w:val="List Dash 3"/>
    <w:basedOn w:val="Normal"/>
    <w:rsid w:val="001D7FBB"/>
    <w:pPr>
      <w:numPr>
        <w:numId w:val="19"/>
      </w:numPr>
      <w:tabs>
        <w:tab w:val="clear" w:pos="1134"/>
      </w:tabs>
      <w:spacing w:before="120" w:after="120"/>
      <w:ind w:left="0" w:firstLine="0"/>
      <w:jc w:val="both"/>
    </w:pPr>
    <w:rPr>
      <w:szCs w:val="22"/>
    </w:rPr>
  </w:style>
  <w:style w:type="paragraph" w:customStyle="1" w:styleId="ListDash4">
    <w:name w:val="List Dash 4"/>
    <w:basedOn w:val="Normal"/>
    <w:rsid w:val="001D7FBB"/>
    <w:pPr>
      <w:numPr>
        <w:numId w:val="20"/>
      </w:numPr>
      <w:tabs>
        <w:tab w:val="clear" w:pos="1134"/>
      </w:tabs>
      <w:spacing w:before="120" w:after="120"/>
      <w:ind w:left="0" w:firstLine="0"/>
      <w:jc w:val="both"/>
    </w:pPr>
    <w:rPr>
      <w:szCs w:val="22"/>
    </w:rPr>
  </w:style>
  <w:style w:type="paragraph" w:customStyle="1" w:styleId="ListNumber1">
    <w:name w:val="List Number 1"/>
    <w:basedOn w:val="Text1"/>
    <w:rsid w:val="001D7FBB"/>
    <w:pPr>
      <w:numPr>
        <w:numId w:val="21"/>
      </w:numPr>
      <w:tabs>
        <w:tab w:val="clear" w:pos="1560"/>
      </w:tabs>
      <w:ind w:left="0" w:firstLine="0"/>
    </w:pPr>
    <w:rPr>
      <w:rFonts w:eastAsia="Times New Roman"/>
      <w:lang w:val="fr-FR" w:eastAsia="en-GB"/>
    </w:rPr>
  </w:style>
  <w:style w:type="paragraph" w:customStyle="1" w:styleId="ListNumber1Level2">
    <w:name w:val="List Number 1 (Level 2)"/>
    <w:basedOn w:val="Text1"/>
    <w:rsid w:val="001D7FBB"/>
    <w:pPr>
      <w:numPr>
        <w:ilvl w:val="1"/>
        <w:numId w:val="21"/>
      </w:numPr>
      <w:tabs>
        <w:tab w:val="clear" w:pos="2268"/>
      </w:tabs>
      <w:ind w:left="0" w:firstLine="0"/>
    </w:pPr>
    <w:rPr>
      <w:rFonts w:eastAsia="Times New Roman"/>
      <w:lang w:val="fr-FR" w:eastAsia="en-GB"/>
    </w:rPr>
  </w:style>
  <w:style w:type="paragraph" w:customStyle="1" w:styleId="ListNumber2Level2">
    <w:name w:val="List Number 2 (Level 2)"/>
    <w:basedOn w:val="Text2"/>
    <w:rsid w:val="001D7FBB"/>
    <w:pPr>
      <w:numPr>
        <w:ilvl w:val="1"/>
        <w:numId w:val="22"/>
      </w:numPr>
      <w:tabs>
        <w:tab w:val="clear" w:pos="2268"/>
      </w:tabs>
      <w:ind w:left="0" w:firstLine="0"/>
    </w:pPr>
    <w:rPr>
      <w:rFonts w:eastAsia="Times New Roman"/>
      <w:lang w:val="fr-FR" w:eastAsia="en-GB"/>
    </w:rPr>
  </w:style>
  <w:style w:type="paragraph" w:customStyle="1" w:styleId="ListNumber3Level2">
    <w:name w:val="List Number 3 (Level 2)"/>
    <w:basedOn w:val="Text3"/>
    <w:rsid w:val="001D7FBB"/>
    <w:pPr>
      <w:numPr>
        <w:ilvl w:val="1"/>
        <w:numId w:val="23"/>
      </w:numPr>
      <w:tabs>
        <w:tab w:val="clear" w:pos="2268"/>
      </w:tabs>
      <w:ind w:left="0" w:firstLine="0"/>
    </w:pPr>
    <w:rPr>
      <w:rFonts w:eastAsia="Times New Roman"/>
      <w:lang w:val="fr-FR" w:eastAsia="en-GB"/>
    </w:rPr>
  </w:style>
  <w:style w:type="paragraph" w:customStyle="1" w:styleId="ListNumber4Level2">
    <w:name w:val="List Number 4 (Level 2)"/>
    <w:basedOn w:val="Text4"/>
    <w:rsid w:val="001D7FBB"/>
    <w:pPr>
      <w:numPr>
        <w:ilvl w:val="1"/>
        <w:numId w:val="24"/>
      </w:numPr>
      <w:tabs>
        <w:tab w:val="clear" w:pos="2268"/>
      </w:tabs>
      <w:ind w:left="0" w:firstLine="0"/>
    </w:pPr>
    <w:rPr>
      <w:rFonts w:eastAsia="Times New Roman"/>
      <w:lang w:val="fr-FR" w:eastAsia="en-GB"/>
    </w:rPr>
  </w:style>
  <w:style w:type="paragraph" w:customStyle="1" w:styleId="ListNumber1Level3">
    <w:name w:val="List Number 1 (Level 3)"/>
    <w:basedOn w:val="Text1"/>
    <w:rsid w:val="001D7FBB"/>
    <w:pPr>
      <w:numPr>
        <w:ilvl w:val="2"/>
        <w:numId w:val="21"/>
      </w:numPr>
      <w:tabs>
        <w:tab w:val="clear" w:pos="2977"/>
      </w:tabs>
      <w:ind w:left="0" w:firstLine="0"/>
    </w:pPr>
    <w:rPr>
      <w:rFonts w:eastAsia="Times New Roman"/>
      <w:lang w:val="fr-FR" w:eastAsia="en-GB"/>
    </w:rPr>
  </w:style>
  <w:style w:type="paragraph" w:customStyle="1" w:styleId="ListNumber2Level3">
    <w:name w:val="List Number 2 (Level 3)"/>
    <w:basedOn w:val="Text2"/>
    <w:rsid w:val="001D7FBB"/>
    <w:pPr>
      <w:numPr>
        <w:ilvl w:val="2"/>
        <w:numId w:val="22"/>
      </w:numPr>
      <w:tabs>
        <w:tab w:val="clear" w:pos="2977"/>
      </w:tabs>
      <w:ind w:left="0" w:firstLine="0"/>
    </w:pPr>
    <w:rPr>
      <w:rFonts w:eastAsia="Times New Roman"/>
      <w:lang w:val="fr-FR" w:eastAsia="en-GB"/>
    </w:rPr>
  </w:style>
  <w:style w:type="paragraph" w:customStyle="1" w:styleId="ListNumber3Level3">
    <w:name w:val="List Number 3 (Level 3)"/>
    <w:basedOn w:val="Text3"/>
    <w:rsid w:val="001D7FBB"/>
    <w:pPr>
      <w:numPr>
        <w:ilvl w:val="2"/>
        <w:numId w:val="23"/>
      </w:numPr>
      <w:tabs>
        <w:tab w:val="clear" w:pos="2977"/>
      </w:tabs>
      <w:ind w:left="0" w:firstLine="0"/>
    </w:pPr>
    <w:rPr>
      <w:rFonts w:eastAsia="Times New Roman"/>
      <w:lang w:val="fr-FR" w:eastAsia="en-GB"/>
    </w:rPr>
  </w:style>
  <w:style w:type="paragraph" w:customStyle="1" w:styleId="ListNumber4Level3">
    <w:name w:val="List Number 4 (Level 3)"/>
    <w:basedOn w:val="Text4"/>
    <w:rsid w:val="001D7FBB"/>
    <w:pPr>
      <w:numPr>
        <w:ilvl w:val="2"/>
        <w:numId w:val="24"/>
      </w:numPr>
      <w:tabs>
        <w:tab w:val="clear" w:pos="2977"/>
      </w:tabs>
      <w:ind w:left="0" w:firstLine="0"/>
    </w:pPr>
    <w:rPr>
      <w:rFonts w:eastAsia="Times New Roman"/>
      <w:lang w:val="fr-FR" w:eastAsia="en-GB"/>
    </w:rPr>
  </w:style>
  <w:style w:type="paragraph" w:customStyle="1" w:styleId="ListNumber1Level4">
    <w:name w:val="List Number 1 (Level 4)"/>
    <w:basedOn w:val="Text1"/>
    <w:rsid w:val="001D7FBB"/>
    <w:pPr>
      <w:numPr>
        <w:ilvl w:val="3"/>
        <w:numId w:val="21"/>
      </w:numPr>
      <w:tabs>
        <w:tab w:val="clear" w:pos="3686"/>
      </w:tabs>
      <w:ind w:left="0" w:firstLine="0"/>
    </w:pPr>
    <w:rPr>
      <w:rFonts w:eastAsia="Times New Roman"/>
      <w:lang w:val="fr-FR" w:eastAsia="en-GB"/>
    </w:rPr>
  </w:style>
  <w:style w:type="paragraph" w:customStyle="1" w:styleId="ListNumber2Level4">
    <w:name w:val="List Number 2 (Level 4)"/>
    <w:basedOn w:val="Text2"/>
    <w:rsid w:val="001D7FBB"/>
    <w:pPr>
      <w:numPr>
        <w:ilvl w:val="3"/>
        <w:numId w:val="22"/>
      </w:numPr>
      <w:tabs>
        <w:tab w:val="clear" w:pos="3686"/>
      </w:tabs>
      <w:ind w:left="0" w:firstLine="0"/>
    </w:pPr>
    <w:rPr>
      <w:rFonts w:eastAsia="Times New Roman"/>
      <w:lang w:val="fr-FR" w:eastAsia="en-GB"/>
    </w:rPr>
  </w:style>
  <w:style w:type="paragraph" w:customStyle="1" w:styleId="ListNumber3Level4">
    <w:name w:val="List Number 3 (Level 4)"/>
    <w:basedOn w:val="Text3"/>
    <w:rsid w:val="001D7FBB"/>
    <w:pPr>
      <w:numPr>
        <w:ilvl w:val="3"/>
        <w:numId w:val="23"/>
      </w:numPr>
      <w:tabs>
        <w:tab w:val="clear" w:pos="3686"/>
      </w:tabs>
      <w:ind w:left="0" w:firstLine="0"/>
    </w:pPr>
    <w:rPr>
      <w:rFonts w:eastAsia="Times New Roman"/>
      <w:lang w:val="fr-FR" w:eastAsia="en-GB"/>
    </w:rPr>
  </w:style>
  <w:style w:type="paragraph" w:customStyle="1" w:styleId="ListNumber4Level4">
    <w:name w:val="List Number 4 (Level 4)"/>
    <w:basedOn w:val="Text4"/>
    <w:rsid w:val="001D7FBB"/>
    <w:pPr>
      <w:numPr>
        <w:ilvl w:val="3"/>
        <w:numId w:val="24"/>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1D7FBB"/>
    <w:pPr>
      <w:spacing w:before="120" w:after="120"/>
      <w:jc w:val="center"/>
    </w:pPr>
    <w:rPr>
      <w:b/>
      <w:szCs w:val="22"/>
      <w:u w:val="single"/>
    </w:rPr>
  </w:style>
  <w:style w:type="paragraph" w:customStyle="1" w:styleId="Annexetitreexposglobal">
    <w:name w:val="Annexe titre (exposé global)"/>
    <w:basedOn w:val="Normal"/>
    <w:next w:val="Normal"/>
    <w:rsid w:val="001D7FBB"/>
    <w:pPr>
      <w:spacing w:before="120" w:after="120"/>
      <w:jc w:val="center"/>
    </w:pPr>
    <w:rPr>
      <w:b/>
      <w:szCs w:val="22"/>
      <w:u w:val="single"/>
    </w:rPr>
  </w:style>
  <w:style w:type="paragraph" w:customStyle="1" w:styleId="Annexetitrefichefinacte">
    <w:name w:val="Annexe titre (fiche fin. acte)"/>
    <w:basedOn w:val="Normal"/>
    <w:next w:val="Normal"/>
    <w:rsid w:val="001D7FBB"/>
    <w:pPr>
      <w:spacing w:before="120" w:after="120"/>
      <w:jc w:val="center"/>
    </w:pPr>
    <w:rPr>
      <w:b/>
      <w:szCs w:val="22"/>
      <w:u w:val="single"/>
    </w:rPr>
  </w:style>
  <w:style w:type="paragraph" w:customStyle="1" w:styleId="Annexetitrefichefinglobale">
    <w:name w:val="Annexe titre (fiche fin. globale)"/>
    <w:basedOn w:val="Normal"/>
    <w:next w:val="Normal"/>
    <w:rsid w:val="001D7FBB"/>
    <w:pPr>
      <w:spacing w:before="120" w:after="120"/>
      <w:jc w:val="center"/>
    </w:pPr>
    <w:rPr>
      <w:b/>
      <w:szCs w:val="22"/>
      <w:u w:val="single"/>
    </w:rPr>
  </w:style>
  <w:style w:type="paragraph" w:customStyle="1" w:styleId="Annexetitreglobale">
    <w:name w:val="Annexe titre (globale)"/>
    <w:basedOn w:val="Normal"/>
    <w:next w:val="Normal"/>
    <w:rsid w:val="001D7FBB"/>
    <w:pPr>
      <w:spacing w:before="120" w:after="120"/>
      <w:jc w:val="center"/>
    </w:pPr>
    <w:rPr>
      <w:b/>
      <w:szCs w:val="22"/>
      <w:u w:val="single"/>
    </w:rPr>
  </w:style>
  <w:style w:type="paragraph" w:customStyle="1" w:styleId="Exposdesmotifstitreglobal">
    <w:name w:val="Exposé des motifs titre (global)"/>
    <w:basedOn w:val="Normal"/>
    <w:next w:val="Normal"/>
    <w:rsid w:val="001D7FBB"/>
    <w:pPr>
      <w:spacing w:before="120" w:after="120"/>
      <w:jc w:val="center"/>
    </w:pPr>
    <w:rPr>
      <w:b/>
      <w:szCs w:val="22"/>
      <w:u w:val="single"/>
    </w:rPr>
  </w:style>
  <w:style w:type="paragraph" w:customStyle="1" w:styleId="Langueoriginale">
    <w:name w:val="Langue originale"/>
    <w:basedOn w:val="Normal"/>
    <w:rsid w:val="001D7FBB"/>
    <w:pPr>
      <w:spacing w:before="360" w:after="120"/>
      <w:jc w:val="center"/>
    </w:pPr>
    <w:rPr>
      <w:caps/>
      <w:szCs w:val="22"/>
    </w:rPr>
  </w:style>
  <w:style w:type="paragraph" w:customStyle="1" w:styleId="Phrasefinale">
    <w:name w:val="Phrase finale"/>
    <w:basedOn w:val="Normal"/>
    <w:next w:val="Normal"/>
    <w:rsid w:val="001D7FBB"/>
    <w:pPr>
      <w:spacing w:before="360"/>
      <w:jc w:val="center"/>
    </w:pPr>
    <w:rPr>
      <w:szCs w:val="22"/>
    </w:rPr>
  </w:style>
  <w:style w:type="paragraph" w:customStyle="1" w:styleId="Prliminairetitre">
    <w:name w:val="Préliminaire titre"/>
    <w:basedOn w:val="Normal"/>
    <w:next w:val="Normal"/>
    <w:rsid w:val="001D7FBB"/>
    <w:pPr>
      <w:spacing w:before="360" w:after="360"/>
      <w:jc w:val="center"/>
    </w:pPr>
    <w:rPr>
      <w:b/>
      <w:szCs w:val="22"/>
    </w:rPr>
  </w:style>
  <w:style w:type="paragraph" w:customStyle="1" w:styleId="Prliminairetype">
    <w:name w:val="Préliminaire type"/>
    <w:basedOn w:val="Normal"/>
    <w:next w:val="Normal"/>
    <w:rsid w:val="001D7FBB"/>
    <w:pPr>
      <w:spacing w:before="360"/>
      <w:jc w:val="center"/>
    </w:pPr>
    <w:rPr>
      <w:b/>
      <w:szCs w:val="22"/>
    </w:rPr>
  </w:style>
  <w:style w:type="paragraph" w:customStyle="1" w:styleId="Rfrenceinstitutionelle">
    <w:name w:val="Référence institutionelle"/>
    <w:basedOn w:val="Normal"/>
    <w:next w:val="Statut"/>
    <w:rsid w:val="001D7FBB"/>
    <w:pPr>
      <w:spacing w:after="240"/>
      <w:ind w:left="5103"/>
    </w:pPr>
    <w:rPr>
      <w:szCs w:val="22"/>
    </w:rPr>
  </w:style>
  <w:style w:type="paragraph" w:customStyle="1" w:styleId="Rfrenceinterinstitutionelle">
    <w:name w:val="Référence interinstitutionelle"/>
    <w:basedOn w:val="Normal"/>
    <w:next w:val="Statut"/>
    <w:rsid w:val="001D7FBB"/>
    <w:pPr>
      <w:ind w:left="5103"/>
    </w:pPr>
    <w:rPr>
      <w:szCs w:val="22"/>
    </w:rPr>
  </w:style>
  <w:style w:type="paragraph" w:customStyle="1" w:styleId="Rfrenceinterinstitutionelleprliminaire">
    <w:name w:val="Référence interinstitutionelle (préliminaire)"/>
    <w:basedOn w:val="Normal"/>
    <w:next w:val="Normal"/>
    <w:rsid w:val="001D7FBB"/>
    <w:pPr>
      <w:ind w:left="5103"/>
    </w:pPr>
    <w:rPr>
      <w:szCs w:val="22"/>
    </w:rPr>
  </w:style>
  <w:style w:type="paragraph" w:customStyle="1" w:styleId="Sous-titreobjetprliminaire">
    <w:name w:val="Sous-titre objet (préliminaire)"/>
    <w:basedOn w:val="Normal"/>
    <w:rsid w:val="001D7FBB"/>
    <w:pPr>
      <w:jc w:val="center"/>
    </w:pPr>
    <w:rPr>
      <w:b/>
      <w:szCs w:val="22"/>
    </w:rPr>
  </w:style>
  <w:style w:type="paragraph" w:customStyle="1" w:styleId="Statutprliminaire">
    <w:name w:val="Statut (préliminaire)"/>
    <w:basedOn w:val="Normal"/>
    <w:next w:val="Normal"/>
    <w:rsid w:val="001D7FBB"/>
    <w:pPr>
      <w:spacing w:before="360"/>
      <w:jc w:val="center"/>
    </w:pPr>
    <w:rPr>
      <w:szCs w:val="22"/>
    </w:rPr>
  </w:style>
  <w:style w:type="paragraph" w:customStyle="1" w:styleId="Titreobjetprliminaire">
    <w:name w:val="Titre objet (préliminaire)"/>
    <w:basedOn w:val="Normal"/>
    <w:next w:val="Normal"/>
    <w:rsid w:val="001D7FBB"/>
    <w:pPr>
      <w:spacing w:before="360" w:after="360"/>
      <w:jc w:val="center"/>
    </w:pPr>
    <w:rPr>
      <w:b/>
      <w:szCs w:val="22"/>
    </w:rPr>
  </w:style>
  <w:style w:type="paragraph" w:customStyle="1" w:styleId="Typedudocumentprliminaire">
    <w:name w:val="Type du document (préliminaire)"/>
    <w:basedOn w:val="Normal"/>
    <w:next w:val="Normal"/>
    <w:rsid w:val="001D7FBB"/>
    <w:pPr>
      <w:spacing w:before="360"/>
      <w:jc w:val="center"/>
    </w:pPr>
    <w:rPr>
      <w:b/>
      <w:szCs w:val="22"/>
    </w:rPr>
  </w:style>
  <w:style w:type="paragraph" w:customStyle="1" w:styleId="Fichefinancirestandardtitre">
    <w:name w:val="Fiche financière (standard) titre"/>
    <w:basedOn w:val="Normal"/>
    <w:next w:val="Normal"/>
    <w:rsid w:val="001D7FBB"/>
    <w:pPr>
      <w:spacing w:before="120" w:after="120"/>
      <w:jc w:val="center"/>
    </w:pPr>
    <w:rPr>
      <w:b/>
      <w:szCs w:val="22"/>
      <w:u w:val="single"/>
    </w:rPr>
  </w:style>
  <w:style w:type="paragraph" w:customStyle="1" w:styleId="Fichefinancirestandardtitreacte">
    <w:name w:val="Fiche financière (standard) titre (acte)"/>
    <w:basedOn w:val="Normal"/>
    <w:next w:val="Normal"/>
    <w:rsid w:val="001D7FBB"/>
    <w:pPr>
      <w:spacing w:before="120" w:after="120"/>
      <w:jc w:val="center"/>
    </w:pPr>
    <w:rPr>
      <w:b/>
      <w:szCs w:val="22"/>
      <w:u w:val="single"/>
    </w:rPr>
  </w:style>
  <w:style w:type="paragraph" w:customStyle="1" w:styleId="Fichefinanciretravailtitre">
    <w:name w:val="Fiche financière (travail) titre"/>
    <w:basedOn w:val="Normal"/>
    <w:next w:val="Normal"/>
    <w:rsid w:val="001D7FBB"/>
    <w:pPr>
      <w:spacing w:before="120" w:after="120"/>
      <w:jc w:val="center"/>
    </w:pPr>
    <w:rPr>
      <w:b/>
      <w:szCs w:val="22"/>
      <w:u w:val="single"/>
    </w:rPr>
  </w:style>
  <w:style w:type="paragraph" w:customStyle="1" w:styleId="Fichefinanciretravailtitreacte">
    <w:name w:val="Fiche financière (travail) titre (acte)"/>
    <w:basedOn w:val="Normal"/>
    <w:next w:val="Normal"/>
    <w:rsid w:val="001D7FBB"/>
    <w:pPr>
      <w:spacing w:before="120" w:after="120"/>
      <w:jc w:val="center"/>
    </w:pPr>
    <w:rPr>
      <w:b/>
      <w:szCs w:val="22"/>
      <w:u w:val="single"/>
    </w:rPr>
  </w:style>
  <w:style w:type="paragraph" w:customStyle="1" w:styleId="Fichefinancireattributiontitre">
    <w:name w:val="Fiche financière (attribution) titre"/>
    <w:basedOn w:val="Normal"/>
    <w:next w:val="Normal"/>
    <w:rsid w:val="001D7FBB"/>
    <w:pPr>
      <w:spacing w:before="120" w:after="120"/>
      <w:jc w:val="center"/>
    </w:pPr>
    <w:rPr>
      <w:b/>
      <w:szCs w:val="22"/>
      <w:u w:val="single"/>
    </w:rPr>
  </w:style>
  <w:style w:type="paragraph" w:customStyle="1" w:styleId="Fichefinancireattributiontitreacte">
    <w:name w:val="Fiche financière (attribution) titre (acte)"/>
    <w:basedOn w:val="Normal"/>
    <w:next w:val="Normal"/>
    <w:rsid w:val="001D7FBB"/>
    <w:pPr>
      <w:spacing w:before="120" w:after="120"/>
      <w:jc w:val="center"/>
    </w:pPr>
    <w:rPr>
      <w:b/>
      <w:szCs w:val="22"/>
      <w:u w:val="single"/>
    </w:rPr>
  </w:style>
  <w:style w:type="character" w:styleId="CommentReference">
    <w:name w:val="annotation reference"/>
    <w:rsid w:val="001D7FBB"/>
    <w:rPr>
      <w:rFonts w:cs="Times New Roman"/>
      <w:sz w:val="16"/>
      <w:szCs w:val="16"/>
    </w:rPr>
  </w:style>
  <w:style w:type="paragraph" w:styleId="CommentText">
    <w:name w:val="annotation text"/>
    <w:basedOn w:val="Normal"/>
    <w:link w:val="CommentTextChar"/>
    <w:rsid w:val="001D7FBB"/>
    <w:pPr>
      <w:spacing w:before="120" w:after="120"/>
      <w:jc w:val="both"/>
    </w:pPr>
    <w:rPr>
      <w:sz w:val="20"/>
    </w:rPr>
  </w:style>
  <w:style w:type="character" w:customStyle="1" w:styleId="CommentTextChar">
    <w:name w:val="Comment Text Char"/>
    <w:basedOn w:val="DefaultParagraphFont"/>
    <w:link w:val="CommentText"/>
    <w:rsid w:val="001D7FBB"/>
    <w:rPr>
      <w:lang w:val="fr-FR"/>
    </w:rPr>
  </w:style>
  <w:style w:type="paragraph" w:styleId="CommentSubject">
    <w:name w:val="annotation subject"/>
    <w:basedOn w:val="CommentText"/>
    <w:next w:val="CommentText"/>
    <w:link w:val="CommentSubjectChar"/>
    <w:rsid w:val="001D7FBB"/>
    <w:rPr>
      <w:b/>
      <w:bCs/>
    </w:rPr>
  </w:style>
  <w:style w:type="character" w:customStyle="1" w:styleId="CommentSubjectChar">
    <w:name w:val="Comment Subject Char"/>
    <w:basedOn w:val="CommentTextChar"/>
    <w:link w:val="CommentSubject"/>
    <w:rsid w:val="001D7FBB"/>
    <w:rPr>
      <w:b/>
      <w:bCs/>
      <w:lang w:val="fr-FR"/>
    </w:rPr>
  </w:style>
  <w:style w:type="paragraph" w:styleId="BalloonText">
    <w:name w:val="Balloon Text"/>
    <w:basedOn w:val="Normal"/>
    <w:link w:val="BalloonTextChar"/>
    <w:rsid w:val="001D7FBB"/>
    <w:pPr>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1D7FBB"/>
    <w:rPr>
      <w:rFonts w:ascii="Tahoma" w:hAnsi="Tahoma" w:cs="Tahoma"/>
      <w:sz w:val="16"/>
      <w:szCs w:val="16"/>
      <w:lang w:val="fr-FR"/>
    </w:rPr>
  </w:style>
  <w:style w:type="paragraph" w:styleId="Caption">
    <w:name w:val="caption"/>
    <w:basedOn w:val="Normal"/>
    <w:next w:val="Normal"/>
    <w:qFormat/>
    <w:rsid w:val="001D7FBB"/>
    <w:pPr>
      <w:spacing w:before="120" w:after="120"/>
      <w:jc w:val="both"/>
    </w:pPr>
    <w:rPr>
      <w:b/>
      <w:bCs/>
      <w:sz w:val="20"/>
    </w:rPr>
  </w:style>
  <w:style w:type="paragraph" w:styleId="TableofFigures">
    <w:name w:val="table of figures"/>
    <w:basedOn w:val="Normal"/>
    <w:next w:val="Normal"/>
    <w:rsid w:val="001D7FBB"/>
    <w:pPr>
      <w:spacing w:before="120" w:after="120"/>
      <w:jc w:val="both"/>
    </w:pPr>
    <w:rPr>
      <w:szCs w:val="22"/>
    </w:rPr>
  </w:style>
  <w:style w:type="character" w:customStyle="1" w:styleId="tw4winMark">
    <w:name w:val="tw4winMark"/>
    <w:rsid w:val="001D7FBB"/>
    <w:rPr>
      <w:vanish/>
      <w:color w:val="800080"/>
      <w:vertAlign w:val="subscript"/>
    </w:rPr>
  </w:style>
  <w:style w:type="character" w:styleId="FollowedHyperlink">
    <w:name w:val="FollowedHyperlink"/>
    <w:rsid w:val="001D7FBB"/>
    <w:rPr>
      <w:color w:val="800080"/>
      <w:u w:val="single"/>
    </w:rPr>
  </w:style>
  <w:style w:type="paragraph" w:customStyle="1" w:styleId="Sous-titreobjet">
    <w:name w:val="Sous-titre objet"/>
    <w:basedOn w:val="Normal"/>
    <w:rsid w:val="001D7FBB"/>
    <w:pPr>
      <w:jc w:val="center"/>
    </w:pPr>
    <w:rPr>
      <w:b/>
      <w:szCs w:val="22"/>
      <w:lang w:val="en-GB"/>
    </w:rPr>
  </w:style>
  <w:style w:type="paragraph" w:customStyle="1" w:styleId="Sous-titreobjetPagedecouverture">
    <w:name w:val="Sous-titre objet (Page de couverture)"/>
    <w:basedOn w:val="Sous-titreobjet"/>
    <w:rsid w:val="001D7FBB"/>
  </w:style>
  <w:style w:type="paragraph" w:styleId="Revision">
    <w:name w:val="Revision"/>
    <w:hidden/>
    <w:uiPriority w:val="99"/>
    <w:semiHidden/>
    <w:rsid w:val="001D7FBB"/>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1D7FBB"/>
    <w:pPr>
      <w:tabs>
        <w:tab w:val="center" w:pos="4535"/>
        <w:tab w:val="right" w:pos="9071"/>
        <w:tab w:val="right" w:pos="9921"/>
      </w:tabs>
      <w:spacing w:before="360"/>
      <w:ind w:left="-850" w:right="-850"/>
    </w:pPr>
    <w:rPr>
      <w:rFonts w:eastAsia="Calibri"/>
      <w:szCs w:val="22"/>
      <w:lang w:val="en-GB"/>
    </w:rPr>
  </w:style>
  <w:style w:type="character" w:customStyle="1" w:styleId="TOCHeadingChar">
    <w:name w:val="TOC Heading Char"/>
    <w:uiPriority w:val="39"/>
    <w:rsid w:val="001D7FBB"/>
    <w:rPr>
      <w:rFonts w:ascii="Times New Roman" w:hAnsi="Times New Roman" w:cs="Times New Roman"/>
      <w:b/>
      <w:sz w:val="28"/>
      <w:lang w:val="en-GB"/>
    </w:rPr>
  </w:style>
  <w:style w:type="character" w:customStyle="1" w:styleId="FooterCoverPageChar">
    <w:name w:val="Footer Cover Page Char"/>
    <w:link w:val="FooterCoverPage"/>
    <w:rsid w:val="001D7FBB"/>
    <w:rPr>
      <w:rFonts w:eastAsia="Calibri"/>
      <w:sz w:val="24"/>
      <w:szCs w:val="22"/>
    </w:rPr>
  </w:style>
  <w:style w:type="paragraph" w:customStyle="1" w:styleId="HeaderCoverPage">
    <w:name w:val="Header Cover Page"/>
    <w:basedOn w:val="Normal"/>
    <w:link w:val="HeaderCoverPageChar"/>
    <w:rsid w:val="001D7FBB"/>
    <w:pPr>
      <w:tabs>
        <w:tab w:val="center" w:pos="4535"/>
        <w:tab w:val="right" w:pos="9071"/>
      </w:tabs>
      <w:spacing w:after="120"/>
      <w:jc w:val="both"/>
    </w:pPr>
    <w:rPr>
      <w:rFonts w:eastAsia="Calibri"/>
      <w:szCs w:val="22"/>
      <w:lang w:val="en-GB"/>
    </w:rPr>
  </w:style>
  <w:style w:type="character" w:customStyle="1" w:styleId="HeaderCoverPageChar">
    <w:name w:val="Header Cover Page Char"/>
    <w:link w:val="HeaderCoverPage"/>
    <w:rsid w:val="001D7FBB"/>
    <w:rPr>
      <w:rFonts w:eastAsia="Calibri"/>
      <w:sz w:val="24"/>
      <w:szCs w:val="22"/>
    </w:rPr>
  </w:style>
  <w:style w:type="character" w:customStyle="1" w:styleId="FooterSensitivityChar">
    <w:name w:val="Footer Sensitivity Char"/>
    <w:rsid w:val="001D7FBB"/>
    <w:rPr>
      <w:rFonts w:ascii="Times New Roman" w:hAnsi="Times New Roman" w:cs="Times New Roman"/>
      <w:b/>
      <w:sz w:val="32"/>
      <w:lang w:val="en-GB"/>
    </w:rPr>
  </w:style>
  <w:style w:type="character" w:customStyle="1" w:styleId="HeaderSensitivityChar">
    <w:name w:val="Header Sensitivity Char"/>
    <w:rsid w:val="001D7FBB"/>
    <w:rPr>
      <w:rFonts w:ascii="Times New Roman" w:hAnsi="Times New Roman" w:cs="Times New Roman"/>
      <w:b/>
      <w:sz w:val="32"/>
      <w:lang w:val="en-GB"/>
    </w:rPr>
  </w:style>
  <w:style w:type="character" w:customStyle="1" w:styleId="HeaderSensitivityRightChar">
    <w:name w:val="Header Sensitivity Right Char"/>
    <w:rsid w:val="001D7FBB"/>
    <w:rPr>
      <w:rFonts w:ascii="Times New Roman" w:hAnsi="Times New Roman" w:cs="Times New Roman"/>
      <w:sz w:val="28"/>
      <w:lang w:val="en-GB"/>
    </w:rPr>
  </w:style>
  <w:style w:type="paragraph" w:customStyle="1" w:styleId="LegalNumPar">
    <w:name w:val="LegalNumPar"/>
    <w:basedOn w:val="Normal"/>
    <w:rsid w:val="001D7FBB"/>
    <w:pPr>
      <w:numPr>
        <w:numId w:val="25"/>
      </w:numPr>
      <w:spacing w:before="120" w:after="120" w:line="360" w:lineRule="auto"/>
      <w:ind w:left="0" w:firstLine="0"/>
      <w:jc w:val="both"/>
    </w:pPr>
    <w:rPr>
      <w:szCs w:val="22"/>
      <w:lang w:val="en-GB"/>
    </w:rPr>
  </w:style>
  <w:style w:type="paragraph" w:customStyle="1" w:styleId="LegalNumPar2">
    <w:name w:val="LegalNumPar2"/>
    <w:basedOn w:val="Normal"/>
    <w:rsid w:val="001D7FBB"/>
    <w:pPr>
      <w:numPr>
        <w:ilvl w:val="1"/>
        <w:numId w:val="25"/>
      </w:numPr>
      <w:spacing w:before="120" w:after="120" w:line="360" w:lineRule="auto"/>
      <w:ind w:left="0" w:firstLine="0"/>
      <w:jc w:val="both"/>
    </w:pPr>
    <w:rPr>
      <w:szCs w:val="22"/>
      <w:lang w:val="en-GB"/>
    </w:rPr>
  </w:style>
  <w:style w:type="paragraph" w:customStyle="1" w:styleId="LegalNumPar3">
    <w:name w:val="LegalNumPar3"/>
    <w:basedOn w:val="Normal"/>
    <w:rsid w:val="001D7FBB"/>
    <w:pPr>
      <w:numPr>
        <w:ilvl w:val="2"/>
        <w:numId w:val="25"/>
      </w:numPr>
      <w:spacing w:before="120" w:after="120" w:line="360" w:lineRule="auto"/>
      <w:ind w:left="0" w:firstLine="0"/>
      <w:jc w:val="both"/>
    </w:pPr>
    <w:rPr>
      <w:szCs w:val="22"/>
      <w:lang w:val="en-GB"/>
    </w:rPr>
  </w:style>
  <w:style w:type="paragraph" w:styleId="ListParagraph">
    <w:name w:val="List Paragraph"/>
    <w:basedOn w:val="Normal"/>
    <w:uiPriority w:val="34"/>
    <w:qFormat/>
    <w:rsid w:val="001D7FBB"/>
    <w:pPr>
      <w:spacing w:before="120" w:after="120"/>
      <w:ind w:left="720"/>
      <w:contextualSpacing/>
      <w:jc w:val="both"/>
    </w:pPr>
    <w:rPr>
      <w:szCs w:val="22"/>
      <w:lang w:val="en-GB"/>
    </w:rPr>
  </w:style>
  <w:style w:type="character" w:styleId="UnresolvedMention">
    <w:name w:val="Unresolved Mention"/>
    <w:basedOn w:val="DefaultParagraphFont"/>
    <w:uiPriority w:val="99"/>
    <w:semiHidden/>
    <w:unhideWhenUsed/>
    <w:rsid w:val="001D7FBB"/>
    <w:rPr>
      <w:color w:val="605E5C"/>
      <w:shd w:val="clear" w:color="auto" w:fill="E1DFDD"/>
    </w:rPr>
  </w:style>
  <w:style w:type="character" w:styleId="Strong">
    <w:name w:val="Strong"/>
    <w:basedOn w:val="DefaultParagraphFont"/>
    <w:qFormat/>
    <w:rsid w:val="001D7FBB"/>
    <w:rPr>
      <w:b/>
      <w:bCs/>
    </w:rPr>
  </w:style>
  <w:style w:type="character" w:styleId="Emphasis">
    <w:name w:val="Emphasis"/>
    <w:basedOn w:val="DefaultParagraphFont"/>
    <w:qFormat/>
    <w:rsid w:val="001D7FBB"/>
    <w:rPr>
      <w:i/>
      <w:iCs/>
    </w:rPr>
  </w:style>
  <w:style w:type="character" w:styleId="Mention">
    <w:name w:val="Mention"/>
    <w:basedOn w:val="DefaultParagraphFont"/>
    <w:uiPriority w:val="99"/>
    <w:unhideWhenUsed/>
    <w:rsid w:val="001D7FBB"/>
    <w:rPr>
      <w:color w:val="2B579A"/>
      <w:shd w:val="clear" w:color="auto" w:fill="E1DFDD"/>
    </w:rPr>
  </w:style>
  <w:style w:type="character" w:customStyle="1" w:styleId="normaltextrun">
    <w:name w:val="normaltextrun"/>
    <w:basedOn w:val="DefaultParagraphFont"/>
    <w:rsid w:val="001D7FBB"/>
  </w:style>
  <w:style w:type="character" w:customStyle="1" w:styleId="eop">
    <w:name w:val="eop"/>
    <w:basedOn w:val="DefaultParagraphFont"/>
    <w:rsid w:val="001D7FBB"/>
  </w:style>
  <w:style w:type="paragraph" w:customStyle="1" w:styleId="title-bold">
    <w:name w:val="title-bold"/>
    <w:basedOn w:val="Normal"/>
    <w:rsid w:val="001D7FBB"/>
    <w:pPr>
      <w:spacing w:before="100" w:beforeAutospacing="1" w:after="100" w:afterAutospacing="1"/>
    </w:pPr>
    <w:rPr>
      <w:szCs w:val="24"/>
      <w:lang w:val="en-IE" w:eastAsia="en-IE"/>
    </w:rPr>
  </w:style>
  <w:style w:type="character" w:customStyle="1" w:styleId="HeaderChar">
    <w:name w:val="Header Char"/>
    <w:basedOn w:val="DefaultParagraphFont"/>
    <w:link w:val="Header"/>
    <w:uiPriority w:val="99"/>
    <w:rsid w:val="001D7FBB"/>
    <w:rPr>
      <w:sz w:val="24"/>
      <w:lang w:val="fr-FR"/>
    </w:rPr>
  </w:style>
  <w:style w:type="character" w:customStyle="1" w:styleId="FooterChar">
    <w:name w:val="Footer Char"/>
    <w:basedOn w:val="DefaultParagraphFont"/>
    <w:link w:val="Footer"/>
    <w:uiPriority w:val="99"/>
    <w:rsid w:val="001D7FBB"/>
    <w:rPr>
      <w:sz w:val="22"/>
      <w:lang w:val="fr-FR"/>
    </w:rPr>
  </w:style>
  <w:style w:type="character" w:customStyle="1" w:styleId="FootnoteTextChar">
    <w:name w:val="Footnote Text Char"/>
    <w:basedOn w:val="DefaultParagraphFont"/>
    <w:link w:val="FootnoteText"/>
    <w:uiPriority w:val="99"/>
    <w:semiHidden/>
    <w:rsid w:val="001D7FBB"/>
    <w:rPr>
      <w:sz w:val="22"/>
      <w:lang w:val="fr-FR"/>
    </w:rPr>
  </w:style>
  <w:style w:type="character" w:customStyle="1" w:styleId="Heading1Char">
    <w:name w:val="Heading 1 Char"/>
    <w:basedOn w:val="DefaultParagraphFont"/>
    <w:link w:val="Heading1"/>
    <w:uiPriority w:val="9"/>
    <w:rsid w:val="001D7FBB"/>
    <w:rPr>
      <w:b/>
      <w:kern w:val="28"/>
      <w:sz w:val="28"/>
      <w:lang w:val="fr-FR"/>
    </w:rPr>
  </w:style>
  <w:style w:type="character" w:customStyle="1" w:styleId="Heading2Char">
    <w:name w:val="Heading 2 Char"/>
    <w:basedOn w:val="DefaultParagraphFont"/>
    <w:link w:val="Heading2"/>
    <w:uiPriority w:val="9"/>
    <w:rsid w:val="001D7FBB"/>
    <w:rPr>
      <w:sz w:val="24"/>
      <w:lang w:val="fr-FR"/>
    </w:rPr>
  </w:style>
  <w:style w:type="character" w:customStyle="1" w:styleId="Heading3Char">
    <w:name w:val="Heading 3 Char"/>
    <w:basedOn w:val="DefaultParagraphFont"/>
    <w:link w:val="Heading3"/>
    <w:uiPriority w:val="9"/>
    <w:rsid w:val="001D7FBB"/>
    <w:rPr>
      <w:rFonts w:ascii="Arial" w:hAnsi="Arial"/>
      <w:sz w:val="24"/>
      <w:lang w:val="fr-FR"/>
    </w:rPr>
  </w:style>
  <w:style w:type="character" w:customStyle="1" w:styleId="Heading4Char">
    <w:name w:val="Heading 4 Char"/>
    <w:basedOn w:val="DefaultParagraphFont"/>
    <w:link w:val="Heading4"/>
    <w:uiPriority w:val="9"/>
    <w:rsid w:val="001D7FBB"/>
    <w:rPr>
      <w:sz w:val="24"/>
      <w:lang w:val="en-US"/>
    </w:rPr>
  </w:style>
  <w:style w:type="character" w:customStyle="1" w:styleId="Heading5Char">
    <w:name w:val="Heading 5 Char"/>
    <w:basedOn w:val="DefaultParagraphFont"/>
    <w:link w:val="Heading5"/>
    <w:uiPriority w:val="9"/>
    <w:rsid w:val="001D7FBB"/>
    <w:rPr>
      <w:sz w:val="24"/>
      <w:lang w:val="en-US"/>
    </w:rPr>
  </w:style>
  <w:style w:type="character" w:customStyle="1" w:styleId="Heading6Char">
    <w:name w:val="Heading 6 Char"/>
    <w:basedOn w:val="DefaultParagraphFont"/>
    <w:link w:val="Heading6"/>
    <w:uiPriority w:val="9"/>
    <w:semiHidden/>
    <w:rsid w:val="001D7FBB"/>
    <w:rPr>
      <w:rFonts w:ascii="Times New Roman" w:eastAsia="MS Gothic" w:hAnsi="Times New Roman" w:cs="Times New Roman"/>
      <w:iCs/>
      <w:sz w:val="24"/>
      <w:lang w:val="en-GB"/>
    </w:rPr>
  </w:style>
  <w:style w:type="character" w:customStyle="1" w:styleId="Heading7Char">
    <w:name w:val="Heading 7 Char"/>
    <w:basedOn w:val="DefaultParagraphFont"/>
    <w:link w:val="Heading7"/>
    <w:uiPriority w:val="9"/>
    <w:semiHidden/>
    <w:rsid w:val="001D7FBB"/>
    <w:rPr>
      <w:rFonts w:ascii="Times New Roman" w:eastAsia="MS Gothic" w:hAnsi="Times New Roman" w:cs="Times New Roman"/>
      <w:iCs/>
      <w:sz w:val="24"/>
      <w:lang w:val="en-GB"/>
    </w:rPr>
  </w:style>
  <w:style w:type="paragraph" w:styleId="TOCHeading">
    <w:name w:val="TOC Heading"/>
    <w:basedOn w:val="Normal"/>
    <w:next w:val="Normal"/>
    <w:uiPriority w:val="39"/>
    <w:semiHidden/>
    <w:unhideWhenUsed/>
    <w:qFormat/>
    <w:rsid w:val="001D7FBB"/>
    <w:pPr>
      <w:spacing w:before="120" w:after="240"/>
      <w:jc w:val="center"/>
    </w:pPr>
    <w:rPr>
      <w:rFonts w:eastAsia="Calibri"/>
      <w:b/>
      <w:sz w:val="28"/>
      <w:szCs w:val="22"/>
      <w:lang w:val="en-GB" w:eastAsia="en-US"/>
    </w:rPr>
  </w:style>
  <w:style w:type="paragraph" w:styleId="TOC4">
    <w:name w:val="toc 4"/>
    <w:basedOn w:val="Normal"/>
    <w:next w:val="Normal"/>
    <w:uiPriority w:val="39"/>
    <w:unhideWhenUsed/>
    <w:rsid w:val="001D7FBB"/>
    <w:pPr>
      <w:tabs>
        <w:tab w:val="right" w:leader="dot" w:pos="9071"/>
      </w:tabs>
      <w:spacing w:before="60" w:after="120"/>
      <w:ind w:left="850" w:hanging="850"/>
    </w:pPr>
    <w:rPr>
      <w:rFonts w:eastAsia="Calibri"/>
      <w:szCs w:val="22"/>
      <w:lang w:val="en-GB" w:eastAsia="en-US"/>
    </w:rPr>
  </w:style>
  <w:style w:type="paragraph" w:styleId="TOC5">
    <w:name w:val="toc 5"/>
    <w:basedOn w:val="Normal"/>
    <w:next w:val="Normal"/>
    <w:uiPriority w:val="39"/>
    <w:unhideWhenUsed/>
    <w:rsid w:val="001D7FBB"/>
    <w:pPr>
      <w:tabs>
        <w:tab w:val="right" w:leader="dot" w:pos="9071"/>
      </w:tabs>
      <w:spacing w:before="300" w:after="120"/>
    </w:pPr>
    <w:rPr>
      <w:rFonts w:eastAsia="Calibri"/>
      <w:szCs w:val="22"/>
      <w:lang w:val="en-GB" w:eastAsia="en-US"/>
    </w:rPr>
  </w:style>
  <w:style w:type="paragraph" w:styleId="TOC6">
    <w:name w:val="toc 6"/>
    <w:basedOn w:val="Normal"/>
    <w:next w:val="Normal"/>
    <w:uiPriority w:val="39"/>
    <w:unhideWhenUsed/>
    <w:rsid w:val="001D7FBB"/>
    <w:pPr>
      <w:tabs>
        <w:tab w:val="right" w:leader="dot" w:pos="9071"/>
      </w:tabs>
      <w:spacing w:before="240" w:after="120"/>
    </w:pPr>
    <w:rPr>
      <w:rFonts w:eastAsia="Calibri"/>
      <w:szCs w:val="22"/>
      <w:lang w:val="en-GB" w:eastAsia="en-US"/>
    </w:rPr>
  </w:style>
  <w:style w:type="paragraph" w:styleId="TOC7">
    <w:name w:val="toc 7"/>
    <w:basedOn w:val="Normal"/>
    <w:next w:val="Normal"/>
    <w:uiPriority w:val="39"/>
    <w:unhideWhenUsed/>
    <w:rsid w:val="001D7FBB"/>
    <w:pPr>
      <w:tabs>
        <w:tab w:val="right" w:leader="dot" w:pos="9071"/>
      </w:tabs>
      <w:spacing w:before="180" w:after="120"/>
    </w:pPr>
    <w:rPr>
      <w:rFonts w:eastAsia="Calibri"/>
      <w:szCs w:val="22"/>
      <w:lang w:val="en-GB" w:eastAsia="en-US"/>
    </w:rPr>
  </w:style>
  <w:style w:type="paragraph" w:styleId="TOC8">
    <w:name w:val="toc 8"/>
    <w:basedOn w:val="Normal"/>
    <w:next w:val="Normal"/>
    <w:uiPriority w:val="39"/>
    <w:unhideWhenUsed/>
    <w:rsid w:val="001D7FBB"/>
    <w:pPr>
      <w:tabs>
        <w:tab w:val="right" w:leader="dot" w:pos="9071"/>
      </w:tabs>
      <w:spacing w:before="120" w:after="120"/>
    </w:pPr>
    <w:rPr>
      <w:rFonts w:eastAsia="Calibri"/>
      <w:szCs w:val="22"/>
      <w:lang w:val="en-GB" w:eastAsia="en-US"/>
    </w:rPr>
  </w:style>
  <w:style w:type="paragraph" w:styleId="TOC9">
    <w:name w:val="toc 9"/>
    <w:basedOn w:val="Normal"/>
    <w:next w:val="Normal"/>
    <w:uiPriority w:val="39"/>
    <w:unhideWhenUsed/>
    <w:rsid w:val="001D7FBB"/>
    <w:pPr>
      <w:tabs>
        <w:tab w:val="right" w:leader="dot" w:pos="9071"/>
      </w:tabs>
      <w:spacing w:before="120" w:after="120"/>
      <w:ind w:left="1417" w:hanging="1417"/>
    </w:pPr>
    <w:rPr>
      <w:rFonts w:eastAsia="Calibri"/>
      <w:szCs w:val="22"/>
      <w:lang w:val="en-GB" w:eastAsia="en-US"/>
    </w:rPr>
  </w:style>
  <w:style w:type="paragraph" w:customStyle="1" w:styleId="HeaderSensitivity">
    <w:name w:val="Header Sensitivity"/>
    <w:basedOn w:val="Normal"/>
    <w:rsid w:val="001D7FBB"/>
    <w:pPr>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n-GB" w:eastAsia="en-US"/>
    </w:rPr>
  </w:style>
  <w:style w:type="paragraph" w:customStyle="1" w:styleId="HeaderSensitivityRight">
    <w:name w:val="Header Sensitivity Right"/>
    <w:basedOn w:val="Normal"/>
    <w:rsid w:val="001D7FBB"/>
    <w:pPr>
      <w:spacing w:after="120"/>
      <w:jc w:val="right"/>
    </w:pPr>
    <w:rPr>
      <w:rFonts w:eastAsia="Calibri"/>
      <w:sz w:val="28"/>
      <w:szCs w:val="22"/>
      <w:lang w:val="en-GB" w:eastAsia="en-US"/>
    </w:rPr>
  </w:style>
  <w:style w:type="paragraph" w:customStyle="1" w:styleId="FooterSensitivity">
    <w:name w:val="Footer Sensitivity"/>
    <w:basedOn w:val="Normal"/>
    <w:rsid w:val="001D7FBB"/>
    <w:pPr>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n-GB" w:eastAsia="en-US"/>
    </w:rPr>
  </w:style>
  <w:style w:type="paragraph" w:customStyle="1" w:styleId="Text1">
    <w:name w:val="Text 1"/>
    <w:basedOn w:val="Normal"/>
    <w:rsid w:val="001D7FBB"/>
    <w:pPr>
      <w:spacing w:before="120" w:after="120"/>
      <w:ind w:left="850"/>
      <w:jc w:val="both"/>
    </w:pPr>
    <w:rPr>
      <w:rFonts w:eastAsia="Calibri"/>
      <w:szCs w:val="22"/>
      <w:lang w:val="en-GB" w:eastAsia="en-US"/>
    </w:rPr>
  </w:style>
  <w:style w:type="paragraph" w:customStyle="1" w:styleId="Text2">
    <w:name w:val="Text 2"/>
    <w:basedOn w:val="Normal"/>
    <w:rsid w:val="001D7FBB"/>
    <w:pPr>
      <w:spacing w:before="120" w:after="120"/>
      <w:ind w:left="1417"/>
      <w:jc w:val="both"/>
    </w:pPr>
    <w:rPr>
      <w:rFonts w:eastAsia="Calibri"/>
      <w:szCs w:val="22"/>
      <w:lang w:val="en-GB" w:eastAsia="en-US"/>
    </w:rPr>
  </w:style>
  <w:style w:type="paragraph" w:customStyle="1" w:styleId="Text3">
    <w:name w:val="Text 3"/>
    <w:basedOn w:val="Normal"/>
    <w:rsid w:val="001D7FBB"/>
    <w:pPr>
      <w:spacing w:before="120" w:after="120"/>
      <w:ind w:left="1984"/>
      <w:jc w:val="both"/>
    </w:pPr>
    <w:rPr>
      <w:rFonts w:eastAsia="Calibri"/>
      <w:szCs w:val="22"/>
      <w:lang w:val="en-GB" w:eastAsia="en-US"/>
    </w:rPr>
  </w:style>
  <w:style w:type="paragraph" w:customStyle="1" w:styleId="Text4">
    <w:name w:val="Text 4"/>
    <w:basedOn w:val="Normal"/>
    <w:rsid w:val="001D7FBB"/>
    <w:pPr>
      <w:spacing w:before="120" w:after="120"/>
      <w:ind w:left="2551"/>
      <w:jc w:val="both"/>
    </w:pPr>
    <w:rPr>
      <w:rFonts w:eastAsia="Calibri"/>
      <w:szCs w:val="22"/>
      <w:lang w:val="en-GB" w:eastAsia="en-US"/>
    </w:rPr>
  </w:style>
  <w:style w:type="paragraph" w:customStyle="1" w:styleId="Text5">
    <w:name w:val="Text 5"/>
    <w:basedOn w:val="Normal"/>
    <w:rsid w:val="001D7FBB"/>
    <w:pPr>
      <w:spacing w:before="120" w:after="120"/>
      <w:ind w:left="3118"/>
      <w:jc w:val="both"/>
    </w:pPr>
    <w:rPr>
      <w:rFonts w:eastAsia="Calibri"/>
      <w:szCs w:val="22"/>
      <w:lang w:val="en-GB" w:eastAsia="en-US"/>
    </w:rPr>
  </w:style>
  <w:style w:type="paragraph" w:customStyle="1" w:styleId="Text6">
    <w:name w:val="Text 6"/>
    <w:basedOn w:val="Normal"/>
    <w:rsid w:val="001D7FBB"/>
    <w:pPr>
      <w:spacing w:before="120" w:after="120"/>
      <w:ind w:left="3685"/>
      <w:jc w:val="both"/>
    </w:pPr>
    <w:rPr>
      <w:rFonts w:eastAsia="Calibri"/>
      <w:szCs w:val="22"/>
      <w:lang w:val="en-GB" w:eastAsia="en-US"/>
    </w:rPr>
  </w:style>
  <w:style w:type="paragraph" w:customStyle="1" w:styleId="NormalCentered">
    <w:name w:val="Normal Centered"/>
    <w:basedOn w:val="Normal"/>
    <w:rsid w:val="001D7FBB"/>
    <w:pPr>
      <w:spacing w:before="120" w:after="120"/>
      <w:jc w:val="center"/>
    </w:pPr>
    <w:rPr>
      <w:rFonts w:eastAsia="Calibri"/>
      <w:szCs w:val="22"/>
      <w:lang w:val="en-GB" w:eastAsia="en-US"/>
    </w:rPr>
  </w:style>
  <w:style w:type="paragraph" w:customStyle="1" w:styleId="NormalLeft">
    <w:name w:val="Normal Left"/>
    <w:basedOn w:val="Normal"/>
    <w:rsid w:val="001D7FBB"/>
    <w:pPr>
      <w:spacing w:before="120" w:after="120"/>
    </w:pPr>
    <w:rPr>
      <w:rFonts w:eastAsia="Calibri"/>
      <w:szCs w:val="22"/>
      <w:lang w:val="en-GB" w:eastAsia="en-US"/>
    </w:rPr>
  </w:style>
  <w:style w:type="paragraph" w:customStyle="1" w:styleId="NormalRight">
    <w:name w:val="Normal Right"/>
    <w:basedOn w:val="Normal"/>
    <w:rsid w:val="001D7FBB"/>
    <w:pPr>
      <w:spacing w:before="120" w:after="120"/>
      <w:jc w:val="right"/>
    </w:pPr>
    <w:rPr>
      <w:rFonts w:eastAsia="Calibri"/>
      <w:szCs w:val="22"/>
      <w:lang w:val="en-GB" w:eastAsia="en-US"/>
    </w:rPr>
  </w:style>
  <w:style w:type="paragraph" w:customStyle="1" w:styleId="QuotedText">
    <w:name w:val="Quoted Text"/>
    <w:basedOn w:val="Normal"/>
    <w:rsid w:val="001D7FBB"/>
    <w:pPr>
      <w:spacing w:before="120" w:after="120"/>
      <w:ind w:left="1417"/>
      <w:jc w:val="both"/>
    </w:pPr>
    <w:rPr>
      <w:rFonts w:eastAsia="Calibri"/>
      <w:szCs w:val="22"/>
      <w:lang w:val="en-GB" w:eastAsia="en-US"/>
    </w:rPr>
  </w:style>
  <w:style w:type="paragraph" w:customStyle="1" w:styleId="Point0">
    <w:name w:val="Point 0"/>
    <w:basedOn w:val="Normal"/>
    <w:rsid w:val="001D7FBB"/>
    <w:pPr>
      <w:spacing w:before="120" w:after="120"/>
      <w:ind w:left="850" w:hanging="850"/>
      <w:jc w:val="both"/>
    </w:pPr>
    <w:rPr>
      <w:rFonts w:eastAsia="Calibri"/>
      <w:szCs w:val="22"/>
      <w:lang w:val="en-GB" w:eastAsia="en-US"/>
    </w:rPr>
  </w:style>
  <w:style w:type="paragraph" w:customStyle="1" w:styleId="Point1">
    <w:name w:val="Point 1"/>
    <w:basedOn w:val="Normal"/>
    <w:rsid w:val="001D7FBB"/>
    <w:pPr>
      <w:spacing w:before="120" w:after="120"/>
      <w:ind w:left="1417" w:hanging="567"/>
      <w:jc w:val="both"/>
    </w:pPr>
    <w:rPr>
      <w:rFonts w:eastAsia="Calibri"/>
      <w:szCs w:val="22"/>
      <w:lang w:val="en-GB" w:eastAsia="en-US"/>
    </w:rPr>
  </w:style>
  <w:style w:type="paragraph" w:customStyle="1" w:styleId="Point2">
    <w:name w:val="Point 2"/>
    <w:basedOn w:val="Normal"/>
    <w:rsid w:val="001D7FBB"/>
    <w:pPr>
      <w:spacing w:before="120" w:after="120"/>
      <w:ind w:left="1984" w:hanging="567"/>
      <w:jc w:val="both"/>
    </w:pPr>
    <w:rPr>
      <w:rFonts w:eastAsia="Calibri"/>
      <w:szCs w:val="22"/>
      <w:lang w:val="en-GB" w:eastAsia="en-US"/>
    </w:rPr>
  </w:style>
  <w:style w:type="paragraph" w:customStyle="1" w:styleId="Point3">
    <w:name w:val="Point 3"/>
    <w:basedOn w:val="Normal"/>
    <w:rsid w:val="001D7FBB"/>
    <w:pPr>
      <w:spacing w:before="120" w:after="120"/>
      <w:ind w:left="2551" w:hanging="567"/>
      <w:jc w:val="both"/>
    </w:pPr>
    <w:rPr>
      <w:rFonts w:eastAsia="Calibri"/>
      <w:szCs w:val="22"/>
      <w:lang w:val="en-GB" w:eastAsia="en-US"/>
    </w:rPr>
  </w:style>
  <w:style w:type="paragraph" w:customStyle="1" w:styleId="Point4">
    <w:name w:val="Point 4"/>
    <w:basedOn w:val="Normal"/>
    <w:rsid w:val="001D7FBB"/>
    <w:pPr>
      <w:spacing w:before="120" w:after="120"/>
      <w:ind w:left="3118" w:hanging="567"/>
      <w:jc w:val="both"/>
    </w:pPr>
    <w:rPr>
      <w:rFonts w:eastAsia="Calibri"/>
      <w:szCs w:val="22"/>
      <w:lang w:val="en-GB" w:eastAsia="en-US"/>
    </w:rPr>
  </w:style>
  <w:style w:type="paragraph" w:customStyle="1" w:styleId="Point5">
    <w:name w:val="Point 5"/>
    <w:basedOn w:val="Normal"/>
    <w:rsid w:val="001D7FBB"/>
    <w:pPr>
      <w:spacing w:before="120" w:after="120"/>
      <w:ind w:left="3685" w:hanging="567"/>
      <w:jc w:val="both"/>
    </w:pPr>
    <w:rPr>
      <w:rFonts w:eastAsia="Calibri"/>
      <w:szCs w:val="22"/>
      <w:lang w:val="en-GB" w:eastAsia="en-US"/>
    </w:rPr>
  </w:style>
  <w:style w:type="paragraph" w:customStyle="1" w:styleId="Tiret0">
    <w:name w:val="Tiret 0"/>
    <w:basedOn w:val="Point0"/>
    <w:rsid w:val="001D7FBB"/>
    <w:pPr>
      <w:numPr>
        <w:numId w:val="32"/>
      </w:numPr>
      <w:tabs>
        <w:tab w:val="clear" w:pos="850"/>
      </w:tabs>
      <w:ind w:left="0" w:firstLine="0"/>
    </w:pPr>
  </w:style>
  <w:style w:type="paragraph" w:customStyle="1" w:styleId="Tiret1">
    <w:name w:val="Tiret 1"/>
    <w:basedOn w:val="Point1"/>
    <w:rsid w:val="001D7FBB"/>
    <w:pPr>
      <w:numPr>
        <w:numId w:val="33"/>
      </w:numPr>
      <w:tabs>
        <w:tab w:val="clear" w:pos="1417"/>
      </w:tabs>
      <w:ind w:left="0" w:firstLine="0"/>
    </w:pPr>
  </w:style>
  <w:style w:type="paragraph" w:customStyle="1" w:styleId="Tiret2">
    <w:name w:val="Tiret 2"/>
    <w:basedOn w:val="Point2"/>
    <w:rsid w:val="001D7FBB"/>
    <w:pPr>
      <w:numPr>
        <w:numId w:val="34"/>
      </w:numPr>
      <w:tabs>
        <w:tab w:val="clear" w:pos="1984"/>
      </w:tabs>
      <w:ind w:left="0" w:firstLine="0"/>
    </w:pPr>
  </w:style>
  <w:style w:type="paragraph" w:customStyle="1" w:styleId="Tiret3">
    <w:name w:val="Tiret 3"/>
    <w:basedOn w:val="Point3"/>
    <w:rsid w:val="001D7FBB"/>
    <w:pPr>
      <w:numPr>
        <w:numId w:val="35"/>
      </w:numPr>
      <w:tabs>
        <w:tab w:val="clear" w:pos="2551"/>
      </w:tabs>
      <w:ind w:left="0" w:firstLine="0"/>
    </w:pPr>
  </w:style>
  <w:style w:type="paragraph" w:customStyle="1" w:styleId="Tiret4">
    <w:name w:val="Tiret 4"/>
    <w:basedOn w:val="Point4"/>
    <w:rsid w:val="001D7FBB"/>
    <w:pPr>
      <w:numPr>
        <w:numId w:val="36"/>
      </w:numPr>
      <w:tabs>
        <w:tab w:val="clear" w:pos="3118"/>
      </w:tabs>
      <w:ind w:left="0" w:firstLine="0"/>
    </w:pPr>
  </w:style>
  <w:style w:type="paragraph" w:customStyle="1" w:styleId="Tiret5">
    <w:name w:val="Tiret 5"/>
    <w:basedOn w:val="Point5"/>
    <w:rsid w:val="001D7FBB"/>
    <w:pPr>
      <w:numPr>
        <w:numId w:val="37"/>
      </w:numPr>
      <w:tabs>
        <w:tab w:val="clear" w:pos="3685"/>
      </w:tabs>
      <w:ind w:left="0" w:firstLine="0"/>
    </w:pPr>
  </w:style>
  <w:style w:type="paragraph" w:customStyle="1" w:styleId="PointDouble0">
    <w:name w:val="PointDouble 0"/>
    <w:basedOn w:val="Normal"/>
    <w:rsid w:val="001D7FBB"/>
    <w:pPr>
      <w:tabs>
        <w:tab w:val="left" w:pos="850"/>
      </w:tabs>
      <w:spacing w:before="120" w:after="120"/>
      <w:ind w:left="1417" w:hanging="1417"/>
      <w:jc w:val="both"/>
    </w:pPr>
    <w:rPr>
      <w:rFonts w:eastAsia="Calibri"/>
      <w:szCs w:val="22"/>
      <w:lang w:val="en-GB" w:eastAsia="en-US"/>
    </w:rPr>
  </w:style>
  <w:style w:type="paragraph" w:customStyle="1" w:styleId="PointDouble1">
    <w:name w:val="PointDouble 1"/>
    <w:basedOn w:val="Normal"/>
    <w:rsid w:val="001D7FBB"/>
    <w:pPr>
      <w:tabs>
        <w:tab w:val="left" w:pos="1417"/>
      </w:tabs>
      <w:spacing w:before="120" w:after="120"/>
      <w:ind w:left="1984" w:hanging="1134"/>
      <w:jc w:val="both"/>
    </w:pPr>
    <w:rPr>
      <w:rFonts w:eastAsia="Calibri"/>
      <w:szCs w:val="22"/>
      <w:lang w:val="en-GB" w:eastAsia="en-US"/>
    </w:rPr>
  </w:style>
  <w:style w:type="paragraph" w:customStyle="1" w:styleId="PointDouble2">
    <w:name w:val="PointDouble 2"/>
    <w:basedOn w:val="Normal"/>
    <w:rsid w:val="001D7FBB"/>
    <w:pPr>
      <w:tabs>
        <w:tab w:val="left" w:pos="1984"/>
      </w:tabs>
      <w:spacing w:before="120" w:after="120"/>
      <w:ind w:left="2551" w:hanging="1134"/>
      <w:jc w:val="both"/>
    </w:pPr>
    <w:rPr>
      <w:rFonts w:eastAsia="Calibri"/>
      <w:szCs w:val="22"/>
      <w:lang w:val="en-GB" w:eastAsia="en-US"/>
    </w:rPr>
  </w:style>
  <w:style w:type="paragraph" w:customStyle="1" w:styleId="PointDouble3">
    <w:name w:val="PointDouble 3"/>
    <w:basedOn w:val="Normal"/>
    <w:rsid w:val="001D7FBB"/>
    <w:pPr>
      <w:tabs>
        <w:tab w:val="left" w:pos="2551"/>
      </w:tabs>
      <w:spacing w:before="120" w:after="120"/>
      <w:ind w:left="3118" w:hanging="1134"/>
      <w:jc w:val="both"/>
    </w:pPr>
    <w:rPr>
      <w:rFonts w:eastAsia="Calibri"/>
      <w:szCs w:val="22"/>
      <w:lang w:val="en-GB" w:eastAsia="en-US"/>
    </w:rPr>
  </w:style>
  <w:style w:type="paragraph" w:customStyle="1" w:styleId="PointDouble4">
    <w:name w:val="PointDouble 4"/>
    <w:basedOn w:val="Normal"/>
    <w:rsid w:val="001D7FBB"/>
    <w:pPr>
      <w:tabs>
        <w:tab w:val="left" w:pos="3118"/>
      </w:tabs>
      <w:spacing w:before="120" w:after="120"/>
      <w:ind w:left="3685" w:hanging="1134"/>
      <w:jc w:val="both"/>
    </w:pPr>
    <w:rPr>
      <w:rFonts w:eastAsia="Calibri"/>
      <w:szCs w:val="22"/>
      <w:lang w:val="en-GB" w:eastAsia="en-US"/>
    </w:rPr>
  </w:style>
  <w:style w:type="paragraph" w:customStyle="1" w:styleId="PointTriple0">
    <w:name w:val="PointTriple 0"/>
    <w:basedOn w:val="Normal"/>
    <w:rsid w:val="001D7FBB"/>
    <w:pPr>
      <w:tabs>
        <w:tab w:val="left" w:pos="850"/>
        <w:tab w:val="left" w:pos="1417"/>
      </w:tabs>
      <w:spacing w:before="120" w:after="120"/>
      <w:ind w:left="1984" w:hanging="1984"/>
      <w:jc w:val="both"/>
    </w:pPr>
    <w:rPr>
      <w:rFonts w:eastAsia="Calibri"/>
      <w:szCs w:val="22"/>
      <w:lang w:val="en-GB" w:eastAsia="en-US"/>
    </w:rPr>
  </w:style>
  <w:style w:type="paragraph" w:customStyle="1" w:styleId="PointTriple1">
    <w:name w:val="PointTriple 1"/>
    <w:basedOn w:val="Normal"/>
    <w:rsid w:val="001D7FBB"/>
    <w:pPr>
      <w:tabs>
        <w:tab w:val="left" w:pos="1417"/>
        <w:tab w:val="left" w:pos="1984"/>
      </w:tabs>
      <w:spacing w:before="120" w:after="120"/>
      <w:ind w:left="2551" w:hanging="1701"/>
      <w:jc w:val="both"/>
    </w:pPr>
    <w:rPr>
      <w:rFonts w:eastAsia="Calibri"/>
      <w:szCs w:val="22"/>
      <w:lang w:val="en-GB" w:eastAsia="en-US"/>
    </w:rPr>
  </w:style>
  <w:style w:type="paragraph" w:customStyle="1" w:styleId="PointTriple2">
    <w:name w:val="PointTriple 2"/>
    <w:basedOn w:val="Normal"/>
    <w:rsid w:val="001D7FBB"/>
    <w:pPr>
      <w:tabs>
        <w:tab w:val="left" w:pos="1984"/>
        <w:tab w:val="left" w:pos="2551"/>
      </w:tabs>
      <w:spacing w:before="120" w:after="120"/>
      <w:ind w:left="3118" w:hanging="1701"/>
      <w:jc w:val="both"/>
    </w:pPr>
    <w:rPr>
      <w:rFonts w:eastAsia="Calibri"/>
      <w:szCs w:val="22"/>
      <w:lang w:val="en-GB" w:eastAsia="en-US"/>
    </w:rPr>
  </w:style>
  <w:style w:type="paragraph" w:customStyle="1" w:styleId="PointTriple3">
    <w:name w:val="PointTriple 3"/>
    <w:basedOn w:val="Normal"/>
    <w:rsid w:val="001D7FBB"/>
    <w:pPr>
      <w:tabs>
        <w:tab w:val="left" w:pos="2551"/>
        <w:tab w:val="left" w:pos="3118"/>
      </w:tabs>
      <w:spacing w:before="120" w:after="120"/>
      <w:ind w:left="3685" w:hanging="1701"/>
      <w:jc w:val="both"/>
    </w:pPr>
    <w:rPr>
      <w:rFonts w:eastAsia="Calibri"/>
      <w:szCs w:val="22"/>
      <w:lang w:val="en-GB" w:eastAsia="en-US"/>
    </w:rPr>
  </w:style>
  <w:style w:type="paragraph" w:customStyle="1" w:styleId="PointTriple4">
    <w:name w:val="PointTriple 4"/>
    <w:basedOn w:val="Normal"/>
    <w:rsid w:val="001D7FBB"/>
    <w:pPr>
      <w:tabs>
        <w:tab w:val="left" w:pos="3118"/>
        <w:tab w:val="left" w:pos="3685"/>
      </w:tabs>
      <w:spacing w:before="120" w:after="120"/>
      <w:ind w:left="4252" w:hanging="1701"/>
      <w:jc w:val="both"/>
    </w:pPr>
    <w:rPr>
      <w:rFonts w:eastAsia="Calibri"/>
      <w:szCs w:val="22"/>
      <w:lang w:val="en-GB" w:eastAsia="en-US"/>
    </w:rPr>
  </w:style>
  <w:style w:type="paragraph" w:customStyle="1" w:styleId="NumPar1">
    <w:name w:val="NumPar 1"/>
    <w:basedOn w:val="Normal"/>
    <w:next w:val="Text1"/>
    <w:rsid w:val="001D7FBB"/>
    <w:pPr>
      <w:numPr>
        <w:numId w:val="28"/>
      </w:numPr>
      <w:tabs>
        <w:tab w:val="clear" w:pos="850"/>
      </w:tabs>
      <w:spacing w:before="120" w:after="120"/>
      <w:ind w:left="0" w:firstLine="0"/>
      <w:jc w:val="both"/>
    </w:pPr>
    <w:rPr>
      <w:rFonts w:eastAsia="Calibri"/>
      <w:szCs w:val="22"/>
      <w:lang w:val="en-GB" w:eastAsia="en-US"/>
    </w:rPr>
  </w:style>
  <w:style w:type="paragraph" w:customStyle="1" w:styleId="NumPar2">
    <w:name w:val="NumPar 2"/>
    <w:basedOn w:val="Normal"/>
    <w:next w:val="Text1"/>
    <w:rsid w:val="001D7FBB"/>
    <w:pPr>
      <w:numPr>
        <w:ilvl w:val="1"/>
        <w:numId w:val="28"/>
      </w:numPr>
      <w:tabs>
        <w:tab w:val="clear" w:pos="850"/>
      </w:tabs>
      <w:spacing w:before="120" w:after="120"/>
      <w:ind w:left="0" w:firstLine="0"/>
      <w:jc w:val="both"/>
    </w:pPr>
    <w:rPr>
      <w:rFonts w:eastAsia="Calibri"/>
      <w:szCs w:val="22"/>
      <w:lang w:val="en-GB" w:eastAsia="en-US"/>
    </w:rPr>
  </w:style>
  <w:style w:type="paragraph" w:customStyle="1" w:styleId="NumPar3">
    <w:name w:val="NumPar 3"/>
    <w:basedOn w:val="Normal"/>
    <w:next w:val="Text1"/>
    <w:rsid w:val="001D7FBB"/>
    <w:pPr>
      <w:numPr>
        <w:ilvl w:val="2"/>
        <w:numId w:val="28"/>
      </w:numPr>
      <w:tabs>
        <w:tab w:val="clear" w:pos="850"/>
      </w:tabs>
      <w:spacing w:before="120" w:after="120"/>
      <w:ind w:left="0" w:firstLine="0"/>
      <w:jc w:val="both"/>
    </w:pPr>
    <w:rPr>
      <w:rFonts w:eastAsia="Calibri"/>
      <w:szCs w:val="22"/>
      <w:lang w:val="en-GB" w:eastAsia="en-US"/>
    </w:rPr>
  </w:style>
  <w:style w:type="paragraph" w:customStyle="1" w:styleId="NumPar4">
    <w:name w:val="NumPar 4"/>
    <w:basedOn w:val="Normal"/>
    <w:next w:val="Text1"/>
    <w:rsid w:val="001D7FBB"/>
    <w:pPr>
      <w:numPr>
        <w:ilvl w:val="3"/>
        <w:numId w:val="28"/>
      </w:numPr>
      <w:tabs>
        <w:tab w:val="clear" w:pos="850"/>
      </w:tabs>
      <w:spacing w:before="120" w:after="120"/>
      <w:ind w:left="0" w:firstLine="0"/>
      <w:jc w:val="both"/>
    </w:pPr>
    <w:rPr>
      <w:rFonts w:eastAsia="Calibri"/>
      <w:szCs w:val="22"/>
      <w:lang w:val="en-GB" w:eastAsia="en-US"/>
    </w:rPr>
  </w:style>
  <w:style w:type="paragraph" w:customStyle="1" w:styleId="NumPar5">
    <w:name w:val="NumPar 5"/>
    <w:basedOn w:val="Normal"/>
    <w:next w:val="Text2"/>
    <w:rsid w:val="001D7FBB"/>
    <w:pPr>
      <w:numPr>
        <w:ilvl w:val="4"/>
        <w:numId w:val="28"/>
      </w:numPr>
      <w:tabs>
        <w:tab w:val="clear" w:pos="1417"/>
      </w:tabs>
      <w:spacing w:before="120" w:after="120"/>
      <w:ind w:left="0" w:firstLine="0"/>
      <w:jc w:val="both"/>
    </w:pPr>
    <w:rPr>
      <w:rFonts w:eastAsia="Calibri"/>
      <w:szCs w:val="22"/>
      <w:lang w:val="en-GB" w:eastAsia="en-US"/>
    </w:rPr>
  </w:style>
  <w:style w:type="paragraph" w:customStyle="1" w:styleId="NumPar6">
    <w:name w:val="NumPar 6"/>
    <w:basedOn w:val="Normal"/>
    <w:next w:val="Text2"/>
    <w:rsid w:val="001D7FBB"/>
    <w:pPr>
      <w:numPr>
        <w:ilvl w:val="5"/>
        <w:numId w:val="28"/>
      </w:numPr>
      <w:tabs>
        <w:tab w:val="clear" w:pos="1417"/>
      </w:tabs>
      <w:spacing w:before="120" w:after="120"/>
      <w:ind w:left="0" w:firstLine="0"/>
      <w:jc w:val="both"/>
    </w:pPr>
    <w:rPr>
      <w:rFonts w:eastAsia="Calibri"/>
      <w:szCs w:val="22"/>
      <w:lang w:val="en-GB" w:eastAsia="en-US"/>
    </w:rPr>
  </w:style>
  <w:style w:type="paragraph" w:customStyle="1" w:styleId="NumPar7">
    <w:name w:val="NumPar 7"/>
    <w:basedOn w:val="Normal"/>
    <w:next w:val="Text2"/>
    <w:rsid w:val="001D7FBB"/>
    <w:pPr>
      <w:numPr>
        <w:ilvl w:val="6"/>
        <w:numId w:val="28"/>
      </w:numPr>
      <w:tabs>
        <w:tab w:val="clear" w:pos="1417"/>
      </w:tabs>
      <w:spacing w:before="120" w:after="120"/>
      <w:ind w:left="0" w:firstLine="0"/>
      <w:jc w:val="both"/>
    </w:pPr>
    <w:rPr>
      <w:rFonts w:eastAsia="Calibri"/>
      <w:szCs w:val="22"/>
      <w:lang w:val="en-GB" w:eastAsia="en-US"/>
    </w:rPr>
  </w:style>
  <w:style w:type="paragraph" w:customStyle="1" w:styleId="ManualNumPar1">
    <w:name w:val="Manual NumPar 1"/>
    <w:basedOn w:val="Normal"/>
    <w:next w:val="Text1"/>
    <w:rsid w:val="001D7FBB"/>
    <w:pPr>
      <w:spacing w:before="120" w:after="120"/>
      <w:ind w:left="850" w:hanging="850"/>
      <w:jc w:val="both"/>
    </w:pPr>
    <w:rPr>
      <w:rFonts w:eastAsia="Calibri"/>
      <w:szCs w:val="22"/>
      <w:lang w:val="en-GB" w:eastAsia="en-US"/>
    </w:rPr>
  </w:style>
  <w:style w:type="paragraph" w:customStyle="1" w:styleId="ManualNumPar2">
    <w:name w:val="Manual NumPar 2"/>
    <w:basedOn w:val="Normal"/>
    <w:next w:val="Text1"/>
    <w:rsid w:val="001D7FBB"/>
    <w:pPr>
      <w:spacing w:before="120" w:after="120"/>
      <w:ind w:left="850" w:hanging="850"/>
      <w:jc w:val="both"/>
    </w:pPr>
    <w:rPr>
      <w:rFonts w:eastAsia="Calibri"/>
      <w:szCs w:val="22"/>
      <w:lang w:val="en-GB" w:eastAsia="en-US"/>
    </w:rPr>
  </w:style>
  <w:style w:type="paragraph" w:customStyle="1" w:styleId="ManualNumPar3">
    <w:name w:val="Manual NumPar 3"/>
    <w:basedOn w:val="Normal"/>
    <w:next w:val="Text1"/>
    <w:rsid w:val="001D7FBB"/>
    <w:pPr>
      <w:spacing w:before="120" w:after="120"/>
      <w:ind w:left="850" w:hanging="850"/>
      <w:jc w:val="both"/>
    </w:pPr>
    <w:rPr>
      <w:rFonts w:eastAsia="Calibri"/>
      <w:szCs w:val="22"/>
      <w:lang w:val="en-GB" w:eastAsia="en-US"/>
    </w:rPr>
  </w:style>
  <w:style w:type="paragraph" w:customStyle="1" w:styleId="ManualNumPar4">
    <w:name w:val="Manual NumPar 4"/>
    <w:basedOn w:val="Normal"/>
    <w:next w:val="Text1"/>
    <w:rsid w:val="001D7FBB"/>
    <w:pPr>
      <w:spacing w:before="120" w:after="120"/>
      <w:ind w:left="850" w:hanging="850"/>
      <w:jc w:val="both"/>
    </w:pPr>
    <w:rPr>
      <w:rFonts w:eastAsia="Calibri"/>
      <w:szCs w:val="22"/>
      <w:lang w:val="en-GB" w:eastAsia="en-US"/>
    </w:rPr>
  </w:style>
  <w:style w:type="paragraph" w:customStyle="1" w:styleId="ManualNumPar5">
    <w:name w:val="Manual NumPar 5"/>
    <w:basedOn w:val="Normal"/>
    <w:next w:val="Text2"/>
    <w:rsid w:val="001D7FBB"/>
    <w:pPr>
      <w:spacing w:before="120" w:after="120"/>
      <w:ind w:left="1417" w:hanging="1417"/>
      <w:jc w:val="both"/>
    </w:pPr>
    <w:rPr>
      <w:rFonts w:eastAsia="Calibri"/>
      <w:szCs w:val="22"/>
      <w:lang w:val="en-GB" w:eastAsia="en-US"/>
    </w:rPr>
  </w:style>
  <w:style w:type="paragraph" w:customStyle="1" w:styleId="ManualNumPar6">
    <w:name w:val="Manual NumPar 6"/>
    <w:basedOn w:val="Normal"/>
    <w:next w:val="Text2"/>
    <w:rsid w:val="001D7FBB"/>
    <w:pPr>
      <w:spacing w:before="120" w:after="120"/>
      <w:ind w:left="1417" w:hanging="1417"/>
      <w:jc w:val="both"/>
    </w:pPr>
    <w:rPr>
      <w:rFonts w:eastAsia="Calibri"/>
      <w:szCs w:val="22"/>
      <w:lang w:val="en-GB" w:eastAsia="en-US"/>
    </w:rPr>
  </w:style>
  <w:style w:type="paragraph" w:customStyle="1" w:styleId="ManualNumPar7">
    <w:name w:val="Manual NumPar 7"/>
    <w:basedOn w:val="Normal"/>
    <w:next w:val="Text2"/>
    <w:rsid w:val="001D7FBB"/>
    <w:pPr>
      <w:spacing w:before="120" w:after="120"/>
      <w:ind w:left="1417" w:hanging="1417"/>
      <w:jc w:val="both"/>
    </w:pPr>
    <w:rPr>
      <w:rFonts w:eastAsia="Calibri"/>
      <w:szCs w:val="22"/>
      <w:lang w:val="en-GB" w:eastAsia="en-US"/>
    </w:rPr>
  </w:style>
  <w:style w:type="paragraph" w:customStyle="1" w:styleId="QuotedNumPar">
    <w:name w:val="Quoted NumPar"/>
    <w:basedOn w:val="Normal"/>
    <w:rsid w:val="001D7FBB"/>
    <w:pPr>
      <w:spacing w:before="120" w:after="120"/>
      <w:ind w:left="1417" w:hanging="567"/>
      <w:jc w:val="both"/>
    </w:pPr>
    <w:rPr>
      <w:rFonts w:eastAsia="Calibri"/>
      <w:szCs w:val="22"/>
      <w:lang w:val="en-GB" w:eastAsia="en-US"/>
    </w:rPr>
  </w:style>
  <w:style w:type="paragraph" w:customStyle="1" w:styleId="ManualHeading1">
    <w:name w:val="Manual Heading 1"/>
    <w:basedOn w:val="Normal"/>
    <w:next w:val="Text1"/>
    <w:rsid w:val="001D7FBB"/>
    <w:pPr>
      <w:keepNext/>
      <w:tabs>
        <w:tab w:val="left" w:pos="850"/>
      </w:tabs>
      <w:spacing w:before="360" w:after="120"/>
      <w:ind w:left="850" w:hanging="850"/>
      <w:jc w:val="both"/>
      <w:outlineLvl w:val="0"/>
    </w:pPr>
    <w:rPr>
      <w:rFonts w:eastAsia="Calibri"/>
      <w:b/>
      <w:smallCaps/>
      <w:szCs w:val="22"/>
      <w:lang w:val="en-GB" w:eastAsia="en-US"/>
    </w:rPr>
  </w:style>
  <w:style w:type="paragraph" w:customStyle="1" w:styleId="ManualHeading2">
    <w:name w:val="Manual Heading 2"/>
    <w:basedOn w:val="Normal"/>
    <w:next w:val="Text1"/>
    <w:rsid w:val="001D7FBB"/>
    <w:pPr>
      <w:keepNext/>
      <w:tabs>
        <w:tab w:val="left" w:pos="850"/>
      </w:tabs>
      <w:spacing w:before="120" w:after="120"/>
      <w:ind w:left="850" w:hanging="850"/>
      <w:jc w:val="both"/>
      <w:outlineLvl w:val="1"/>
    </w:pPr>
    <w:rPr>
      <w:rFonts w:eastAsia="Calibri"/>
      <w:b/>
      <w:szCs w:val="22"/>
      <w:lang w:val="en-GB" w:eastAsia="en-US"/>
    </w:rPr>
  </w:style>
  <w:style w:type="paragraph" w:customStyle="1" w:styleId="ManualHeading3">
    <w:name w:val="Manual Heading 3"/>
    <w:basedOn w:val="Normal"/>
    <w:next w:val="Text1"/>
    <w:rsid w:val="001D7FBB"/>
    <w:pPr>
      <w:keepNext/>
      <w:tabs>
        <w:tab w:val="left" w:pos="850"/>
      </w:tabs>
      <w:spacing w:before="120" w:after="120"/>
      <w:ind w:left="850" w:hanging="850"/>
      <w:jc w:val="both"/>
      <w:outlineLvl w:val="2"/>
    </w:pPr>
    <w:rPr>
      <w:rFonts w:eastAsia="Calibri"/>
      <w:i/>
      <w:szCs w:val="22"/>
      <w:lang w:val="en-GB" w:eastAsia="en-US"/>
    </w:rPr>
  </w:style>
  <w:style w:type="paragraph" w:customStyle="1" w:styleId="ManualHeading4">
    <w:name w:val="Manual Heading 4"/>
    <w:basedOn w:val="Normal"/>
    <w:next w:val="Text1"/>
    <w:rsid w:val="001D7FBB"/>
    <w:pPr>
      <w:keepNext/>
      <w:tabs>
        <w:tab w:val="left" w:pos="850"/>
      </w:tabs>
      <w:spacing w:before="120" w:after="120"/>
      <w:ind w:left="850" w:hanging="850"/>
      <w:jc w:val="both"/>
      <w:outlineLvl w:val="3"/>
    </w:pPr>
    <w:rPr>
      <w:rFonts w:eastAsia="Calibri"/>
      <w:szCs w:val="22"/>
      <w:lang w:val="en-GB" w:eastAsia="en-US"/>
    </w:rPr>
  </w:style>
  <w:style w:type="paragraph" w:customStyle="1" w:styleId="ManualHeading5">
    <w:name w:val="Manual Heading 5"/>
    <w:basedOn w:val="Normal"/>
    <w:next w:val="Text2"/>
    <w:rsid w:val="001D7FBB"/>
    <w:pPr>
      <w:keepNext/>
      <w:tabs>
        <w:tab w:val="left" w:pos="1417"/>
      </w:tabs>
      <w:spacing w:before="120" w:after="120"/>
      <w:ind w:left="1417" w:hanging="1417"/>
      <w:jc w:val="both"/>
      <w:outlineLvl w:val="4"/>
    </w:pPr>
    <w:rPr>
      <w:rFonts w:eastAsia="Calibri"/>
      <w:szCs w:val="22"/>
      <w:lang w:val="en-GB" w:eastAsia="en-US"/>
    </w:rPr>
  </w:style>
  <w:style w:type="paragraph" w:customStyle="1" w:styleId="ManualHeading6">
    <w:name w:val="Manual Heading 6"/>
    <w:basedOn w:val="Normal"/>
    <w:next w:val="Text2"/>
    <w:rsid w:val="001D7FBB"/>
    <w:pPr>
      <w:keepNext/>
      <w:tabs>
        <w:tab w:val="left" w:pos="1417"/>
      </w:tabs>
      <w:spacing w:before="120" w:after="120"/>
      <w:ind w:left="1417" w:hanging="1417"/>
      <w:jc w:val="both"/>
      <w:outlineLvl w:val="5"/>
    </w:pPr>
    <w:rPr>
      <w:rFonts w:eastAsia="Calibri"/>
      <w:szCs w:val="22"/>
      <w:lang w:val="en-GB" w:eastAsia="en-US"/>
    </w:rPr>
  </w:style>
  <w:style w:type="paragraph" w:customStyle="1" w:styleId="ManualHeading7">
    <w:name w:val="Manual Heading 7"/>
    <w:basedOn w:val="Normal"/>
    <w:next w:val="Text2"/>
    <w:rsid w:val="001D7FBB"/>
    <w:pPr>
      <w:keepNext/>
      <w:tabs>
        <w:tab w:val="left" w:pos="1417"/>
      </w:tabs>
      <w:spacing w:before="120" w:after="120"/>
      <w:ind w:left="1417" w:hanging="1417"/>
      <w:jc w:val="both"/>
      <w:outlineLvl w:val="6"/>
    </w:pPr>
    <w:rPr>
      <w:rFonts w:eastAsia="Calibri"/>
      <w:szCs w:val="22"/>
      <w:lang w:val="en-GB" w:eastAsia="en-US"/>
    </w:rPr>
  </w:style>
  <w:style w:type="paragraph" w:customStyle="1" w:styleId="ChapterTitle">
    <w:name w:val="ChapterTitle"/>
    <w:basedOn w:val="Normal"/>
    <w:next w:val="Normal"/>
    <w:rsid w:val="001D7FBB"/>
    <w:pPr>
      <w:keepNext/>
      <w:spacing w:before="120" w:after="360"/>
      <w:jc w:val="center"/>
    </w:pPr>
    <w:rPr>
      <w:rFonts w:eastAsia="Calibri"/>
      <w:b/>
      <w:sz w:val="32"/>
      <w:szCs w:val="22"/>
      <w:lang w:val="en-GB" w:eastAsia="en-US"/>
    </w:rPr>
  </w:style>
  <w:style w:type="paragraph" w:customStyle="1" w:styleId="PartTitle">
    <w:name w:val="PartTitle"/>
    <w:basedOn w:val="Normal"/>
    <w:next w:val="ChapterTitle"/>
    <w:rsid w:val="001D7FBB"/>
    <w:pPr>
      <w:keepNext/>
      <w:pageBreakBefore/>
      <w:spacing w:before="120" w:after="360"/>
      <w:jc w:val="center"/>
    </w:pPr>
    <w:rPr>
      <w:rFonts w:eastAsia="Calibri"/>
      <w:b/>
      <w:sz w:val="36"/>
      <w:szCs w:val="22"/>
      <w:lang w:val="en-GB" w:eastAsia="en-US"/>
    </w:rPr>
  </w:style>
  <w:style w:type="paragraph" w:customStyle="1" w:styleId="SectionTitle">
    <w:name w:val="SectionTitle"/>
    <w:basedOn w:val="Normal"/>
    <w:next w:val="Heading1"/>
    <w:rsid w:val="001D7FBB"/>
    <w:pPr>
      <w:keepNext/>
      <w:spacing w:before="120" w:after="360"/>
      <w:jc w:val="center"/>
    </w:pPr>
    <w:rPr>
      <w:rFonts w:eastAsia="Calibri"/>
      <w:b/>
      <w:smallCaps/>
      <w:sz w:val="28"/>
      <w:szCs w:val="22"/>
      <w:lang w:val="en-GB" w:eastAsia="en-US"/>
    </w:rPr>
  </w:style>
  <w:style w:type="paragraph" w:customStyle="1" w:styleId="TableTitle">
    <w:name w:val="Table Title"/>
    <w:basedOn w:val="Normal"/>
    <w:next w:val="Normal"/>
    <w:rsid w:val="001D7FBB"/>
    <w:pPr>
      <w:spacing w:before="120" w:after="120"/>
      <w:jc w:val="center"/>
    </w:pPr>
    <w:rPr>
      <w:rFonts w:eastAsia="Calibri"/>
      <w:b/>
      <w:szCs w:val="22"/>
      <w:lang w:val="en-GB" w:eastAsia="en-US"/>
    </w:rPr>
  </w:style>
  <w:style w:type="character" w:customStyle="1" w:styleId="Marker">
    <w:name w:val="Marker"/>
    <w:basedOn w:val="DefaultParagraphFont"/>
    <w:rsid w:val="001D7FBB"/>
    <w:rPr>
      <w:color w:val="0000FF"/>
      <w:shd w:val="clear" w:color="auto" w:fill="auto"/>
    </w:rPr>
  </w:style>
  <w:style w:type="character" w:customStyle="1" w:styleId="Marker1">
    <w:name w:val="Marker1"/>
    <w:basedOn w:val="DefaultParagraphFont"/>
    <w:rsid w:val="001D7FBB"/>
    <w:rPr>
      <w:color w:val="008000"/>
      <w:shd w:val="clear" w:color="auto" w:fill="auto"/>
    </w:rPr>
  </w:style>
  <w:style w:type="character" w:customStyle="1" w:styleId="Marker2">
    <w:name w:val="Marker2"/>
    <w:basedOn w:val="DefaultParagraphFont"/>
    <w:rsid w:val="001D7FBB"/>
    <w:rPr>
      <w:color w:val="FF0000"/>
      <w:shd w:val="clear" w:color="auto" w:fill="auto"/>
    </w:rPr>
  </w:style>
  <w:style w:type="paragraph" w:customStyle="1" w:styleId="Point0number">
    <w:name w:val="Point 0 (number)"/>
    <w:basedOn w:val="Normal"/>
    <w:rsid w:val="001D7FBB"/>
    <w:pPr>
      <w:numPr>
        <w:numId w:val="27"/>
      </w:numPr>
      <w:tabs>
        <w:tab w:val="clear" w:pos="850"/>
      </w:tabs>
      <w:spacing w:before="120" w:after="120"/>
      <w:ind w:left="0" w:firstLine="0"/>
      <w:jc w:val="both"/>
    </w:pPr>
    <w:rPr>
      <w:rFonts w:eastAsia="Calibri"/>
      <w:szCs w:val="22"/>
      <w:lang w:val="en-GB" w:eastAsia="en-US"/>
    </w:rPr>
  </w:style>
  <w:style w:type="paragraph" w:customStyle="1" w:styleId="Point1number">
    <w:name w:val="Point 1 (number)"/>
    <w:basedOn w:val="Normal"/>
    <w:rsid w:val="001D7FBB"/>
    <w:pPr>
      <w:numPr>
        <w:ilvl w:val="2"/>
        <w:numId w:val="27"/>
      </w:numPr>
      <w:tabs>
        <w:tab w:val="clear" w:pos="1417"/>
      </w:tabs>
      <w:spacing w:before="120" w:after="120"/>
      <w:ind w:left="0" w:firstLine="0"/>
      <w:jc w:val="both"/>
    </w:pPr>
    <w:rPr>
      <w:rFonts w:eastAsia="Calibri"/>
      <w:szCs w:val="22"/>
      <w:lang w:val="en-GB" w:eastAsia="en-US"/>
    </w:rPr>
  </w:style>
  <w:style w:type="paragraph" w:customStyle="1" w:styleId="Point2number">
    <w:name w:val="Point 2 (number)"/>
    <w:basedOn w:val="Normal"/>
    <w:rsid w:val="001D7FBB"/>
    <w:pPr>
      <w:numPr>
        <w:ilvl w:val="4"/>
        <w:numId w:val="27"/>
      </w:numPr>
      <w:tabs>
        <w:tab w:val="clear" w:pos="1984"/>
      </w:tabs>
      <w:spacing w:before="120" w:after="120"/>
      <w:ind w:left="0" w:firstLine="0"/>
      <w:jc w:val="both"/>
    </w:pPr>
    <w:rPr>
      <w:rFonts w:eastAsia="Calibri"/>
      <w:szCs w:val="22"/>
      <w:lang w:val="en-GB" w:eastAsia="en-US"/>
    </w:rPr>
  </w:style>
  <w:style w:type="paragraph" w:customStyle="1" w:styleId="Point3number">
    <w:name w:val="Point 3 (number)"/>
    <w:basedOn w:val="Normal"/>
    <w:rsid w:val="001D7FBB"/>
    <w:pPr>
      <w:numPr>
        <w:ilvl w:val="6"/>
        <w:numId w:val="27"/>
      </w:numPr>
      <w:tabs>
        <w:tab w:val="clear" w:pos="2551"/>
      </w:tabs>
      <w:spacing w:before="120" w:after="120"/>
      <w:ind w:left="0" w:firstLine="0"/>
      <w:jc w:val="both"/>
    </w:pPr>
    <w:rPr>
      <w:rFonts w:eastAsia="Calibri"/>
      <w:szCs w:val="22"/>
      <w:lang w:val="en-GB" w:eastAsia="en-US"/>
    </w:rPr>
  </w:style>
  <w:style w:type="paragraph" w:customStyle="1" w:styleId="Point0letter">
    <w:name w:val="Point 0 (letter)"/>
    <w:basedOn w:val="Normal"/>
    <w:rsid w:val="001D7FBB"/>
    <w:pPr>
      <w:numPr>
        <w:ilvl w:val="1"/>
        <w:numId w:val="27"/>
      </w:numPr>
      <w:tabs>
        <w:tab w:val="clear" w:pos="850"/>
      </w:tabs>
      <w:spacing w:before="120" w:after="120"/>
      <w:ind w:left="0" w:firstLine="0"/>
      <w:jc w:val="both"/>
    </w:pPr>
    <w:rPr>
      <w:rFonts w:eastAsia="Calibri"/>
      <w:szCs w:val="22"/>
      <w:lang w:val="en-GB" w:eastAsia="en-US"/>
    </w:rPr>
  </w:style>
  <w:style w:type="paragraph" w:customStyle="1" w:styleId="Point1letter">
    <w:name w:val="Point 1 (letter)"/>
    <w:basedOn w:val="Normal"/>
    <w:rsid w:val="001D7FBB"/>
    <w:pPr>
      <w:numPr>
        <w:ilvl w:val="3"/>
        <w:numId w:val="27"/>
      </w:numPr>
      <w:tabs>
        <w:tab w:val="clear" w:pos="1417"/>
      </w:tabs>
      <w:spacing w:before="120" w:after="120"/>
      <w:ind w:left="0" w:firstLine="0"/>
      <w:jc w:val="both"/>
    </w:pPr>
    <w:rPr>
      <w:rFonts w:eastAsia="Calibri"/>
      <w:szCs w:val="22"/>
      <w:lang w:val="en-GB" w:eastAsia="en-US"/>
    </w:rPr>
  </w:style>
  <w:style w:type="paragraph" w:customStyle="1" w:styleId="Point2letter">
    <w:name w:val="Point 2 (letter)"/>
    <w:basedOn w:val="Normal"/>
    <w:rsid w:val="001D7FBB"/>
    <w:pPr>
      <w:numPr>
        <w:ilvl w:val="5"/>
        <w:numId w:val="27"/>
      </w:numPr>
      <w:tabs>
        <w:tab w:val="clear" w:pos="1984"/>
      </w:tabs>
      <w:spacing w:before="120" w:after="120"/>
      <w:ind w:left="0" w:firstLine="0"/>
      <w:jc w:val="both"/>
    </w:pPr>
    <w:rPr>
      <w:rFonts w:eastAsia="Calibri"/>
      <w:szCs w:val="22"/>
      <w:lang w:val="en-GB" w:eastAsia="en-US"/>
    </w:rPr>
  </w:style>
  <w:style w:type="paragraph" w:customStyle="1" w:styleId="Point3letter">
    <w:name w:val="Point 3 (letter)"/>
    <w:basedOn w:val="Normal"/>
    <w:rsid w:val="001D7FBB"/>
    <w:pPr>
      <w:numPr>
        <w:ilvl w:val="7"/>
        <w:numId w:val="27"/>
      </w:numPr>
      <w:tabs>
        <w:tab w:val="clear" w:pos="2551"/>
      </w:tabs>
      <w:spacing w:before="120" w:after="120"/>
      <w:ind w:left="0" w:firstLine="0"/>
      <w:jc w:val="both"/>
    </w:pPr>
    <w:rPr>
      <w:rFonts w:eastAsia="Calibri"/>
      <w:szCs w:val="22"/>
      <w:lang w:val="en-GB" w:eastAsia="en-US"/>
    </w:rPr>
  </w:style>
  <w:style w:type="paragraph" w:customStyle="1" w:styleId="Point4letter">
    <w:name w:val="Point 4 (letter)"/>
    <w:basedOn w:val="Normal"/>
    <w:rsid w:val="001D7FBB"/>
    <w:pPr>
      <w:numPr>
        <w:ilvl w:val="8"/>
        <w:numId w:val="27"/>
      </w:numPr>
      <w:tabs>
        <w:tab w:val="clear" w:pos="3118"/>
      </w:tabs>
      <w:spacing w:before="120" w:after="120"/>
      <w:ind w:left="0" w:firstLine="0"/>
      <w:jc w:val="both"/>
    </w:pPr>
    <w:rPr>
      <w:rFonts w:eastAsia="Calibri"/>
      <w:szCs w:val="22"/>
      <w:lang w:val="en-GB" w:eastAsia="en-US"/>
    </w:rPr>
  </w:style>
  <w:style w:type="paragraph" w:customStyle="1" w:styleId="Bullet0">
    <w:name w:val="Bullet 0"/>
    <w:basedOn w:val="Normal"/>
    <w:rsid w:val="001D7FBB"/>
    <w:pPr>
      <w:numPr>
        <w:numId w:val="31"/>
      </w:numPr>
      <w:tabs>
        <w:tab w:val="clear" w:pos="850"/>
      </w:tabs>
      <w:spacing w:before="120" w:after="120"/>
      <w:ind w:left="0" w:firstLine="0"/>
      <w:jc w:val="both"/>
    </w:pPr>
    <w:rPr>
      <w:rFonts w:eastAsia="Calibri"/>
      <w:szCs w:val="22"/>
      <w:lang w:val="en-GB" w:eastAsia="en-US"/>
    </w:rPr>
  </w:style>
  <w:style w:type="paragraph" w:customStyle="1" w:styleId="Bullet1">
    <w:name w:val="Bullet 1"/>
    <w:basedOn w:val="Normal"/>
    <w:rsid w:val="001D7FBB"/>
    <w:pPr>
      <w:numPr>
        <w:numId w:val="41"/>
      </w:numPr>
      <w:tabs>
        <w:tab w:val="clear" w:pos="1417"/>
      </w:tabs>
      <w:spacing w:before="120" w:after="120"/>
      <w:ind w:left="0" w:firstLine="0"/>
      <w:jc w:val="both"/>
    </w:pPr>
    <w:rPr>
      <w:rFonts w:eastAsia="Calibri"/>
      <w:szCs w:val="22"/>
      <w:lang w:val="en-GB" w:eastAsia="en-US"/>
    </w:rPr>
  </w:style>
  <w:style w:type="paragraph" w:customStyle="1" w:styleId="Bullet2">
    <w:name w:val="Bullet 2"/>
    <w:basedOn w:val="Normal"/>
    <w:rsid w:val="001D7FBB"/>
    <w:pPr>
      <w:numPr>
        <w:numId w:val="42"/>
      </w:numPr>
      <w:tabs>
        <w:tab w:val="clear" w:pos="1984"/>
      </w:tabs>
      <w:spacing w:before="120" w:after="120"/>
      <w:ind w:left="0" w:firstLine="0"/>
      <w:jc w:val="both"/>
    </w:pPr>
    <w:rPr>
      <w:rFonts w:eastAsia="Calibri"/>
      <w:szCs w:val="22"/>
      <w:lang w:val="en-GB" w:eastAsia="en-US"/>
    </w:rPr>
  </w:style>
  <w:style w:type="paragraph" w:customStyle="1" w:styleId="Bullet3">
    <w:name w:val="Bullet 3"/>
    <w:basedOn w:val="Normal"/>
    <w:rsid w:val="001D7FBB"/>
    <w:pPr>
      <w:numPr>
        <w:numId w:val="43"/>
      </w:numPr>
      <w:tabs>
        <w:tab w:val="clear" w:pos="2551"/>
      </w:tabs>
      <w:spacing w:before="120" w:after="120"/>
      <w:ind w:left="0" w:firstLine="0"/>
      <w:jc w:val="both"/>
    </w:pPr>
    <w:rPr>
      <w:rFonts w:eastAsia="Calibri"/>
      <w:szCs w:val="22"/>
      <w:lang w:val="en-GB" w:eastAsia="en-US"/>
    </w:rPr>
  </w:style>
  <w:style w:type="paragraph" w:customStyle="1" w:styleId="Bullet4">
    <w:name w:val="Bullet 4"/>
    <w:basedOn w:val="Normal"/>
    <w:rsid w:val="001D7FBB"/>
    <w:pPr>
      <w:numPr>
        <w:numId w:val="44"/>
      </w:numPr>
      <w:tabs>
        <w:tab w:val="clear" w:pos="3118"/>
      </w:tabs>
      <w:spacing w:before="120" w:after="120"/>
      <w:ind w:left="0" w:firstLine="0"/>
      <w:jc w:val="both"/>
    </w:pPr>
    <w:rPr>
      <w:rFonts w:eastAsia="Calibri"/>
      <w:szCs w:val="22"/>
      <w:lang w:val="en-GB" w:eastAsia="en-US"/>
    </w:rPr>
  </w:style>
  <w:style w:type="paragraph" w:customStyle="1" w:styleId="Langue">
    <w:name w:val="Langue"/>
    <w:basedOn w:val="Normal"/>
    <w:next w:val="Rfrenceinterne"/>
    <w:rsid w:val="001D7FBB"/>
    <w:pPr>
      <w:framePr w:wrap="around" w:vAnchor="page" w:hAnchor="text" w:xAlign="center" w:y="14741"/>
      <w:spacing w:after="600"/>
      <w:jc w:val="center"/>
    </w:pPr>
    <w:rPr>
      <w:rFonts w:eastAsia="Calibri"/>
      <w:b/>
      <w:caps/>
      <w:szCs w:val="22"/>
      <w:lang w:val="en-GB" w:eastAsia="en-US"/>
    </w:rPr>
  </w:style>
  <w:style w:type="paragraph" w:customStyle="1" w:styleId="Nomdelinstitution">
    <w:name w:val="Nom de l'institution"/>
    <w:basedOn w:val="Normal"/>
    <w:next w:val="Emission"/>
    <w:rsid w:val="001D7FBB"/>
    <w:rPr>
      <w:rFonts w:ascii="Arial" w:eastAsia="Calibri" w:hAnsi="Arial" w:cs="Arial"/>
      <w:szCs w:val="22"/>
      <w:lang w:val="en-GB" w:eastAsia="en-US"/>
    </w:rPr>
  </w:style>
  <w:style w:type="paragraph" w:customStyle="1" w:styleId="Emission">
    <w:name w:val="Emission"/>
    <w:basedOn w:val="Normal"/>
    <w:next w:val="Rfrenceinstitutionnelle"/>
    <w:rsid w:val="001D7FBB"/>
    <w:pPr>
      <w:ind w:left="5103"/>
    </w:pPr>
    <w:rPr>
      <w:rFonts w:eastAsia="Calibri"/>
      <w:szCs w:val="22"/>
      <w:lang w:val="en-GB" w:eastAsia="en-US"/>
    </w:rPr>
  </w:style>
  <w:style w:type="paragraph" w:customStyle="1" w:styleId="Rfrenceinstitutionnelle">
    <w:name w:val="Référence institutionnelle"/>
    <w:basedOn w:val="Normal"/>
    <w:next w:val="Confidentialit"/>
    <w:rsid w:val="001D7FBB"/>
    <w:pPr>
      <w:spacing w:after="240"/>
      <w:ind w:left="5103"/>
    </w:pPr>
    <w:rPr>
      <w:rFonts w:eastAsia="Calibri"/>
      <w:szCs w:val="22"/>
      <w:lang w:val="en-GB" w:eastAsia="en-US"/>
    </w:rPr>
  </w:style>
  <w:style w:type="paragraph" w:customStyle="1" w:styleId="Pagedecouverture">
    <w:name w:val="Page de couverture"/>
    <w:basedOn w:val="Normal"/>
    <w:next w:val="Normal"/>
    <w:rsid w:val="001D7FBB"/>
    <w:pPr>
      <w:jc w:val="both"/>
    </w:pPr>
    <w:rPr>
      <w:rFonts w:eastAsia="Calibri"/>
      <w:szCs w:val="22"/>
      <w:lang w:val="en-GB" w:eastAsia="en-US"/>
    </w:rPr>
  </w:style>
  <w:style w:type="paragraph" w:customStyle="1" w:styleId="Declassification">
    <w:name w:val="Declassification"/>
    <w:basedOn w:val="Normal"/>
    <w:next w:val="Normal"/>
    <w:rsid w:val="001D7FBB"/>
    <w:pPr>
      <w:jc w:val="both"/>
    </w:pPr>
    <w:rPr>
      <w:rFonts w:eastAsia="Calibri"/>
      <w:szCs w:val="22"/>
      <w:lang w:val="en-GB" w:eastAsia="en-US"/>
    </w:rPr>
  </w:style>
  <w:style w:type="paragraph" w:customStyle="1" w:styleId="Disclaimer">
    <w:name w:val="Disclaimer"/>
    <w:basedOn w:val="Normal"/>
    <w:rsid w:val="001D7FB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val="en-GB" w:eastAsia="en-US"/>
    </w:rPr>
  </w:style>
  <w:style w:type="paragraph" w:customStyle="1" w:styleId="SecurityMarking">
    <w:name w:val="SecurityMarking"/>
    <w:basedOn w:val="Normal"/>
    <w:rsid w:val="001D7FBB"/>
    <w:pPr>
      <w:spacing w:line="276" w:lineRule="auto"/>
      <w:ind w:left="5103"/>
    </w:pPr>
    <w:rPr>
      <w:rFonts w:eastAsia="Calibri"/>
      <w:sz w:val="28"/>
      <w:szCs w:val="22"/>
      <w:lang w:val="en-GB" w:eastAsia="en-US"/>
    </w:rPr>
  </w:style>
  <w:style w:type="paragraph" w:customStyle="1" w:styleId="DateMarking">
    <w:name w:val="DateMarking"/>
    <w:basedOn w:val="Normal"/>
    <w:rsid w:val="001D7FBB"/>
    <w:pPr>
      <w:spacing w:line="276" w:lineRule="auto"/>
      <w:ind w:left="5103"/>
    </w:pPr>
    <w:rPr>
      <w:rFonts w:eastAsia="Calibri"/>
      <w:i/>
      <w:sz w:val="28"/>
      <w:szCs w:val="22"/>
      <w:lang w:val="en-GB" w:eastAsia="en-US"/>
    </w:rPr>
  </w:style>
  <w:style w:type="paragraph" w:customStyle="1" w:styleId="ReleasableTo">
    <w:name w:val="ReleasableTo"/>
    <w:basedOn w:val="Normal"/>
    <w:rsid w:val="001D7FBB"/>
    <w:pPr>
      <w:spacing w:line="276" w:lineRule="auto"/>
      <w:ind w:left="5103"/>
    </w:pPr>
    <w:rPr>
      <w:rFonts w:eastAsia="Calibri"/>
      <w:i/>
      <w:sz w:val="28"/>
      <w:szCs w:val="22"/>
      <w:lang w:val="en-GB" w:eastAsia="en-US"/>
    </w:rPr>
  </w:style>
  <w:style w:type="paragraph" w:customStyle="1" w:styleId="Annexetitreexpos">
    <w:name w:val="Annexe titre (exposé)"/>
    <w:basedOn w:val="Normal"/>
    <w:next w:val="Normal"/>
    <w:rsid w:val="001D7FBB"/>
    <w:pPr>
      <w:spacing w:before="120" w:after="120"/>
      <w:jc w:val="center"/>
    </w:pPr>
    <w:rPr>
      <w:rFonts w:eastAsia="Calibri"/>
      <w:b/>
      <w:szCs w:val="22"/>
      <w:u w:val="single"/>
      <w:lang w:val="en-GB" w:eastAsia="en-US"/>
    </w:rPr>
  </w:style>
  <w:style w:type="paragraph" w:customStyle="1" w:styleId="Annexetitre">
    <w:name w:val="Annexe titre"/>
    <w:basedOn w:val="Normal"/>
    <w:next w:val="Normal"/>
    <w:rsid w:val="001D7FBB"/>
    <w:pPr>
      <w:spacing w:before="120" w:after="120"/>
      <w:jc w:val="center"/>
    </w:pPr>
    <w:rPr>
      <w:rFonts w:eastAsia="Calibri"/>
      <w:b/>
      <w:szCs w:val="22"/>
      <w:u w:val="single"/>
      <w:lang w:val="en-GB" w:eastAsia="en-US"/>
    </w:rPr>
  </w:style>
  <w:style w:type="paragraph" w:customStyle="1" w:styleId="Annexetitrefichefinancire">
    <w:name w:val="Annexe titre (fiche financière)"/>
    <w:basedOn w:val="Normal"/>
    <w:next w:val="Normal"/>
    <w:rsid w:val="001D7FBB"/>
    <w:pPr>
      <w:spacing w:before="120" w:after="120"/>
      <w:jc w:val="center"/>
    </w:pPr>
    <w:rPr>
      <w:rFonts w:eastAsia="Calibri"/>
      <w:b/>
      <w:szCs w:val="22"/>
      <w:u w:val="single"/>
      <w:lang w:val="en-GB" w:eastAsia="en-US"/>
    </w:rPr>
  </w:style>
  <w:style w:type="paragraph" w:customStyle="1" w:styleId="Applicationdirecte">
    <w:name w:val="Application directe"/>
    <w:basedOn w:val="Normal"/>
    <w:next w:val="Fait"/>
    <w:rsid w:val="001D7FBB"/>
    <w:pPr>
      <w:spacing w:before="480" w:after="120"/>
      <w:jc w:val="both"/>
    </w:pPr>
    <w:rPr>
      <w:rFonts w:eastAsia="Calibri"/>
      <w:szCs w:val="22"/>
      <w:lang w:val="en-GB" w:eastAsia="en-US"/>
    </w:rPr>
  </w:style>
  <w:style w:type="paragraph" w:customStyle="1" w:styleId="Avertissementtitre">
    <w:name w:val="Avertissement titre"/>
    <w:basedOn w:val="Normal"/>
    <w:next w:val="Normal"/>
    <w:rsid w:val="001D7FBB"/>
    <w:pPr>
      <w:keepNext/>
      <w:spacing w:before="480" w:after="120"/>
      <w:jc w:val="both"/>
    </w:pPr>
    <w:rPr>
      <w:rFonts w:eastAsia="Calibri"/>
      <w:szCs w:val="22"/>
      <w:u w:val="single"/>
      <w:lang w:val="en-GB" w:eastAsia="en-US"/>
    </w:rPr>
  </w:style>
  <w:style w:type="paragraph" w:customStyle="1" w:styleId="Confidence">
    <w:name w:val="Confidence"/>
    <w:basedOn w:val="Normal"/>
    <w:next w:val="Normal"/>
    <w:rsid w:val="001D7FBB"/>
    <w:pPr>
      <w:spacing w:before="360" w:after="120"/>
      <w:jc w:val="center"/>
    </w:pPr>
    <w:rPr>
      <w:rFonts w:eastAsia="Calibri"/>
      <w:szCs w:val="22"/>
      <w:lang w:val="en-GB" w:eastAsia="en-US"/>
    </w:rPr>
  </w:style>
  <w:style w:type="paragraph" w:customStyle="1" w:styleId="Confidentialit">
    <w:name w:val="Confidentialité"/>
    <w:basedOn w:val="Normal"/>
    <w:next w:val="TypedudocumentPagedecouverture"/>
    <w:rsid w:val="001D7FBB"/>
    <w:pPr>
      <w:spacing w:before="240" w:after="240"/>
      <w:ind w:left="5103"/>
    </w:pPr>
    <w:rPr>
      <w:rFonts w:eastAsia="Calibri"/>
      <w:i/>
      <w:sz w:val="32"/>
      <w:szCs w:val="22"/>
      <w:lang w:val="en-GB" w:eastAsia="en-US"/>
    </w:rPr>
  </w:style>
  <w:style w:type="paragraph" w:customStyle="1" w:styleId="Considrant">
    <w:name w:val="Considérant"/>
    <w:basedOn w:val="Normal"/>
    <w:rsid w:val="001D7FBB"/>
    <w:pPr>
      <w:numPr>
        <w:numId w:val="26"/>
      </w:numPr>
      <w:tabs>
        <w:tab w:val="clear" w:pos="709"/>
      </w:tabs>
      <w:spacing w:before="120" w:after="120"/>
      <w:ind w:left="0" w:firstLine="0"/>
      <w:jc w:val="both"/>
    </w:pPr>
    <w:rPr>
      <w:rFonts w:eastAsia="Calibri"/>
      <w:szCs w:val="22"/>
      <w:lang w:val="en-GB" w:eastAsia="en-US"/>
    </w:rPr>
  </w:style>
  <w:style w:type="paragraph" w:customStyle="1" w:styleId="Corrigendum">
    <w:name w:val="Corrigendum"/>
    <w:basedOn w:val="Normal"/>
    <w:next w:val="Normal"/>
    <w:rsid w:val="001D7FBB"/>
    <w:pPr>
      <w:spacing w:after="240"/>
    </w:pPr>
    <w:rPr>
      <w:rFonts w:eastAsia="Calibri"/>
      <w:szCs w:val="22"/>
      <w:lang w:val="en-GB" w:eastAsia="en-US"/>
    </w:rPr>
  </w:style>
  <w:style w:type="paragraph" w:customStyle="1" w:styleId="Datedadoption">
    <w:name w:val="Date d'adoption"/>
    <w:basedOn w:val="Normal"/>
    <w:next w:val="Titreobjet"/>
    <w:rsid w:val="001D7FBB"/>
    <w:pPr>
      <w:spacing w:before="360"/>
      <w:jc w:val="center"/>
    </w:pPr>
    <w:rPr>
      <w:rFonts w:eastAsia="Calibri"/>
      <w:b/>
      <w:szCs w:val="22"/>
      <w:lang w:val="en-GB" w:eastAsia="en-US"/>
    </w:rPr>
  </w:style>
  <w:style w:type="paragraph" w:customStyle="1" w:styleId="Exposdesmotifstitre">
    <w:name w:val="Exposé des motifs titre"/>
    <w:basedOn w:val="Normal"/>
    <w:next w:val="Normal"/>
    <w:rsid w:val="001D7FBB"/>
    <w:pPr>
      <w:spacing w:before="120" w:after="120"/>
      <w:jc w:val="center"/>
    </w:pPr>
    <w:rPr>
      <w:rFonts w:eastAsia="Calibri"/>
      <w:b/>
      <w:szCs w:val="22"/>
      <w:u w:val="single"/>
      <w:lang w:val="en-GB" w:eastAsia="en-US"/>
    </w:rPr>
  </w:style>
  <w:style w:type="paragraph" w:customStyle="1" w:styleId="Fait">
    <w:name w:val="Fait à"/>
    <w:basedOn w:val="Normal"/>
    <w:next w:val="Institutionquisigne"/>
    <w:rsid w:val="001D7FBB"/>
    <w:pPr>
      <w:keepNext/>
      <w:spacing w:before="120"/>
      <w:jc w:val="both"/>
    </w:pPr>
    <w:rPr>
      <w:rFonts w:eastAsia="Calibri"/>
      <w:szCs w:val="22"/>
      <w:lang w:val="en-GB" w:eastAsia="en-US"/>
    </w:rPr>
  </w:style>
  <w:style w:type="paragraph" w:customStyle="1" w:styleId="Formuledadoption">
    <w:name w:val="Formule d'adoption"/>
    <w:basedOn w:val="Normal"/>
    <w:next w:val="Titrearticle"/>
    <w:rsid w:val="001D7FBB"/>
    <w:pPr>
      <w:keepNext/>
      <w:spacing w:before="120" w:after="120"/>
      <w:jc w:val="both"/>
    </w:pPr>
    <w:rPr>
      <w:rFonts w:eastAsia="Calibri"/>
      <w:szCs w:val="22"/>
      <w:lang w:val="en-GB" w:eastAsia="en-US"/>
    </w:rPr>
  </w:style>
  <w:style w:type="paragraph" w:customStyle="1" w:styleId="Institutionquiagit">
    <w:name w:val="Institution qui agit"/>
    <w:basedOn w:val="Normal"/>
    <w:next w:val="Normal"/>
    <w:rsid w:val="001D7FBB"/>
    <w:pPr>
      <w:keepNext/>
      <w:spacing w:before="600" w:after="120"/>
      <w:jc w:val="both"/>
    </w:pPr>
    <w:rPr>
      <w:rFonts w:eastAsia="Calibri"/>
      <w:szCs w:val="22"/>
      <w:lang w:val="en-GB" w:eastAsia="en-US"/>
    </w:rPr>
  </w:style>
  <w:style w:type="paragraph" w:customStyle="1" w:styleId="Institutionquisigne">
    <w:name w:val="Institution qui signe"/>
    <w:basedOn w:val="Normal"/>
    <w:next w:val="Personnequisigne"/>
    <w:rsid w:val="001D7FBB"/>
    <w:pPr>
      <w:keepNext/>
      <w:tabs>
        <w:tab w:val="left" w:pos="4252"/>
      </w:tabs>
      <w:spacing w:before="720"/>
      <w:jc w:val="both"/>
    </w:pPr>
    <w:rPr>
      <w:rFonts w:eastAsia="Calibri"/>
      <w:i/>
      <w:szCs w:val="22"/>
      <w:lang w:val="en-GB" w:eastAsia="en-US"/>
    </w:rPr>
  </w:style>
  <w:style w:type="paragraph" w:customStyle="1" w:styleId="ManualConsidrant">
    <w:name w:val="Manual Considérant"/>
    <w:basedOn w:val="Normal"/>
    <w:rsid w:val="001D7FBB"/>
    <w:pPr>
      <w:spacing w:before="120" w:after="120"/>
      <w:ind w:left="709" w:hanging="709"/>
      <w:jc w:val="both"/>
    </w:pPr>
    <w:rPr>
      <w:rFonts w:eastAsia="Calibri"/>
      <w:szCs w:val="22"/>
      <w:lang w:val="en-GB" w:eastAsia="en-US"/>
    </w:rPr>
  </w:style>
  <w:style w:type="paragraph" w:customStyle="1" w:styleId="Personnequisigne">
    <w:name w:val="Personne qui signe"/>
    <w:basedOn w:val="Normal"/>
    <w:next w:val="Institutionquisigne"/>
    <w:rsid w:val="001D7FBB"/>
    <w:pPr>
      <w:tabs>
        <w:tab w:val="left" w:pos="4252"/>
      </w:tabs>
    </w:pPr>
    <w:rPr>
      <w:rFonts w:eastAsia="Calibri"/>
      <w:i/>
      <w:szCs w:val="22"/>
      <w:lang w:val="en-GB" w:eastAsia="en-US"/>
    </w:rPr>
  </w:style>
  <w:style w:type="paragraph" w:customStyle="1" w:styleId="Rfrenceinterinstitutionnelle">
    <w:name w:val="Référence interinstitutionnelle"/>
    <w:basedOn w:val="Normal"/>
    <w:next w:val="Statut"/>
    <w:rsid w:val="001D7FBB"/>
    <w:pPr>
      <w:ind w:left="5103"/>
    </w:pPr>
    <w:rPr>
      <w:rFonts w:eastAsia="Calibri"/>
      <w:szCs w:val="22"/>
      <w:lang w:val="en-GB" w:eastAsia="en-US"/>
    </w:rPr>
  </w:style>
  <w:style w:type="paragraph" w:customStyle="1" w:styleId="Rfrenceinterne">
    <w:name w:val="Référence interne"/>
    <w:basedOn w:val="Normal"/>
    <w:next w:val="Rfrenceinterinstitutionnelle"/>
    <w:rsid w:val="001D7FBB"/>
    <w:pPr>
      <w:ind w:left="5103"/>
    </w:pPr>
    <w:rPr>
      <w:rFonts w:eastAsia="Calibri"/>
      <w:szCs w:val="22"/>
      <w:lang w:val="en-GB" w:eastAsia="en-US"/>
    </w:rPr>
  </w:style>
  <w:style w:type="paragraph" w:customStyle="1" w:styleId="Statut">
    <w:name w:val="Statut"/>
    <w:basedOn w:val="Normal"/>
    <w:next w:val="Typedudocument"/>
    <w:rsid w:val="001D7FBB"/>
    <w:pPr>
      <w:spacing w:before="360"/>
      <w:jc w:val="center"/>
    </w:pPr>
    <w:rPr>
      <w:rFonts w:eastAsia="Calibri"/>
      <w:szCs w:val="22"/>
      <w:lang w:val="en-GB" w:eastAsia="en-US"/>
    </w:rPr>
  </w:style>
  <w:style w:type="paragraph" w:customStyle="1" w:styleId="Titrearticle">
    <w:name w:val="Titre article"/>
    <w:basedOn w:val="Normal"/>
    <w:next w:val="Normal"/>
    <w:rsid w:val="001D7FBB"/>
    <w:pPr>
      <w:keepNext/>
      <w:spacing w:before="360" w:after="120"/>
      <w:jc w:val="center"/>
    </w:pPr>
    <w:rPr>
      <w:rFonts w:eastAsia="Calibri"/>
      <w:i/>
      <w:szCs w:val="22"/>
      <w:lang w:val="en-GB" w:eastAsia="en-US"/>
    </w:rPr>
  </w:style>
  <w:style w:type="paragraph" w:customStyle="1" w:styleId="Titreobjet">
    <w:name w:val="Titre objet"/>
    <w:basedOn w:val="Normal"/>
    <w:next w:val="IntrtEEE"/>
    <w:rsid w:val="001D7FBB"/>
    <w:pPr>
      <w:spacing w:before="360" w:after="360"/>
      <w:jc w:val="center"/>
    </w:pPr>
    <w:rPr>
      <w:rFonts w:eastAsia="Calibri"/>
      <w:b/>
      <w:szCs w:val="22"/>
      <w:lang w:val="en-GB" w:eastAsia="en-US"/>
    </w:rPr>
  </w:style>
  <w:style w:type="paragraph" w:customStyle="1" w:styleId="Typedudocument">
    <w:name w:val="Type du document"/>
    <w:basedOn w:val="Normal"/>
    <w:next w:val="Titreobjet"/>
    <w:rsid w:val="001D7FBB"/>
    <w:pPr>
      <w:spacing w:before="360"/>
      <w:jc w:val="center"/>
    </w:pPr>
    <w:rPr>
      <w:rFonts w:eastAsia="Calibri"/>
      <w:b/>
      <w:szCs w:val="22"/>
      <w:lang w:val="en-GB" w:eastAsia="en-US"/>
    </w:rPr>
  </w:style>
  <w:style w:type="character" w:customStyle="1" w:styleId="Added">
    <w:name w:val="Added"/>
    <w:basedOn w:val="DefaultParagraphFont"/>
    <w:rsid w:val="001D7FBB"/>
    <w:rPr>
      <w:b/>
      <w:u w:val="single"/>
      <w:shd w:val="clear" w:color="auto" w:fill="auto"/>
    </w:rPr>
  </w:style>
  <w:style w:type="character" w:customStyle="1" w:styleId="Deleted">
    <w:name w:val="Deleted"/>
    <w:basedOn w:val="DefaultParagraphFont"/>
    <w:rsid w:val="001D7FBB"/>
    <w:rPr>
      <w:strike/>
      <w:dstrike w:val="0"/>
      <w:shd w:val="clear" w:color="auto" w:fill="auto"/>
    </w:rPr>
  </w:style>
  <w:style w:type="paragraph" w:customStyle="1" w:styleId="Address">
    <w:name w:val="Address"/>
    <w:basedOn w:val="Normal"/>
    <w:next w:val="Normal"/>
    <w:rsid w:val="001D7FBB"/>
    <w:pPr>
      <w:keepLines/>
      <w:spacing w:before="120" w:after="120" w:line="360" w:lineRule="auto"/>
      <w:ind w:left="3402"/>
    </w:pPr>
    <w:rPr>
      <w:rFonts w:eastAsia="Calibri"/>
      <w:szCs w:val="22"/>
      <w:lang w:val="en-GB" w:eastAsia="en-US"/>
    </w:rPr>
  </w:style>
  <w:style w:type="paragraph" w:customStyle="1" w:styleId="Objetexterne">
    <w:name w:val="Objet externe"/>
    <w:basedOn w:val="Normal"/>
    <w:next w:val="Normal"/>
    <w:rsid w:val="001D7FBB"/>
    <w:pPr>
      <w:spacing w:before="120" w:after="120"/>
      <w:jc w:val="both"/>
    </w:pPr>
    <w:rPr>
      <w:rFonts w:eastAsia="Calibri"/>
      <w:i/>
      <w:caps/>
      <w:szCs w:val="22"/>
      <w:lang w:val="en-GB" w:eastAsia="en-US"/>
    </w:rPr>
  </w:style>
  <w:style w:type="paragraph" w:customStyle="1" w:styleId="Supertitre">
    <w:name w:val="Supertitre"/>
    <w:basedOn w:val="Normal"/>
    <w:next w:val="Normal"/>
    <w:rsid w:val="001D7FBB"/>
    <w:pPr>
      <w:spacing w:after="600"/>
      <w:jc w:val="center"/>
    </w:pPr>
    <w:rPr>
      <w:rFonts w:eastAsia="Calibri"/>
      <w:b/>
      <w:szCs w:val="22"/>
      <w:lang w:val="en-GB" w:eastAsia="en-US"/>
    </w:rPr>
  </w:style>
  <w:style w:type="paragraph" w:customStyle="1" w:styleId="Languesfaisantfoi">
    <w:name w:val="Langues faisant foi"/>
    <w:basedOn w:val="Normal"/>
    <w:next w:val="Normal"/>
    <w:rsid w:val="001D7FBB"/>
    <w:pPr>
      <w:spacing w:before="360" w:after="240"/>
      <w:jc w:val="center"/>
    </w:pPr>
    <w:rPr>
      <w:rFonts w:eastAsia="Calibri"/>
      <w:szCs w:val="22"/>
      <w:lang w:val="en-GB" w:eastAsia="en-US"/>
    </w:rPr>
  </w:style>
  <w:style w:type="paragraph" w:customStyle="1" w:styleId="Rfrencecroise">
    <w:name w:val="Référence croisée"/>
    <w:basedOn w:val="Normal"/>
    <w:rsid w:val="001D7FBB"/>
    <w:pPr>
      <w:jc w:val="center"/>
    </w:pPr>
    <w:rPr>
      <w:rFonts w:eastAsia="Calibri"/>
      <w:szCs w:val="22"/>
      <w:lang w:val="en-GB" w:eastAsia="en-US"/>
    </w:rPr>
  </w:style>
  <w:style w:type="paragraph" w:customStyle="1" w:styleId="Fichefinanciretitre">
    <w:name w:val="Fiche financière titre"/>
    <w:basedOn w:val="Normal"/>
    <w:next w:val="Normal"/>
    <w:rsid w:val="001D7FBB"/>
    <w:pPr>
      <w:spacing w:before="120" w:after="120"/>
      <w:jc w:val="center"/>
    </w:pPr>
    <w:rPr>
      <w:rFonts w:eastAsia="Calibri"/>
      <w:b/>
      <w:szCs w:val="22"/>
      <w:u w:val="single"/>
      <w:lang w:val="en-GB" w:eastAsia="en-US"/>
    </w:rPr>
  </w:style>
  <w:style w:type="paragraph" w:customStyle="1" w:styleId="DatedadoptionPagedecouverture">
    <w:name w:val="Date d'adoption (Page de couverture)"/>
    <w:basedOn w:val="Datedadoption"/>
    <w:next w:val="TitreobjetPagedecouverture"/>
    <w:rsid w:val="001D7FBB"/>
  </w:style>
  <w:style w:type="paragraph" w:customStyle="1" w:styleId="RfrenceinterinstitutionnellePagedecouverture">
    <w:name w:val="Référence interinstitutionnelle (Page de couverture)"/>
    <w:basedOn w:val="Rfrenceinterinstitutionnelle"/>
    <w:next w:val="Confidentialit"/>
    <w:rsid w:val="001D7FBB"/>
  </w:style>
  <w:style w:type="paragraph" w:customStyle="1" w:styleId="StatutPagedecouverture">
    <w:name w:val="Statut (Page de couverture)"/>
    <w:basedOn w:val="Statut"/>
    <w:next w:val="TypedudocumentPagedecouverture"/>
    <w:rsid w:val="001D7FBB"/>
  </w:style>
  <w:style w:type="paragraph" w:customStyle="1" w:styleId="TitreobjetPagedecouverture">
    <w:name w:val="Titre objet (Page de couverture)"/>
    <w:basedOn w:val="Titreobjet"/>
    <w:next w:val="IntrtEEEPagedecouverture"/>
    <w:rsid w:val="001D7FBB"/>
  </w:style>
  <w:style w:type="paragraph" w:customStyle="1" w:styleId="TypedudocumentPagedecouverture">
    <w:name w:val="Type du document (Page de couverture)"/>
    <w:basedOn w:val="Typedudocument"/>
    <w:next w:val="TitreobjetPagedecouverture"/>
    <w:rsid w:val="001D7FBB"/>
  </w:style>
  <w:style w:type="paragraph" w:customStyle="1" w:styleId="Volume">
    <w:name w:val="Volume"/>
    <w:basedOn w:val="Normal"/>
    <w:next w:val="Confidentialit"/>
    <w:rsid w:val="001D7FBB"/>
    <w:pPr>
      <w:spacing w:after="240"/>
      <w:ind w:left="5103"/>
    </w:pPr>
    <w:rPr>
      <w:rFonts w:eastAsia="Calibri"/>
      <w:szCs w:val="22"/>
      <w:lang w:val="en-GB" w:eastAsia="en-US"/>
    </w:rPr>
  </w:style>
  <w:style w:type="paragraph" w:customStyle="1" w:styleId="IntrtEEE">
    <w:name w:val="Intérêt EEE"/>
    <w:basedOn w:val="Languesfaisantfoi"/>
    <w:next w:val="Normal"/>
    <w:rsid w:val="001D7FBB"/>
    <w:pPr>
      <w:spacing w:after="0"/>
    </w:pPr>
  </w:style>
  <w:style w:type="paragraph" w:customStyle="1" w:styleId="Accompagnant">
    <w:name w:val="Accompagnant"/>
    <w:basedOn w:val="Normal"/>
    <w:next w:val="Typeacteprincipal"/>
    <w:rsid w:val="001D7FBB"/>
    <w:pPr>
      <w:spacing w:after="240"/>
      <w:jc w:val="center"/>
    </w:pPr>
    <w:rPr>
      <w:rFonts w:eastAsia="Calibri"/>
      <w:b/>
      <w:i/>
      <w:szCs w:val="22"/>
      <w:lang w:val="en-GB" w:eastAsia="en-US"/>
    </w:rPr>
  </w:style>
  <w:style w:type="paragraph" w:customStyle="1" w:styleId="Typeacteprincipal">
    <w:name w:val="Type acte principal"/>
    <w:basedOn w:val="Normal"/>
    <w:next w:val="Objetacteprincipal"/>
    <w:rsid w:val="001D7FBB"/>
    <w:pPr>
      <w:spacing w:after="240"/>
      <w:jc w:val="center"/>
    </w:pPr>
    <w:rPr>
      <w:rFonts w:eastAsia="Calibri"/>
      <w:b/>
      <w:szCs w:val="22"/>
      <w:lang w:val="en-GB" w:eastAsia="en-US"/>
    </w:rPr>
  </w:style>
  <w:style w:type="paragraph" w:customStyle="1" w:styleId="Objetacteprincipal">
    <w:name w:val="Objet acte principal"/>
    <w:basedOn w:val="Normal"/>
    <w:next w:val="Titrearticle"/>
    <w:rsid w:val="001D7FBB"/>
    <w:pPr>
      <w:spacing w:after="360"/>
      <w:jc w:val="center"/>
    </w:pPr>
    <w:rPr>
      <w:rFonts w:eastAsia="Calibri"/>
      <w:b/>
      <w:szCs w:val="22"/>
      <w:lang w:val="en-GB" w:eastAsia="en-US"/>
    </w:rPr>
  </w:style>
  <w:style w:type="paragraph" w:customStyle="1" w:styleId="IntrtEEEPagedecouverture">
    <w:name w:val="Intérêt EEE (Page de couverture)"/>
    <w:basedOn w:val="IntrtEEE"/>
    <w:next w:val="Normal"/>
    <w:rsid w:val="001D7FBB"/>
  </w:style>
  <w:style w:type="paragraph" w:customStyle="1" w:styleId="AccompagnantPagedecouverture">
    <w:name w:val="Accompagnant (Page de couverture)"/>
    <w:basedOn w:val="Accompagnant"/>
    <w:next w:val="TypeacteprincipalPagedecouverture"/>
    <w:rsid w:val="001D7FBB"/>
  </w:style>
  <w:style w:type="paragraph" w:customStyle="1" w:styleId="TypeacteprincipalPagedecouverture">
    <w:name w:val="Type acte principal (Page de couverture)"/>
    <w:basedOn w:val="Typeacteprincipal"/>
    <w:next w:val="ObjetacteprincipalPagedecouverture"/>
    <w:rsid w:val="001D7FBB"/>
  </w:style>
  <w:style w:type="paragraph" w:customStyle="1" w:styleId="ObjetacteprincipalPagedecouverture">
    <w:name w:val="Objet acte principal (Page de couverture)"/>
    <w:basedOn w:val="Objetacteprincipal"/>
    <w:next w:val="Rfrencecroise"/>
    <w:rsid w:val="001D7FBB"/>
  </w:style>
  <w:style w:type="paragraph" w:customStyle="1" w:styleId="LanguesfaisantfoiPagedecouverture">
    <w:name w:val="Langues faisant foi (Page de couverture)"/>
    <w:basedOn w:val="Normal"/>
    <w:next w:val="Rfrencecroise"/>
    <w:rsid w:val="001D7FBB"/>
    <w:pPr>
      <w:spacing w:before="360" w:after="240"/>
      <w:jc w:val="center"/>
    </w:pPr>
    <w:rPr>
      <w:rFonts w:eastAsia="Calibri"/>
      <w:szCs w:val="22"/>
      <w:lang w:val="en-GB" w:eastAsia="en-US"/>
    </w:rPr>
  </w:style>
  <w:style w:type="paragraph" w:customStyle="1" w:styleId="HeaderLandscape">
    <w:name w:val="HeaderLandscape"/>
    <w:basedOn w:val="Normal"/>
    <w:rsid w:val="001D7FBB"/>
    <w:pPr>
      <w:tabs>
        <w:tab w:val="center" w:pos="7285"/>
        <w:tab w:val="right" w:pos="14003"/>
      </w:tabs>
      <w:spacing w:after="120"/>
      <w:jc w:val="both"/>
    </w:pPr>
    <w:rPr>
      <w:rFonts w:eastAsia="Calibri"/>
      <w:szCs w:val="22"/>
      <w:lang w:val="en-GB" w:eastAsia="en-US"/>
    </w:rPr>
  </w:style>
  <w:style w:type="paragraph" w:customStyle="1" w:styleId="FooterLandscape">
    <w:name w:val="FooterLandscape"/>
    <w:basedOn w:val="Normal"/>
    <w:rsid w:val="001D7FBB"/>
    <w:pPr>
      <w:tabs>
        <w:tab w:val="center" w:pos="7285"/>
        <w:tab w:val="center" w:pos="10913"/>
        <w:tab w:val="right" w:pos="15137"/>
      </w:tabs>
      <w:spacing w:before="360"/>
      <w:ind w:left="-567" w:right="-567"/>
    </w:pPr>
    <w:rPr>
      <w:rFonts w:eastAsia="Calibri"/>
      <w:szCs w:val="22"/>
      <w:lang w:val="en-GB" w:eastAsia="en-US"/>
    </w:rPr>
  </w:style>
  <w:style w:type="table" w:customStyle="1" w:styleId="TableGrid1">
    <w:name w:val="Table Grid1"/>
    <w:basedOn w:val="TableNormal"/>
    <w:next w:val="TableGrid"/>
    <w:uiPriority w:val="39"/>
    <w:rsid w:val="001D7FBB"/>
    <w:rPr>
      <w:rFonts w:ascii="Calibri" w:eastAsia="Calibri" w:hAnsi="Calibri" w:cs="Arial"/>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D7FBB"/>
    <w:rPr>
      <w:rFonts w:ascii="Calibri" w:eastAsia="Calibri" w:hAnsi="Calibri" w:cs="Arial"/>
      <w:kern w:val="2"/>
      <w:sz w:val="24"/>
      <w:szCs w:val="24"/>
      <w:lang w:val="en-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1">
    <w:name w:val="Heading 6 Char1"/>
    <w:basedOn w:val="DefaultParagraphFont"/>
    <w:semiHidden/>
    <w:rsid w:val="001D7FBB"/>
    <w:rPr>
      <w:rFonts w:asciiTheme="majorHAnsi" w:eastAsiaTheme="majorEastAsia" w:hAnsiTheme="majorHAnsi" w:cstheme="majorBidi"/>
      <w:color w:val="1F4D78" w:themeColor="accent1" w:themeShade="7F"/>
      <w:sz w:val="24"/>
      <w:lang w:val="fr-FR"/>
    </w:rPr>
  </w:style>
  <w:style w:type="character" w:customStyle="1" w:styleId="Heading7Char1">
    <w:name w:val="Heading 7 Char1"/>
    <w:basedOn w:val="DefaultParagraphFont"/>
    <w:semiHidden/>
    <w:rsid w:val="001D7FBB"/>
    <w:rPr>
      <w:rFonts w:asciiTheme="majorHAnsi" w:eastAsiaTheme="majorEastAsia" w:hAnsiTheme="majorHAnsi" w:cstheme="majorBidi"/>
      <w:i/>
      <w:iCs/>
      <w:color w:val="1F4D78" w:themeColor="accent1" w:themeShade="7F"/>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4860</Words>
  <Characters>25254</Characters>
  <Application>Microsoft Office Word</Application>
  <DocSecurity>0</DocSecurity>
  <Lines>210</Lines>
  <Paragraphs>60</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SMITH Lyndsey</dc:creator>
  <cp:keywords/>
  <cp:lastModifiedBy>SMITH Lyndsey</cp:lastModifiedBy>
  <cp:revision>2</cp:revision>
  <cp:lastPrinted>2014-08-07T13:15:00Z</cp:lastPrinted>
  <dcterms:created xsi:type="dcterms:W3CDTF">2026-07-07T10:47:00Z</dcterms:created>
  <dcterms:modified xsi:type="dcterms:W3CDTF">2026-07-07T10:47:00Z</dcterms:modified>
</cp:coreProperties>
</file>