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636008" w14:paraId="3DFBAABD" w14:textId="77777777" w:rsidTr="00425111">
        <w:trPr>
          <w:trHeight w:hRule="exact" w:val="1418"/>
        </w:trPr>
        <w:tc>
          <w:tcPr>
            <w:tcW w:w="6804" w:type="dxa"/>
            <w:shd w:val="clear" w:color="auto" w:fill="auto"/>
            <w:vAlign w:val="center"/>
          </w:tcPr>
          <w:p w14:paraId="00B193DE" w14:textId="77777777" w:rsidR="00757DD5" w:rsidRPr="00636008" w:rsidRDefault="00104DAD" w:rsidP="00425111">
            <w:pPr>
              <w:pStyle w:val="EPName"/>
              <w:rPr>
                <w:lang w:val="en-GB"/>
              </w:rPr>
            </w:pPr>
            <w:proofErr w:type="spellStart"/>
            <w:r w:rsidRPr="00636008">
              <w:rPr>
                <w:lang w:val="en-GB"/>
              </w:rPr>
              <w:t>Europski</w:t>
            </w:r>
            <w:proofErr w:type="spellEnd"/>
            <w:r w:rsidRPr="00636008">
              <w:rPr>
                <w:lang w:val="en-GB"/>
              </w:rPr>
              <w:t xml:space="preserve"> </w:t>
            </w:r>
            <w:proofErr w:type="spellStart"/>
            <w:r w:rsidRPr="00636008">
              <w:rPr>
                <w:lang w:val="en-GB"/>
              </w:rPr>
              <w:t>parlament</w:t>
            </w:r>
            <w:proofErr w:type="spellEnd"/>
          </w:p>
          <w:p w14:paraId="37826F62" w14:textId="77777777" w:rsidR="00757DD5" w:rsidRPr="00636008" w:rsidRDefault="00104DAD" w:rsidP="00425111">
            <w:pPr>
              <w:pStyle w:val="EPTerm"/>
              <w:rPr>
                <w:rStyle w:val="HideTWBExt"/>
                <w:vanish w:val="0"/>
                <w:lang w:val="en-GB"/>
              </w:rPr>
            </w:pPr>
            <w:r w:rsidRPr="00636008">
              <w:rPr>
                <w:lang w:val="en-GB"/>
              </w:rPr>
              <w:t>2024-2029</w:t>
            </w:r>
          </w:p>
        </w:tc>
        <w:tc>
          <w:tcPr>
            <w:tcW w:w="2268" w:type="dxa"/>
            <w:shd w:val="clear" w:color="auto" w:fill="auto"/>
          </w:tcPr>
          <w:p w14:paraId="21F7E43D" w14:textId="77777777" w:rsidR="00757DD5" w:rsidRPr="00636008" w:rsidRDefault="00172070" w:rsidP="00425111">
            <w:pPr>
              <w:pStyle w:val="EPLogo"/>
            </w:pPr>
            <w:r w:rsidRPr="00636008">
              <w:rPr>
                <w:noProof/>
              </w:rPr>
              <w:drawing>
                <wp:inline distT="0" distB="0" distL="0" distR="0" wp14:anchorId="3F42BC12" wp14:editId="7E35D634">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14:paraId="7AD1DF6F" w14:textId="77777777" w:rsidR="008E7632" w:rsidRPr="00636008" w:rsidRDefault="008E7632" w:rsidP="008E7632">
      <w:pPr>
        <w:pStyle w:val="LineTop"/>
        <w:rPr>
          <w:lang w:val="en-GB"/>
        </w:rPr>
      </w:pPr>
    </w:p>
    <w:p w14:paraId="6075B02A" w14:textId="77777777" w:rsidR="008E7632" w:rsidRPr="00636008" w:rsidRDefault="00104DAD" w:rsidP="008E7632">
      <w:pPr>
        <w:pStyle w:val="ZSessionDoc"/>
        <w:rPr>
          <w:b/>
          <w:i w:val="0"/>
        </w:rPr>
      </w:pPr>
      <w:r w:rsidRPr="00636008">
        <w:rPr>
          <w:b/>
          <w:i w:val="0"/>
        </w:rPr>
        <w:t>USVOJENI TEKSTOVI</w:t>
      </w:r>
    </w:p>
    <w:p w14:paraId="1DF42B6E" w14:textId="77777777" w:rsidR="008E7632" w:rsidRPr="00636008" w:rsidRDefault="00104DAD" w:rsidP="008E7632">
      <w:pPr>
        <w:pStyle w:val="LineBottom"/>
      </w:pPr>
      <w:r w:rsidRPr="00636008">
        <w:rPr>
          <w:rFonts w:cs="Arial"/>
          <w:i/>
          <w:sz w:val="20"/>
          <w:szCs w:val="22"/>
        </w:rPr>
        <w:t xml:space="preserve"> </w:t>
      </w:r>
    </w:p>
    <w:p w14:paraId="3B32CB37" w14:textId="3794CDE7" w:rsidR="009C4014" w:rsidRPr="00636008" w:rsidRDefault="00104DAD" w:rsidP="008E7632">
      <w:pPr>
        <w:pStyle w:val="ATHeading1"/>
        <w:spacing w:before="480"/>
        <w:rPr>
          <w:lang w:val="en-GB"/>
        </w:rPr>
      </w:pPr>
      <w:bookmarkStart w:id="0" w:name="TA_Heading"/>
      <w:r w:rsidRPr="00636008">
        <w:rPr>
          <w:lang w:val="en-GB"/>
        </w:rPr>
        <w:t>P10_TA(2026)</w:t>
      </w:r>
      <w:bookmarkStart w:id="1" w:name="TANumber"/>
      <w:bookmarkEnd w:id="0"/>
      <w:r w:rsidRPr="00636008">
        <w:rPr>
          <w:lang w:val="en-GB"/>
        </w:rPr>
        <w:t>0</w:t>
      </w:r>
      <w:r w:rsidR="00636008" w:rsidRPr="00636008">
        <w:rPr>
          <w:lang w:val="en-GB"/>
        </w:rPr>
        <w:t>240</w:t>
      </w:r>
      <w:bookmarkEnd w:id="1"/>
    </w:p>
    <w:p w14:paraId="26AAD5EC" w14:textId="13632FAE" w:rsidR="009C4014" w:rsidRPr="00636008" w:rsidRDefault="002B0B24" w:rsidP="00104DAD">
      <w:pPr>
        <w:pStyle w:val="ATHeading2"/>
        <w:rPr>
          <w:lang w:val="en-GB"/>
        </w:rPr>
      </w:pPr>
      <w:bookmarkStart w:id="2" w:name="title"/>
      <w:r w:rsidRPr="00636008">
        <w:rPr>
          <w:bCs/>
          <w:lang w:val="en-GB"/>
        </w:rPr>
        <w:t>Privremena potpora i isplata predujmova s obzirom na povećane cijene gnojiva zbog krize na Bliskom istoku</w:t>
      </w:r>
      <w:bookmarkEnd w:id="2"/>
      <w:r w:rsidR="009C4014" w:rsidRPr="00636008">
        <w:rPr>
          <w:lang w:val="en-GB"/>
        </w:rPr>
        <w:t xml:space="preserve"> </w:t>
      </w:r>
      <w:bookmarkStart w:id="3" w:name="Etoiles"/>
      <w:bookmarkEnd w:id="3"/>
    </w:p>
    <w:p w14:paraId="02DD8984" w14:textId="77777777" w:rsidR="009C4014" w:rsidRPr="00636008" w:rsidRDefault="009C4014" w:rsidP="009C4014">
      <w:pPr>
        <w:rPr>
          <w:i/>
          <w:vanish/>
          <w:lang w:val="en-GB"/>
        </w:rPr>
      </w:pPr>
      <w:r w:rsidRPr="00636008">
        <w:rPr>
          <w:i/>
        </w:rPr>
        <w:fldChar w:fldCharType="begin"/>
      </w:r>
      <w:r w:rsidRPr="00636008">
        <w:rPr>
          <w:i/>
          <w:lang w:val="en-GB"/>
        </w:rPr>
        <w:instrText xml:space="preserve"> TC"</w:instrText>
      </w:r>
      <w:bookmarkStart w:id="4" w:name="DocNumber"/>
      <w:r w:rsidR="00104DAD" w:rsidRPr="00636008">
        <w:rPr>
          <w:i/>
          <w:lang w:val="en-GB"/>
        </w:rPr>
        <w:instrText>(C10-0139/2026)</w:instrText>
      </w:r>
      <w:bookmarkEnd w:id="4"/>
      <w:r w:rsidRPr="00636008">
        <w:rPr>
          <w:i/>
          <w:lang w:val="en-GB"/>
        </w:rPr>
        <w:instrText xml:space="preserve">"\l3 \n&gt; \* MERGEFORMAT </w:instrText>
      </w:r>
      <w:r w:rsidRPr="00636008">
        <w:rPr>
          <w:i/>
        </w:rPr>
        <w:fldChar w:fldCharType="end"/>
      </w:r>
    </w:p>
    <w:p w14:paraId="07F14B13" w14:textId="77777777" w:rsidR="00104DAD" w:rsidRPr="00636008" w:rsidRDefault="00104DAD" w:rsidP="009C4014">
      <w:pPr>
        <w:rPr>
          <w:vanish/>
          <w:lang w:val="en-GB"/>
        </w:rPr>
      </w:pPr>
      <w:bookmarkStart w:id="5" w:name="Commission"/>
      <w:proofErr w:type="spellStart"/>
      <w:r w:rsidRPr="00636008">
        <w:rPr>
          <w:vanish/>
          <w:lang w:val="en-GB"/>
        </w:rPr>
        <w:t>Odbor</w:t>
      </w:r>
      <w:proofErr w:type="spellEnd"/>
      <w:r w:rsidRPr="00636008">
        <w:rPr>
          <w:vanish/>
          <w:lang w:val="en-GB"/>
        </w:rPr>
        <w:t xml:space="preserve"> za </w:t>
      </w:r>
      <w:proofErr w:type="spellStart"/>
      <w:r w:rsidRPr="00636008">
        <w:rPr>
          <w:vanish/>
          <w:lang w:val="en-GB"/>
        </w:rPr>
        <w:t>poljoprivredu</w:t>
      </w:r>
      <w:proofErr w:type="spellEnd"/>
      <w:r w:rsidRPr="00636008">
        <w:rPr>
          <w:vanish/>
          <w:lang w:val="en-GB"/>
        </w:rPr>
        <w:t xml:space="preserve"> </w:t>
      </w:r>
      <w:proofErr w:type="spellStart"/>
      <w:r w:rsidRPr="00636008">
        <w:rPr>
          <w:vanish/>
          <w:lang w:val="en-GB"/>
        </w:rPr>
        <w:t>i</w:t>
      </w:r>
      <w:proofErr w:type="spellEnd"/>
      <w:r w:rsidRPr="00636008">
        <w:rPr>
          <w:vanish/>
          <w:lang w:val="en-GB"/>
        </w:rPr>
        <w:t xml:space="preserve"> </w:t>
      </w:r>
      <w:proofErr w:type="spellStart"/>
      <w:r w:rsidRPr="00636008">
        <w:rPr>
          <w:vanish/>
          <w:lang w:val="en-GB"/>
        </w:rPr>
        <w:t>ruralni</w:t>
      </w:r>
      <w:proofErr w:type="spellEnd"/>
      <w:r w:rsidRPr="00636008">
        <w:rPr>
          <w:vanish/>
          <w:lang w:val="en-GB"/>
        </w:rPr>
        <w:t xml:space="preserve"> </w:t>
      </w:r>
      <w:proofErr w:type="spellStart"/>
      <w:r w:rsidRPr="00636008">
        <w:rPr>
          <w:vanish/>
          <w:lang w:val="en-GB"/>
        </w:rPr>
        <w:t>razvoj</w:t>
      </w:r>
      <w:proofErr w:type="spellEnd"/>
    </w:p>
    <w:p w14:paraId="4ED9BB45" w14:textId="77777777" w:rsidR="009C4014" w:rsidRPr="00636008" w:rsidRDefault="00104DAD" w:rsidP="009C4014">
      <w:pPr>
        <w:rPr>
          <w:vanish/>
          <w:lang w:val="en-GB"/>
        </w:rPr>
      </w:pPr>
      <w:bookmarkStart w:id="6" w:name="PE"/>
      <w:bookmarkEnd w:id="5"/>
      <w:r w:rsidRPr="00636008">
        <w:rPr>
          <w:vanish/>
          <w:lang w:val="en-GB"/>
        </w:rPr>
        <w:t>PE789.799</w:t>
      </w:r>
      <w:bookmarkEnd w:id="6"/>
    </w:p>
    <w:p w14:paraId="1E37D7F9" w14:textId="236BC195" w:rsidR="002B0B24" w:rsidRPr="00636008" w:rsidRDefault="00104DAD" w:rsidP="002B0B24">
      <w:pPr>
        <w:pStyle w:val="ATHeading3"/>
        <w:rPr>
          <w:lang w:val="en-GB"/>
        </w:rPr>
      </w:pPr>
      <w:bookmarkStart w:id="7" w:name="Sujet"/>
      <w:r w:rsidRPr="00636008">
        <w:rPr>
          <w:lang w:val="hr-HR"/>
        </w:rPr>
        <w:t>Zakonodavna rezolucija Europskog parlamenta od 7. srpnja 2026. o Prijedlogu uredbe Europskog parlamenta i Vijeća o</w:t>
      </w:r>
      <w:bookmarkStart w:id="8" w:name="References"/>
      <w:bookmarkEnd w:id="7"/>
      <w:r w:rsidR="002B0B24" w:rsidRPr="00636008">
        <w:rPr>
          <w:lang w:val="hr-HR"/>
        </w:rPr>
        <w:t xml:space="preserve"> izmjeni Uredbe (EU) 2021/2115 u pogledu posebne vrste intervencije za pružanje izvanredne privremene potpore u okviru Europskog poljoprivrednog fonda za ruralni razvoj (EPFRR) i mogućnosti prilagodbe dodijeljenih sredstava za izravna plaćanja za kalendarsku godinu 2027. te Uredbe (EU) 2021/2116 u pogledu fleksibilnijih pravila za isplatu predujmova kao odgovor na povećane cijene gnojiva zbog krize na Bliskom istoku </w:t>
      </w:r>
      <w:r w:rsidR="002B0B24" w:rsidRPr="00636008">
        <w:rPr>
          <w:lang w:val="en-GB"/>
        </w:rPr>
        <w:t>(COM(2026)0282 – C10-0139/2026 – 2026/0150(COD))</w:t>
      </w:r>
    </w:p>
    <w:p w14:paraId="11F22CB6" w14:textId="69D2EA74" w:rsidR="009C4014" w:rsidRPr="00636008" w:rsidRDefault="00104DAD" w:rsidP="00BA68BC">
      <w:pPr>
        <w:pStyle w:val="Normal12"/>
        <w:spacing w:before="360"/>
        <w:rPr>
          <w:lang w:val="hr-HR"/>
        </w:rPr>
      </w:pPr>
      <w:r w:rsidRPr="00636008">
        <w:rPr>
          <w:b/>
          <w:bCs/>
          <w:lang w:val="hr-HR"/>
        </w:rPr>
        <w:t>(Redovni zakonodavni postupak: prvo čitanje)</w:t>
      </w:r>
      <w:bookmarkEnd w:id="8"/>
    </w:p>
    <w:p w14:paraId="12AA06D4" w14:textId="77777777" w:rsidR="006E5420" w:rsidRPr="00636008" w:rsidRDefault="00104DAD" w:rsidP="008B1C2E">
      <w:pPr>
        <w:pStyle w:val="Normal12"/>
        <w:spacing w:before="360"/>
        <w:rPr>
          <w:i/>
          <w:szCs w:val="24"/>
          <w:lang w:val="hr-HR"/>
        </w:rPr>
      </w:pPr>
      <w:bookmarkStart w:id="9" w:name="TextBodyBegin"/>
      <w:bookmarkEnd w:id="9"/>
      <w:r w:rsidRPr="00636008">
        <w:rPr>
          <w:i/>
          <w:szCs w:val="24"/>
          <w:lang w:val="hr-HR"/>
        </w:rPr>
        <w:t>Europski parlament,</w:t>
      </w:r>
    </w:p>
    <w:p w14:paraId="6904D3C0" w14:textId="4CA7475F" w:rsidR="00104DAD" w:rsidRPr="00636008" w:rsidRDefault="00104DAD" w:rsidP="00104DAD">
      <w:pPr>
        <w:pStyle w:val="NormalHanging12a"/>
      </w:pPr>
      <w:r w:rsidRPr="00636008">
        <w:t>–</w:t>
      </w:r>
      <w:r w:rsidRPr="00636008">
        <w:tab/>
        <w:t>uzimajući u obzir Prijedlog Komisije upućen Europskom parlamentu i Vijeću (COM(2026)0282),</w:t>
      </w:r>
    </w:p>
    <w:p w14:paraId="793C5965" w14:textId="6B0D23DD" w:rsidR="00104DAD" w:rsidRPr="00636008" w:rsidRDefault="00104DAD" w:rsidP="00104DAD">
      <w:pPr>
        <w:pStyle w:val="NormalHanging12a"/>
      </w:pPr>
      <w:r w:rsidRPr="00636008">
        <w:t>–</w:t>
      </w:r>
      <w:r w:rsidRPr="00636008">
        <w:tab/>
        <w:t xml:space="preserve">uzimajući u obzir članak 294. stavak 2. i članak </w:t>
      </w:r>
      <w:r w:rsidR="002B0B24" w:rsidRPr="00636008">
        <w:t>43</w:t>
      </w:r>
      <w:r w:rsidRPr="00636008">
        <w:t xml:space="preserve">. stavak </w:t>
      </w:r>
      <w:r w:rsidR="002B0B24" w:rsidRPr="00636008">
        <w:t>2</w:t>
      </w:r>
      <w:r w:rsidRPr="00636008">
        <w:t>. Ugovora o funkcioniranju Europske unije, u skladu s kojima je Komisija podnijela Prijedlog Parlamentu (C10</w:t>
      </w:r>
      <w:r w:rsidRPr="00636008">
        <w:noBreakHyphen/>
        <w:t>0139/2026),</w:t>
      </w:r>
    </w:p>
    <w:p w14:paraId="1B3E6012" w14:textId="77777777" w:rsidR="00104DAD" w:rsidRPr="00636008" w:rsidRDefault="00104DAD" w:rsidP="00104DAD">
      <w:pPr>
        <w:pStyle w:val="NormalHanging12a"/>
      </w:pPr>
      <w:r w:rsidRPr="00636008">
        <w:t>–</w:t>
      </w:r>
      <w:r w:rsidRPr="00636008">
        <w:tab/>
        <w:t>uzimajući u obzir članak 294. stavak 3. Ugovora o funkcioniranju Europske unije,</w:t>
      </w:r>
    </w:p>
    <w:p w14:paraId="42F84710" w14:textId="12DE91B8" w:rsidR="00104DAD" w:rsidRPr="00636008" w:rsidRDefault="00104DAD" w:rsidP="00104DAD">
      <w:pPr>
        <w:pStyle w:val="NormalHanging12a"/>
      </w:pPr>
      <w:r w:rsidRPr="00636008">
        <w:t>–</w:t>
      </w:r>
      <w:r w:rsidRPr="00636008">
        <w:tab/>
        <w:t>nakon savjetovanja s Europskim gospodarskim i socijalnim odborom,</w:t>
      </w:r>
    </w:p>
    <w:p w14:paraId="30E6494C" w14:textId="644E54B2" w:rsidR="002B0B24" w:rsidRPr="00636008" w:rsidRDefault="005123B4" w:rsidP="00104DAD">
      <w:pPr>
        <w:pStyle w:val="NormalHanging12a"/>
      </w:pPr>
      <w:r w:rsidRPr="00636008">
        <w:t>–</w:t>
      </w:r>
      <w:r w:rsidRPr="00636008">
        <w:tab/>
        <w:t>uzimajući u obzir da se predstavnik Vijeća pismom od 17. lipnja 2026. obvezao prihvatiti stajalište Europskog parlamenta u skladu s člankom 294. stavkom 4. Ugovora o funkcioniranju Europske unije,</w:t>
      </w:r>
    </w:p>
    <w:p w14:paraId="0F4A447D" w14:textId="528C8830" w:rsidR="00104DAD" w:rsidRPr="00636008" w:rsidRDefault="00104DAD" w:rsidP="00104DAD">
      <w:pPr>
        <w:pStyle w:val="NormalHanging12a"/>
      </w:pPr>
      <w:r w:rsidRPr="00636008">
        <w:t>–</w:t>
      </w:r>
      <w:r w:rsidRPr="00636008">
        <w:tab/>
        <w:t>uzimajući u obzir član</w:t>
      </w:r>
      <w:r w:rsidR="00B771C6" w:rsidRPr="00636008">
        <w:t>ke</w:t>
      </w:r>
      <w:r w:rsidRPr="00636008">
        <w:t xml:space="preserve"> 60. i 170. Poslovnika,</w:t>
      </w:r>
    </w:p>
    <w:p w14:paraId="40EF5F66" w14:textId="47E89F06" w:rsidR="00104DAD" w:rsidRPr="00636008" w:rsidRDefault="00104DAD" w:rsidP="00104DAD">
      <w:pPr>
        <w:pStyle w:val="NormalHanging12a"/>
      </w:pPr>
      <w:r w:rsidRPr="00636008">
        <w:t>1.</w:t>
      </w:r>
      <w:r w:rsidRPr="00636008">
        <w:tab/>
        <w:t xml:space="preserve">usvaja </w:t>
      </w:r>
      <w:r w:rsidR="002B0B24" w:rsidRPr="00636008">
        <w:t>niže navedeno</w:t>
      </w:r>
      <w:r w:rsidRPr="00636008">
        <w:t xml:space="preserve"> stajalište u prvom čitanju;</w:t>
      </w:r>
    </w:p>
    <w:p w14:paraId="3A2BA0CD" w14:textId="77777777" w:rsidR="00104DAD" w:rsidRPr="00636008" w:rsidRDefault="00104DAD" w:rsidP="00104DAD">
      <w:pPr>
        <w:pStyle w:val="NormalHanging12a"/>
      </w:pPr>
      <w:r w:rsidRPr="00636008">
        <w:lastRenderedPageBreak/>
        <w:t>2.</w:t>
      </w:r>
      <w:r w:rsidRPr="00636008">
        <w:tab/>
        <w:t>poziva Komisiju da predmet ponovno uputi Parlamentu ako zamijeni, bitno izmijeni ili namjerava bitno izmijeniti svoj Prijedlog;</w:t>
      </w:r>
    </w:p>
    <w:p w14:paraId="36C49CA9" w14:textId="77777777" w:rsidR="00104DAD" w:rsidRPr="00636008" w:rsidRDefault="00104DAD" w:rsidP="00104DAD">
      <w:pPr>
        <w:pStyle w:val="NormalHanging12a"/>
      </w:pPr>
      <w:r w:rsidRPr="00636008">
        <w:t>3.</w:t>
      </w:r>
      <w:r w:rsidRPr="00636008">
        <w:tab/>
        <w:t>nalaže svojoj predsjednici da stajalište Parlamenta proslijedi Vijeću, Komisiji i nacionalnim parlamentima.</w:t>
      </w:r>
    </w:p>
    <w:p w14:paraId="1B0A3079" w14:textId="77777777" w:rsidR="00104DAD" w:rsidRPr="00636008" w:rsidRDefault="00104DAD" w:rsidP="009F28EF">
      <w:pPr>
        <w:pStyle w:val="Normal12"/>
        <w:rPr>
          <w:szCs w:val="24"/>
          <w:lang w:val="hr-HR"/>
        </w:rPr>
        <w:sectPr w:rsidR="00104DAD" w:rsidRPr="00636008" w:rsidSect="00666512">
          <w:footerReference w:type="even" r:id="rId9"/>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p>
    <w:p w14:paraId="4C737055" w14:textId="77777777" w:rsidR="00104DAD" w:rsidRPr="00636008" w:rsidRDefault="00104DAD" w:rsidP="005123B4">
      <w:pPr>
        <w:widowControl w:val="0"/>
        <w:autoSpaceDE w:val="0"/>
        <w:autoSpaceDN w:val="0"/>
        <w:adjustRightInd w:val="0"/>
        <w:spacing w:after="120"/>
        <w:rPr>
          <w:rFonts w:eastAsia="Calibri"/>
          <w:b/>
          <w:bCs/>
          <w:color w:val="000000"/>
          <w:szCs w:val="24"/>
          <w:lang w:val="hr-HR"/>
        </w:rPr>
      </w:pPr>
      <w:r w:rsidRPr="00636008">
        <w:rPr>
          <w:rFonts w:eastAsia="Calibri"/>
          <w:b/>
          <w:bCs/>
          <w:color w:val="000000"/>
          <w:szCs w:val="24"/>
          <w:lang w:val="hr-HR"/>
        </w:rPr>
        <w:lastRenderedPageBreak/>
        <w:t>P10_TC1-COD(2026)0150</w:t>
      </w:r>
    </w:p>
    <w:p w14:paraId="559FF53F" w14:textId="4EF252C3" w:rsidR="002B0B24" w:rsidRPr="00636008" w:rsidRDefault="00104DAD" w:rsidP="005123B4">
      <w:pPr>
        <w:spacing w:before="240" w:after="120"/>
        <w:rPr>
          <w:rFonts w:eastAsia="Calibri"/>
          <w:b/>
          <w:szCs w:val="22"/>
          <w:lang w:val="hr-HR" w:eastAsia="en-US"/>
        </w:rPr>
      </w:pPr>
      <w:r w:rsidRPr="00636008">
        <w:rPr>
          <w:b/>
          <w:szCs w:val="24"/>
          <w:lang w:val="hr-HR"/>
        </w:rPr>
        <w:t>Stajalište Europskog parlamenta usvojeno u prvom čitanju 7. srpnja 2026. radi donošenja Uredbe (EU) 2026/... Europskog parlamenta i Vijeća</w:t>
      </w:r>
      <w:r w:rsidR="005123B4" w:rsidRPr="00636008">
        <w:rPr>
          <w:rFonts w:eastAsia="Calibri"/>
          <w:b/>
          <w:szCs w:val="22"/>
          <w:lang w:val="hr-HR" w:eastAsia="en-US"/>
        </w:rPr>
        <w:t xml:space="preserve"> </w:t>
      </w:r>
      <w:r w:rsidR="002B0B24" w:rsidRPr="00636008">
        <w:rPr>
          <w:rFonts w:eastAsia="Calibri"/>
          <w:b/>
          <w:szCs w:val="22"/>
          <w:lang w:val="hr-HR" w:eastAsia="en-US"/>
        </w:rPr>
        <w:t>o izmjeni Uredbe (EU) 2021/2115 u pogledu posebne vrste intervencije za pružanje izvanredne privremene potpore u okviru Europskog poljoprivrednog fonda za ruralni razvoj (EPFRR) i mogućnosti prilagodbe dodijeljenih sredstava za izravna plaćanja za kalendarsku godinu 2027. te Uredbe (EU) 2021/2116 u pogledu fleksibilnijih pravila za isplatu predujmova kao odgovor na povećane cijene gnojiva zbog krize na Bliskom istoku</w:t>
      </w:r>
    </w:p>
    <w:p w14:paraId="749052EA" w14:textId="77777777" w:rsidR="002B0B24" w:rsidRPr="00636008" w:rsidRDefault="002B0B24" w:rsidP="002B0B24">
      <w:pPr>
        <w:keepNext/>
        <w:spacing w:before="600" w:after="120" w:line="360" w:lineRule="auto"/>
        <w:rPr>
          <w:rFonts w:eastAsia="Calibri"/>
          <w:szCs w:val="22"/>
          <w:lang w:val="hr-HR" w:eastAsia="en-US"/>
        </w:rPr>
      </w:pPr>
      <w:r w:rsidRPr="00636008">
        <w:rPr>
          <w:rFonts w:eastAsia="Calibri"/>
          <w:szCs w:val="22"/>
          <w:lang w:val="hr-HR" w:eastAsia="en-US"/>
        </w:rPr>
        <w:t>EUROPSKI PARLAMENT I VIJEĆE EUROPSKE UNIJE,</w:t>
      </w:r>
    </w:p>
    <w:p w14:paraId="5FC9E3D3" w14:textId="77777777" w:rsidR="002B0B24" w:rsidRPr="00636008" w:rsidRDefault="002B0B24" w:rsidP="002B0B24">
      <w:pPr>
        <w:spacing w:before="120" w:after="120" w:line="360" w:lineRule="auto"/>
        <w:rPr>
          <w:rFonts w:eastAsia="Calibri"/>
          <w:szCs w:val="22"/>
          <w:lang w:val="hr-HR" w:eastAsia="en-US"/>
        </w:rPr>
      </w:pPr>
      <w:r w:rsidRPr="00636008">
        <w:rPr>
          <w:rFonts w:eastAsia="Calibri"/>
          <w:szCs w:val="22"/>
          <w:lang w:val="hr-HR" w:eastAsia="en-US"/>
        </w:rPr>
        <w:t>uzimajući u obzir Ugovor o funkcioniranju Europske unije, a posebno njegov članak 43. stavak 2.,</w:t>
      </w:r>
    </w:p>
    <w:p w14:paraId="5F360991"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uzimajući u obzir prijedlog Europske komisije,</w:t>
      </w:r>
    </w:p>
    <w:p w14:paraId="3719D971"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nakon prosljeđivanja nacrta zakonodavnog akta nacionalnim parlamentima,</w:t>
      </w:r>
    </w:p>
    <w:p w14:paraId="75B78EC0"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nakon savjetovanja s Europskim gospodarskim i socijalnim odborom,</w:t>
      </w:r>
    </w:p>
    <w:p w14:paraId="1DEC5FA0"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u skladu s redovnim zakonodavnim postupkom</w:t>
      </w:r>
      <w:r w:rsidRPr="00636008">
        <w:rPr>
          <w:rFonts w:eastAsia="Calibri"/>
          <w:szCs w:val="22"/>
          <w:vertAlign w:val="superscript"/>
          <w:lang w:val="hr-HR" w:eastAsia="en-US"/>
        </w:rPr>
        <w:footnoteReference w:id="1"/>
      </w:r>
      <w:r w:rsidRPr="00636008">
        <w:rPr>
          <w:rFonts w:eastAsia="Calibri"/>
          <w:szCs w:val="22"/>
          <w:lang w:val="hr-HR" w:eastAsia="en-US"/>
        </w:rPr>
        <w:t>,</w:t>
      </w:r>
    </w:p>
    <w:p w14:paraId="101D4AFB" w14:textId="77777777" w:rsidR="002B0B24" w:rsidRPr="00636008" w:rsidRDefault="002B0B24" w:rsidP="00867F29">
      <w:pPr>
        <w:spacing w:before="120" w:after="120"/>
        <w:rPr>
          <w:rFonts w:eastAsia="Calibri"/>
          <w:szCs w:val="22"/>
          <w:lang w:val="hr-HR" w:eastAsia="en-US"/>
        </w:rPr>
      </w:pPr>
      <w:r w:rsidRPr="00636008">
        <w:rPr>
          <w:rFonts w:eastAsia="Calibri"/>
          <w:szCs w:val="22"/>
          <w:lang w:val="hr-HR" w:eastAsia="en-US"/>
        </w:rPr>
        <w:br w:type="page"/>
      </w:r>
    </w:p>
    <w:p w14:paraId="4ED22818" w14:textId="77777777" w:rsidR="002B0B24" w:rsidRPr="00636008" w:rsidRDefault="002B0B24" w:rsidP="002B0B24">
      <w:pPr>
        <w:spacing w:before="120" w:after="120" w:line="360" w:lineRule="auto"/>
        <w:rPr>
          <w:rFonts w:eastAsia="Calibri"/>
          <w:szCs w:val="22"/>
          <w:lang w:val="hr-HR" w:eastAsia="en-US"/>
        </w:rPr>
      </w:pPr>
      <w:r w:rsidRPr="00636008">
        <w:rPr>
          <w:rFonts w:eastAsia="Calibri"/>
          <w:szCs w:val="22"/>
          <w:lang w:val="hr-HR" w:eastAsia="en-US"/>
        </w:rPr>
        <w:lastRenderedPageBreak/>
        <w:t>budući da:</w:t>
      </w:r>
    </w:p>
    <w:p w14:paraId="6F59014C"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(1)</w:t>
      </w:r>
      <w:r w:rsidRPr="00636008">
        <w:rPr>
          <w:rFonts w:eastAsia="Calibri"/>
          <w:szCs w:val="22"/>
          <w:lang w:val="hr-HR" w:eastAsia="en-US"/>
        </w:rPr>
        <w:tab/>
        <w:t xml:space="preserve">Nedavna kriza na Bliskom istoku i </w:t>
      </w:r>
      <w:r w:rsidRPr="00636008">
        <w:rPr>
          <w:rFonts w:eastAsia="Calibri"/>
          <w:i/>
          <w:szCs w:val="22"/>
          <w:lang w:val="hr-HR" w:eastAsia="en-US"/>
        </w:rPr>
        <w:t>de facto</w:t>
      </w:r>
      <w:r w:rsidRPr="00636008">
        <w:rPr>
          <w:rFonts w:eastAsia="Calibri"/>
          <w:szCs w:val="22"/>
          <w:lang w:val="hr-HR" w:eastAsia="en-US"/>
        </w:rPr>
        <w:t xml:space="preserve"> zatvaranje </w:t>
      </w:r>
      <w:proofErr w:type="spellStart"/>
      <w:r w:rsidRPr="00636008">
        <w:rPr>
          <w:rFonts w:eastAsia="Calibri"/>
          <w:szCs w:val="22"/>
          <w:lang w:val="hr-HR" w:eastAsia="en-US"/>
        </w:rPr>
        <w:t>Hormuškog</w:t>
      </w:r>
      <w:proofErr w:type="spellEnd"/>
      <w:r w:rsidRPr="00636008">
        <w:rPr>
          <w:rFonts w:eastAsia="Calibri"/>
          <w:szCs w:val="22"/>
          <w:lang w:val="hr-HR" w:eastAsia="en-US"/>
        </w:rPr>
        <w:t xml:space="preserve"> tjesnaca doveli su do znatnog povećanja globalnih cijena nafte, plina i gnojiva. Globalna priroda pogođenih tržišta znatno utječe na cijene u nekoliko sektora gospodarstva Unije u svim državama članicama.</w:t>
      </w:r>
    </w:p>
    <w:p w14:paraId="4493C5FB"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(2)</w:t>
      </w:r>
      <w:r w:rsidRPr="00636008">
        <w:rPr>
          <w:rFonts w:eastAsia="Calibri"/>
          <w:szCs w:val="22"/>
          <w:lang w:val="hr-HR" w:eastAsia="en-US"/>
        </w:rPr>
        <w:tab/>
        <w:t>Iznimno veliko povećanje cijena gnojiva izravno utječe na poljoprivredni sektor jer su gnojiva ključna za poljoprivrednu produktivnost, održivost poljoprivrednih gospodarstava i sigurnost opskrbe hranom. Kupnja gnojiva jedan je od najvećih ulaznih troškova za poljoprivrednike. Osim razine cijena, nestabilnost tržišta dovodi do posebne izloženosti poljoprivrednika u Uniji. Rastući troškovi gnojiva mogli bi primorati poljoprivrednike da smanje njihovu upotrebu, što dovodi do jasnog rizika za kvalitetu i prinose. Poljoprivrednici bi mogli smanjiti i površinu koju obrađuju, što bi utjecalo na poljoprivrednu proizvodnju u Uniji.</w:t>
      </w:r>
    </w:p>
    <w:p w14:paraId="741F144F"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675B0AA4"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(3)</w:t>
      </w:r>
      <w:r w:rsidRPr="00636008">
        <w:rPr>
          <w:rFonts w:eastAsia="Calibri"/>
          <w:szCs w:val="22"/>
          <w:lang w:val="hr-HR" w:eastAsia="en-US"/>
        </w:rPr>
        <w:tab/>
        <w:t>Kako bi se brzo odgovorilo na slabosti prehrambenog sustava Unije do kojih je dovela ova kriza i pomoglo poljoprivrednicima koji se suočavaju s problemima s likvidnošću, primjereno je omogućiti izvanrednu i privremenu potporu uvođenjem nove vrste intervencije za potporu u kriznim situacijama u Uredbu (EU) 2021/2115 Europskog parlamenta i Vijeća</w:t>
      </w:r>
      <w:r w:rsidRPr="00636008">
        <w:rPr>
          <w:rFonts w:eastAsia="Calibri"/>
          <w:szCs w:val="22"/>
          <w:vertAlign w:val="superscript"/>
          <w:lang w:val="hr-HR" w:eastAsia="en-US"/>
        </w:rPr>
        <w:footnoteReference w:id="2"/>
      </w:r>
      <w:r w:rsidRPr="00636008">
        <w:rPr>
          <w:rFonts w:eastAsia="Calibri"/>
          <w:szCs w:val="22"/>
          <w:lang w:val="hr-HR" w:eastAsia="en-US"/>
        </w:rPr>
        <w:t xml:space="preserve"> predviđenu u okviru Europskog poljoprivrednog fonda za ruralni razvoj (EPFRR) i odobravanjem veće fleksibilnosti državama članicama u pogledu isplate predujmova za izravna plaćanja u Uredbi (EU) 2021/2116 Europskog parlamenta i Vijeća</w:t>
      </w:r>
      <w:r w:rsidRPr="00636008">
        <w:rPr>
          <w:rFonts w:eastAsia="Calibri"/>
          <w:szCs w:val="22"/>
          <w:vertAlign w:val="superscript"/>
          <w:lang w:val="hr-HR" w:eastAsia="en-US"/>
        </w:rPr>
        <w:footnoteReference w:id="3"/>
      </w:r>
      <w:r w:rsidRPr="00636008">
        <w:rPr>
          <w:rFonts w:eastAsia="Calibri"/>
          <w:szCs w:val="22"/>
          <w:lang w:val="hr-HR" w:eastAsia="en-US"/>
        </w:rPr>
        <w:t>. Uvođenje te nove vrste intervencije ne bi trebalo dovesti do povećanja ograničenja primjene gnojiva u tlu kako je utvrđeno u programima djelovanja na temelju Direktive Vijeća 91/676/EEZ</w:t>
      </w:r>
      <w:r w:rsidRPr="00636008">
        <w:rPr>
          <w:rFonts w:eastAsia="Calibri"/>
          <w:szCs w:val="22"/>
          <w:vertAlign w:val="superscript"/>
          <w:lang w:val="hr-HR" w:eastAsia="en-US"/>
        </w:rPr>
        <w:footnoteReference w:id="4"/>
      </w:r>
      <w:r w:rsidRPr="00636008">
        <w:rPr>
          <w:rFonts w:eastAsia="Calibri"/>
          <w:szCs w:val="22"/>
          <w:lang w:val="hr-HR" w:eastAsia="en-US"/>
        </w:rPr>
        <w:t>.</w:t>
      </w:r>
    </w:p>
    <w:p w14:paraId="2AB41DCE"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5AE834B6"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(4)</w:t>
      </w:r>
      <w:r w:rsidRPr="00636008">
        <w:rPr>
          <w:rFonts w:eastAsia="Calibri"/>
          <w:szCs w:val="22"/>
          <w:lang w:val="hr-HR" w:eastAsia="en-US"/>
        </w:rPr>
        <w:tab/>
        <w:t>Dostupna potpora u okviru nove vrste intervencije trebala bi biti usmjerena na aktivne poljoprivrednike koji su najviše pogođeni visokim cijenama gnojiva i trebalo bi je dodjeljivati za dodatne troškove gnojiva koje poljoprivrednici snose zbog povećanja cijena do kojih je došlo od 1. ožujka 2026. Taj datum služi samo kao referentni datum za određivanje više cijene gnojiva i ne smije biti povezan s prihvatljivošću plaćanja korisnicima. Poljoprivrednike koji su već preuzeli obveze povezane s površinom trebalo bi biti moguće nagraditi višim stopama potpore kako bi smanjili svoju upotrebu gnojiva. Nadalje, korisnicima potpore u okviru te vrste intervencije trebalo bi omogućiti pristup relevantnom znanju kao i informacijama o tome kako smanjiti upotrebu gnojiva. Kako bi se osiguralo učinkovito korištenje javne potpore i pravednija raspodjela te potpore među poljoprivrednicima koji ispunjavaju uvjete, države članice trebale bi ograničiti maksimalnu potporu po korisniku ili maksimalan broj hektara za koje se pruža potpora. Zbog hitne, privremene i izvanredne prirode te potpore i potrebe za brzom isplatom odgovarajućih plaćanja trebalo bi utvrditi krajnji rok za plaćanja korisnicima.</w:t>
      </w:r>
    </w:p>
    <w:p w14:paraId="193B11E5"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0A2A47A0"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(5)</w:t>
      </w:r>
      <w:r w:rsidRPr="00636008">
        <w:rPr>
          <w:rFonts w:eastAsia="Calibri"/>
          <w:szCs w:val="22"/>
          <w:lang w:val="hr-HR" w:eastAsia="en-US"/>
        </w:rPr>
        <w:tab/>
        <w:t>Kako bi se osiguralo dobro financijsko upravljanje sredstvima Unije, države članice trebale bi osigurati da ukupna potpora koju je poljoprivrednik primio u okviru nove vrste intervencije, u kombinaciji s drugim nacionalnim instrumentima potpore ili instrumentima potpore Unije osmišljenima kako bi se odgovorilo na utjecaj visokih cijena gnojiva, ne dovede do prekomjerne naknade ili dvostrukog financiranja.</w:t>
      </w:r>
    </w:p>
    <w:p w14:paraId="130A78E7"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(6)</w:t>
      </w:r>
      <w:r w:rsidRPr="00636008">
        <w:rPr>
          <w:rFonts w:eastAsia="Calibri"/>
          <w:szCs w:val="22"/>
          <w:lang w:val="hr-HR" w:eastAsia="en-US"/>
        </w:rPr>
        <w:tab/>
        <w:t>Kako bi se potaknula upotreba financijskih instrumenata za potporu predviđenu u okviru nove vrste intervencije, maksimalne stope potpore ne bi se trebale primjenjivati kad se potpora dodjeljuje u obliku samostalnog obrtnog kapitala.</w:t>
      </w:r>
    </w:p>
    <w:p w14:paraId="13CCFD1A"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(7)</w:t>
      </w:r>
      <w:r w:rsidRPr="00636008">
        <w:rPr>
          <w:rFonts w:eastAsia="Calibri"/>
          <w:szCs w:val="22"/>
          <w:lang w:val="hr-HR" w:eastAsia="en-US"/>
        </w:rPr>
        <w:tab/>
        <w:t>Kako bi se izbjegla kašnjenja u plaćanjima poljoprivrednicima koji se suočavaju s problemima s likvidnošću, trebalo bi predvidjeti da rashodi financirani iz EPFRR-a budu prihvatljivi za novu vrstu intervencije od datuma stupanja na snagu ove Uredbe, i prije nego što države članice podnesu Komisiji zahtjev za stratešku izmjenu strateškog plana u okviru ZPP-a kojom se uvodi ta intervencija.</w:t>
      </w:r>
    </w:p>
    <w:p w14:paraId="3A16975A"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(8)</w:t>
      </w:r>
      <w:r w:rsidRPr="00636008">
        <w:rPr>
          <w:rFonts w:eastAsia="Calibri"/>
          <w:szCs w:val="22"/>
          <w:lang w:val="hr-HR" w:eastAsia="en-US"/>
        </w:rPr>
        <w:tab/>
        <w:t>Financiranje potpore u okviru nove vrste intervencije trebalo bi programirati uz stopu doprinosa iz EPFRR-a do 65 % prihvatljivih javnih rashoda.</w:t>
      </w:r>
    </w:p>
    <w:p w14:paraId="0FB9276C"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4D2A17E6"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(9)</w:t>
      </w:r>
      <w:r w:rsidRPr="00636008">
        <w:rPr>
          <w:rFonts w:eastAsia="Calibri"/>
          <w:szCs w:val="22"/>
          <w:lang w:val="hr-HR" w:eastAsia="en-US"/>
        </w:rPr>
        <w:tab/>
        <w:t>Kako bi se osiguralo odgovarajuće financiranje za novu vrstu intervencije predviđene u ovoj Uredbi bez ugrožavanja drugih ciljeva strateških planova u okviru ZPP-a i rezerviranih iznosa za krizna plaćanja, trebalo bi utvrditi maksimalni udio doprinosa Unije novoj vrsti intervencije.</w:t>
      </w:r>
    </w:p>
    <w:p w14:paraId="62E3BF33"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(10)</w:t>
      </w:r>
      <w:r w:rsidRPr="00636008">
        <w:rPr>
          <w:rFonts w:eastAsia="Calibri"/>
          <w:szCs w:val="22"/>
          <w:lang w:val="hr-HR" w:eastAsia="en-US"/>
        </w:rPr>
        <w:tab/>
        <w:t>Zbog posebne prirode nove vrste intervencije, obveza doprinošenja pokazateljima rezultata navedenima u Prilogu I. Uredbi (EU) 2021/2115 ne bi se trebala primjenjivati u pogledu nove vrste intervencije.</w:t>
      </w:r>
    </w:p>
    <w:p w14:paraId="562AEFE7"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(11)</w:t>
      </w:r>
      <w:r w:rsidRPr="00636008">
        <w:rPr>
          <w:rFonts w:eastAsia="Calibri"/>
          <w:szCs w:val="22"/>
          <w:lang w:val="hr-HR" w:eastAsia="en-US"/>
        </w:rPr>
        <w:tab/>
        <w:t>Pri uvođenju ove nove vrste intervencije u strateške planove u okviru ZPP-a takav zahtjev za stratešku izmjenu ne bi se trebao ubrajati u najveći mogući broj zahtjeva za strateške izmjene godišnje.</w:t>
      </w:r>
    </w:p>
    <w:p w14:paraId="48424BBB"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(12)</w:t>
      </w:r>
      <w:r w:rsidRPr="00636008">
        <w:rPr>
          <w:rFonts w:eastAsia="Calibri"/>
          <w:szCs w:val="22"/>
          <w:lang w:val="hr-HR" w:eastAsia="en-US"/>
        </w:rPr>
        <w:tab/>
        <w:t>Kako bi se osigurali jednaki uvjeti, maksimalno dodatno nacionalno financiranje za intervencije u okviru nove vrste intervencije trebalo bi ograničiti na 200 % sredstava iz EPFRR-a za ovu vrstu intervencije.</w:t>
      </w:r>
    </w:p>
    <w:p w14:paraId="32602478"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(13)</w:t>
      </w:r>
      <w:r w:rsidRPr="00636008">
        <w:rPr>
          <w:rFonts w:eastAsia="Calibri"/>
          <w:szCs w:val="22"/>
          <w:lang w:val="hr-HR" w:eastAsia="en-US"/>
        </w:rPr>
        <w:tab/>
        <w:t>U Prilog I. Uredbi (EU) 2021/2115 trebalo bi dodati dodatni pokazatelj ostvarenja za novu vrstu intervencije.</w:t>
      </w:r>
    </w:p>
    <w:p w14:paraId="2D63D9C6"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(14)</w:t>
      </w:r>
      <w:r w:rsidRPr="00636008">
        <w:rPr>
          <w:rFonts w:eastAsia="Calibri"/>
          <w:szCs w:val="22"/>
          <w:lang w:val="hr-HR" w:eastAsia="en-US"/>
        </w:rPr>
        <w:tab/>
        <w:t>Naslov Priloga XV. Uredbi (EU) 2021/2115 trebalo bi izmijeniti kako bi se uzela u obzir činjenica da financijska ograničenja potpore uključuju financiranje nove vrste intervencije.</w:t>
      </w:r>
    </w:p>
    <w:p w14:paraId="6AA65406"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09F254E2"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(15)</w:t>
      </w:r>
      <w:r w:rsidRPr="00636008">
        <w:rPr>
          <w:rFonts w:eastAsia="Calibri"/>
          <w:szCs w:val="22"/>
          <w:lang w:val="hr-HR" w:eastAsia="en-US"/>
        </w:rPr>
        <w:tab/>
        <w:t>Člankom 103. stavkom 1. Uredbe (EU) 2021/2115 državama članicama daje se fleksibilnost da svoja dodijeljena sredstva za izravna plaćanja prilagode prijenosom sredstava u njihova sredstva dodijeljena za EPFRR za kalendarske godine od 2023. do 2026. i iz njih. Kako bi se osiguralo da države članice mogu nastaviti uspješno provoditi odgovarajuće nacionalne strategije na kojima se temelje njihovi strateški planovi u okviru ZPP-a, uključujući strategije za suočavanje s neočekivanim krizama kao što je utjecaj visokih cijena gnojiva, državama članicama trebalo bi također dopustiti da prilagode dodijeljena sredstva za izravna plaćanja za kalendarsku godinu 2027. do određene gornje granice, na temelju ograničenja prijenosa primjenjivih za kalendarske godine od 2023. do 2026., kao i da na odgovarajući način izmijene svoje strateške planove u okviru ZPP-a. Stoga je primjereno predvidjeti tu mogućnost uvođenjem nove odredbe u glavu IV. Uredbe (EU) 2021/2115 i odgovarajućeg novog priloga kojim se utvrđuju maksimalni iznosi povećanja i maksimalni iznosi smanjenja po državi članici. Potrebno je izmijeniti i članak 87. stavak 2. Uredbe (EU) 2021/2115 kako bi se Komisiju ovlastilo za donošenje delegiranog akta o izmjeni financijskih sredstava dodijeljenih državama članicama utvrđenih u prilozima V. i IX. toj uredbi kako bi se uzele u obzir prilagodbe dodijeljenih sredstava za izravna plaćanja. Osim toga, potrebno je izmijeniti članak 112. stavak 2. točku (b) Uredbe (EU) 2021/2115 kako bi se prilagodbe uključile u tablicu financijskog plana iz članka 107. stavka 1. točke (e) te uredbe i izmijeniti članak 119. stavak 2. točku (c) te uredbe kako bi se prilagodbe uključile u popis strateških izmjena strateških planova u okviru ZPP-a. Nadalje, potrebno je izmijeniti članak 119. stavak 7. drugi podstavak Uredbe (EU) 2021/2115 kako bi se predvidjelo da se zahtjev za stratešku izmjenu koji proizlazi iz prilagodbi ne ubraja u najveći mogući broj strateških izmjena godišnje. Nadalje, potrebno je izmijeniti članak 121. drugi stavak točku (b) Uredbe (EU) 2021/2115 kako bi se te prilagodbe uključile u popis izmjena određenih odredaba za koje se razdoblje za donošenje delegiranog akta iz članka 87. stavka 2. te uredbe ne uračunava u rok za djelovanje Komisije iz članka 121. prvog podstavka te uredbe.</w:t>
      </w:r>
    </w:p>
    <w:p w14:paraId="30AF0864"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45E1B733"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(16)</w:t>
      </w:r>
      <w:r w:rsidRPr="00636008">
        <w:rPr>
          <w:rFonts w:eastAsia="Calibri"/>
          <w:szCs w:val="22"/>
          <w:lang w:val="hr-HR" w:eastAsia="en-US"/>
        </w:rPr>
        <w:tab/>
        <w:t>S obzirom na krizu na Bliskom istoku i posljedični rast cijena gnojiva te izloženost poljoprivrednika financijskom riziku, trenutačna razina predujmova više nije dovoljna. Kako bi se pružila potpora poljoprivrednicima koji se suočavaju s problemima s likvidnošću i s obzirom na to da će se učinci te krize vrlo vjerojatno nastaviti tijekom 2026., primjereno je izmijeniti maksimalne stope za predujmove za izravna plaćanja u Uredbi (EU) 2021/2116 kako bi se omogućilo plaćanje više stope za tu kalendarsku godinu. Primjereno je povećati maksimalnu stopu predujmova za izravna plaćanja sa 70 % na 75 %, u okviru ograničenja utvrđenog u članku 11. Uredbe (EU, Euratom) 2024/2509 Europskog parlamenta i Vijeća</w:t>
      </w:r>
      <w:r w:rsidRPr="00636008">
        <w:rPr>
          <w:rFonts w:eastAsia="Calibri"/>
          <w:szCs w:val="22"/>
          <w:vertAlign w:val="superscript"/>
          <w:lang w:val="hr-HR" w:eastAsia="en-US"/>
        </w:rPr>
        <w:footnoteReference w:id="5"/>
      </w:r>
      <w:r w:rsidRPr="00636008">
        <w:rPr>
          <w:rFonts w:eastAsia="Calibri"/>
          <w:szCs w:val="22"/>
          <w:lang w:val="hr-HR" w:eastAsia="en-US"/>
        </w:rPr>
        <w:t>.</w:t>
      </w:r>
    </w:p>
    <w:p w14:paraId="7F3DF551"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(17)</w:t>
      </w:r>
      <w:r w:rsidRPr="00636008">
        <w:rPr>
          <w:rFonts w:eastAsia="Calibri"/>
          <w:szCs w:val="22"/>
          <w:lang w:val="hr-HR" w:eastAsia="en-US"/>
        </w:rPr>
        <w:tab/>
        <w:t>Države članice trenutačno smiju isplaćivati predujmove poljoprivrednicima u razdoblju od 16. listopada do 30. studenog kalendarske godine. Kako bi se pružila potpora poljoprivrednicima koji se suočavaju s problemima s likvidnošću uzrokovanima visokim cijenama gnojiva, primjereno je državama članicama dati veću fleksibilnost u pogledu razdoblja isplate predujmova za izravna plaćanja i dopustiti da se takva plaćanja izvrše ranije u godini, odmah nakon podnošenja zahtjeva za potporu. Međutim, uzimajući u obzir da Komisija predujmove za izravna plaćanja koja su države članice isplatile poljoprivrednicima u jednoj kalendarskoj godini nadoknađuje državama članicama tek iz proračuna za sljedeću godinu, predujmove za izravna plaćanja isplaćene korisnicima prije 16. listopada 2026. trebalo bi smatrati izvršenima u studenome 2026. te bi ih države članice trebale prijaviti za nadoknadu u izjavi koja se odnosi na taj mjesec kako bi ih Komisija nadoknadila početkom 2027.</w:t>
      </w:r>
    </w:p>
    <w:p w14:paraId="06F923CF"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1EDF6796"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(18)</w:t>
      </w:r>
      <w:r w:rsidRPr="00636008">
        <w:rPr>
          <w:rFonts w:eastAsia="Calibri"/>
          <w:szCs w:val="22"/>
          <w:lang w:val="hr-HR" w:eastAsia="en-US"/>
        </w:rPr>
        <w:tab/>
      </w:r>
      <w:bookmarkStart w:id="11" w:name="_Hlk230972467"/>
      <w:r w:rsidRPr="00636008">
        <w:rPr>
          <w:rFonts w:eastAsia="Calibri"/>
          <w:szCs w:val="22"/>
          <w:lang w:val="hr-HR" w:eastAsia="en-US"/>
        </w:rPr>
        <w:t>Člankom 59. Uredbe (EU) 2021/2116 državama članicama pruža se fleksibilnost u uspostavi njihovih sustava upravljanja i kontrole. Države članice potiču se da prilagode svoje sustave upravljanja i kontrole kako bi se osiguralo da se dodatnom fleksibilnošću u pogledu vremenskog rasporeda i iznosa predujmova predviđenom ovom Uredbom omogući pravodobna i djelotvorna potpora poljoprivrednicima. Osobito, države članice trebale bi odlučiti koje provjere moraju dovršiti prije isplate predujmova kako bi se zadovoljile hitne potrebe za likvidnošću. U ovom bi kontekstu države članice trebale također uzeti u obzir mogućnost da bi mogle ostvariti povrat svih neopravdano isplaćenih predujmova i zaštititi financijske interese Unije prije izvršenja završnog plaćanja. U trenutku završnih plaćanja država članica trebala bi procijeniti rizik od nesukladnosti putem mogućnosti kao što su provjere prihvatljivosti i mogućih nesukladnosti te povrat neopravdano isplaćenih iznosa. Ako je uspostavljen učinkovit sustav upravljanja i kontrole, među ostalim u pogledu upravljanja dugom, nije vjerojatno da će doći do ozbiljnih nedostataka.</w:t>
      </w:r>
    </w:p>
    <w:bookmarkEnd w:id="11"/>
    <w:p w14:paraId="7B959F7C"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36144884"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(19)</w:t>
      </w:r>
      <w:r w:rsidRPr="00636008">
        <w:rPr>
          <w:rFonts w:eastAsia="Calibri"/>
          <w:szCs w:val="22"/>
          <w:lang w:val="hr-HR" w:eastAsia="en-US"/>
        </w:rPr>
        <w:tab/>
        <w:t>Uredbe (EU) 2021/2115 i (EU) 2021/2116 trebalo bi stoga na odgovarajući način izmijeniti.</w:t>
      </w:r>
    </w:p>
    <w:p w14:paraId="432EBC28"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(20)</w:t>
      </w:r>
      <w:r w:rsidRPr="00636008">
        <w:rPr>
          <w:rFonts w:eastAsia="Calibri"/>
          <w:szCs w:val="22"/>
          <w:lang w:val="hr-HR" w:eastAsia="en-US"/>
        </w:rPr>
        <w:tab/>
        <w:t>S obzirom na to da ciljeve ove Uredbe, odnosno brzo odgovaranje na slabosti prehrambenog sustava Unije do kojih je dovela kriza na Bliskom istoku i pružanje pomoći poljoprivrednicima koji se suočavaju s problemima s likvidnošću, ne mogu dostatno ostvariti države članice nego se zbog povezanosti ove Uredbe s drugim instrumentima ZPP-a i načina na koji je ova Uredba neraskidivo povezana s ostvarenjem ključnih prioriteta Unije oni na bolji način mogu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p w14:paraId="72F519F4"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(21)</w:t>
      </w:r>
      <w:r w:rsidRPr="00636008">
        <w:rPr>
          <w:rFonts w:eastAsia="Calibri"/>
          <w:szCs w:val="22"/>
          <w:lang w:val="hr-HR" w:eastAsia="en-US"/>
        </w:rPr>
        <w:tab/>
        <w:t>S</w:t>
      </w:r>
      <w:r w:rsidRPr="00636008">
        <w:rPr>
          <w:rFonts w:eastAsia="Aptos"/>
          <w:kern w:val="2"/>
          <w:szCs w:val="24"/>
          <w:lang w:val="hr-HR" w:eastAsia="en-US"/>
          <w14:ligatures w14:val="standardContextual"/>
        </w:rPr>
        <w:t xml:space="preserve"> obzirom na hitnost potrebe da se poljoprivrednicima omogući donošenje pravodobnih odluka o ulaganjima i da se na taj način na najmanju moguću mjeru svede rizik od smanjenja proizvodnje hrane, smatra se primjerenim pozvati se na iznimku od roka od osam tjedana predviđenu u članku 4. Protokola br. 1 o ulozi nacionalnih parlamenata u Europskoj uniji, priloženog Ugovoru o Europskoj uniji, Ugovoru o funkcioniranju Europske unije i Ugovoru o osnivanju Europske zajednice za atomsku energiju.</w:t>
      </w:r>
    </w:p>
    <w:p w14:paraId="3FF19429"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(22)</w:t>
      </w:r>
      <w:r w:rsidRPr="00636008">
        <w:rPr>
          <w:rFonts w:eastAsia="Calibri"/>
          <w:szCs w:val="22"/>
          <w:lang w:val="hr-HR" w:eastAsia="en-US"/>
        </w:rPr>
        <w:tab/>
        <w:t xml:space="preserve">S obzirom na to da je potrebno odmah djelovati, ova bi Uredba trebala stupiti na snagu sljedećeg dana od dana objave u </w:t>
      </w:r>
      <w:r w:rsidRPr="00636008">
        <w:rPr>
          <w:rFonts w:eastAsia="Calibri"/>
          <w:i/>
          <w:szCs w:val="22"/>
          <w:lang w:val="hr-HR" w:eastAsia="en-US"/>
        </w:rPr>
        <w:t>Službenom listu Europske unije</w:t>
      </w:r>
      <w:r w:rsidRPr="00636008">
        <w:rPr>
          <w:rFonts w:eastAsia="Calibri"/>
          <w:szCs w:val="22"/>
          <w:lang w:val="hr-HR" w:eastAsia="en-US"/>
        </w:rPr>
        <w:t>,</w:t>
      </w:r>
    </w:p>
    <w:p w14:paraId="31CDBFBD" w14:textId="77777777" w:rsidR="002B0B24" w:rsidRPr="00636008" w:rsidRDefault="002B0B24" w:rsidP="00867F29">
      <w:pPr>
        <w:keepNext/>
        <w:spacing w:before="120" w:after="120"/>
        <w:rPr>
          <w:rFonts w:eastAsia="Calibri"/>
          <w:szCs w:val="22"/>
          <w:lang w:val="hr-HR" w:eastAsia="en-US"/>
        </w:rPr>
      </w:pPr>
      <w:r w:rsidRPr="00636008">
        <w:rPr>
          <w:rFonts w:eastAsia="Calibri"/>
          <w:szCs w:val="22"/>
          <w:lang w:val="hr-HR" w:eastAsia="en-US"/>
        </w:rPr>
        <w:t>DONIJELI SU OVU UREDBU:</w:t>
      </w:r>
    </w:p>
    <w:p w14:paraId="3D417D24" w14:textId="77777777" w:rsidR="002B0B24" w:rsidRPr="00636008" w:rsidRDefault="002B0B24" w:rsidP="002B0B24">
      <w:pPr>
        <w:keepNext/>
        <w:spacing w:before="360" w:after="120"/>
        <w:jc w:val="center"/>
        <w:rPr>
          <w:rFonts w:eastAsia="Calibri"/>
          <w:i/>
          <w:szCs w:val="22"/>
          <w:lang w:val="hr-HR" w:eastAsia="en-US"/>
        </w:rPr>
      </w:pPr>
      <w:r w:rsidRPr="00636008">
        <w:rPr>
          <w:rFonts w:eastAsia="Calibri"/>
          <w:i/>
          <w:szCs w:val="22"/>
          <w:lang w:val="hr-HR" w:eastAsia="en-US"/>
        </w:rPr>
        <w:br w:type="page"/>
      </w:r>
    </w:p>
    <w:p w14:paraId="146AB2DC" w14:textId="77777777" w:rsidR="002B0B24" w:rsidRPr="00636008" w:rsidRDefault="002B0B24" w:rsidP="002B0B24">
      <w:pPr>
        <w:keepNext/>
        <w:spacing w:before="360" w:after="120" w:line="360" w:lineRule="auto"/>
        <w:jc w:val="center"/>
        <w:rPr>
          <w:rFonts w:eastAsia="Calibri"/>
          <w:szCs w:val="22"/>
          <w:lang w:val="hr-HR" w:eastAsia="en-US"/>
        </w:rPr>
      </w:pPr>
      <w:r w:rsidRPr="00636008">
        <w:rPr>
          <w:rFonts w:eastAsia="Calibri"/>
          <w:i/>
          <w:szCs w:val="22"/>
          <w:lang w:val="hr-HR" w:eastAsia="en-US"/>
        </w:rPr>
        <w:lastRenderedPageBreak/>
        <w:t>Članak 1.</w:t>
      </w:r>
      <w:r w:rsidRPr="00636008">
        <w:rPr>
          <w:rFonts w:eastAsia="Calibri"/>
          <w:i/>
          <w:szCs w:val="22"/>
          <w:lang w:val="hr-HR" w:eastAsia="en-US"/>
        </w:rPr>
        <w:br/>
      </w:r>
      <w:r w:rsidRPr="00636008">
        <w:rPr>
          <w:rFonts w:eastAsia="Calibri"/>
          <w:b/>
          <w:szCs w:val="22"/>
          <w:lang w:val="hr-HR" w:eastAsia="en-US"/>
        </w:rPr>
        <w:t>Izmjene Uredbe (EU) 2021/2115</w:t>
      </w:r>
    </w:p>
    <w:p w14:paraId="5C5C6129" w14:textId="77777777" w:rsidR="002B0B24" w:rsidRPr="00636008" w:rsidRDefault="002B0B24" w:rsidP="002B0B24">
      <w:pPr>
        <w:spacing w:before="120" w:after="120" w:line="360" w:lineRule="auto"/>
        <w:rPr>
          <w:rFonts w:eastAsia="Calibri"/>
          <w:szCs w:val="22"/>
          <w:lang w:val="hr-HR" w:eastAsia="en-US"/>
        </w:rPr>
      </w:pPr>
      <w:r w:rsidRPr="00636008">
        <w:rPr>
          <w:rFonts w:eastAsia="Calibri"/>
          <w:szCs w:val="22"/>
          <w:lang w:val="hr-HR" w:eastAsia="en-US"/>
        </w:rPr>
        <w:t>Uredba (EU) 2021/2115 mijenja se kako slijedi:</w:t>
      </w:r>
    </w:p>
    <w:p w14:paraId="5F08476C"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1.</w:t>
      </w:r>
      <w:r w:rsidRPr="00636008">
        <w:rPr>
          <w:rFonts w:eastAsia="Calibri"/>
          <w:szCs w:val="22"/>
          <w:lang w:val="hr-HR" w:eastAsia="en-US"/>
        </w:rPr>
        <w:tab/>
        <w:t>u članku 69. dodaje se sljedeća točka:</w:t>
      </w:r>
    </w:p>
    <w:p w14:paraId="5BA8D8CB"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„(j)</w:t>
      </w:r>
      <w:r w:rsidRPr="00636008">
        <w:rPr>
          <w:rFonts w:eastAsia="Calibri"/>
          <w:szCs w:val="22"/>
          <w:lang w:val="hr-HR" w:eastAsia="en-US"/>
        </w:rPr>
        <w:tab/>
        <w:t>potporu poljoprivrednicima pogođenima iznimno velikim povećanjem cijena gnojiva zbog krize na Bliskom istoku.”;</w:t>
      </w:r>
    </w:p>
    <w:p w14:paraId="7791C66C"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2.</w:t>
      </w:r>
      <w:r w:rsidRPr="00636008">
        <w:rPr>
          <w:rFonts w:eastAsia="Calibri"/>
          <w:szCs w:val="22"/>
          <w:lang w:val="hr-HR" w:eastAsia="en-US"/>
        </w:rPr>
        <w:tab/>
        <w:t>u glavi III. poglavlju IV. odjeljku 1. dodaje se sljedeći članak:</w:t>
      </w:r>
    </w:p>
    <w:p w14:paraId="2E7625E8" w14:textId="77777777" w:rsidR="002B0B24" w:rsidRPr="00636008" w:rsidRDefault="002B0B24" w:rsidP="002B0B24">
      <w:pPr>
        <w:spacing w:before="120" w:after="120" w:line="360" w:lineRule="auto"/>
        <w:ind w:left="851"/>
        <w:rPr>
          <w:b/>
          <w:bCs/>
          <w:szCs w:val="22"/>
          <w:lang w:val="hr-HR"/>
        </w:rPr>
      </w:pPr>
      <w:r w:rsidRPr="00636008">
        <w:rPr>
          <w:rFonts w:eastAsia="Calibri"/>
          <w:i/>
          <w:szCs w:val="22"/>
          <w:lang w:val="hr-HR" w:eastAsia="en-US"/>
        </w:rPr>
        <w:t xml:space="preserve">„Članak 78.b </w:t>
      </w:r>
      <w:r w:rsidRPr="00636008">
        <w:rPr>
          <w:rFonts w:eastAsia="Calibri"/>
          <w:i/>
          <w:szCs w:val="22"/>
          <w:lang w:val="hr-HR" w:eastAsia="en-US"/>
        </w:rPr>
        <w:br/>
      </w:r>
      <w:r w:rsidRPr="00636008">
        <w:rPr>
          <w:b/>
          <w:szCs w:val="22"/>
          <w:lang w:val="hr-HR"/>
        </w:rPr>
        <w:t>Potpora poljoprivrednicima pogođenima iznimno velikim povećanjem cijena gnojiva zbog krize na Bliskom istoku</w:t>
      </w:r>
    </w:p>
    <w:p w14:paraId="0598F4C0"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1.</w:t>
      </w:r>
      <w:r w:rsidRPr="00636008">
        <w:rPr>
          <w:rFonts w:eastAsia="Calibri"/>
          <w:szCs w:val="22"/>
          <w:lang w:val="hr-HR" w:eastAsia="en-US"/>
        </w:rPr>
        <w:tab/>
        <w:t>Države članice mogu pružiti izvanrednu privremenu potporu aktivnim poljoprivrednicima koji su pogođeni iznimno velikim povećanjem cijena gnojiva. Sva takva pružena potpora podliježe uvjetima utvrđenima u ovom članku i kako su ih države članice dodatno odredile u svojim strateškim planovima u okviru ZPP-a.</w:t>
      </w:r>
    </w:p>
    <w:p w14:paraId="57F21775"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2.</w:t>
      </w:r>
      <w:r w:rsidRPr="00636008">
        <w:rPr>
          <w:rFonts w:eastAsia="Calibri"/>
          <w:szCs w:val="22"/>
          <w:lang w:val="hr-HR" w:eastAsia="en-US"/>
        </w:rPr>
        <w:tab/>
        <w:t>Države članice osiguravaju da je potpora na temelju ovog članka usmjerena na one poljoprivrednike koji su najviše pogođeni iznimno velikim povećanjem cijena gnojiva. One to čine utvrđivanjem uvjeta prihvatljivosti na temelju dostupnih dokaza.</w:t>
      </w:r>
    </w:p>
    <w:p w14:paraId="7D7AB5B2"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br w:type="page"/>
      </w:r>
    </w:p>
    <w:p w14:paraId="679977D4"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lastRenderedPageBreak/>
        <w:t>3.</w:t>
      </w:r>
      <w:r w:rsidRPr="00636008">
        <w:rPr>
          <w:rFonts w:eastAsia="Calibri"/>
          <w:szCs w:val="22"/>
          <w:lang w:val="hr-HR" w:eastAsia="en-US"/>
        </w:rPr>
        <w:tab/>
        <w:t>Potporom na temelju ovog članka pokriva se dio dodatnih troškova gnojiva uzrokovanih kretanjima na tržištu koja su posljedica krize na Bliskom istoku u razdoblju koje počinje 1. ožujka 2026. Dodatni troškovi izračunavaju se kao razlika između reprezentativne cijene gnojiva i prosječne referentne cijene gnojiva. Države članice, na temelju razumnih pretpostavki, definiraju referentnu cijenu na temelju prosječne cijene gnojiva u najmanje tri uzastopna mjeseca u razdoblju od 1. siječnja 2025. do 28. veljače 2026. i reprezentativnu cijenu na temelju cijene gnojiva tijekom razdoblja koje određuje država članica, a koje ne počinje prije 1. ožujka 2026. Potpora na temelju ovog članka je u obliku jediničnog troška po hektaru izračunanog na temelju prosječne godišnje potrošnje gnojiva po površini, diferencirane po sektorima ili proizvodnim sustavima. Alternativno, države članice mogu potporu iz ovog članka temeljiti na stvarnim troškovima svakog korisnika, koristeći se istom referentnom cijenom kako je opisano u ovom stavku.</w:t>
      </w:r>
    </w:p>
    <w:p w14:paraId="0596FE20"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4.</w:t>
      </w:r>
      <w:r w:rsidRPr="00636008">
        <w:rPr>
          <w:rFonts w:eastAsia="Calibri"/>
          <w:szCs w:val="22"/>
          <w:lang w:val="hr-HR" w:eastAsia="en-US"/>
        </w:rPr>
        <w:tab/>
        <w:t>Države članice utvrđuju primjenjive stope potpore koje pokrivaju do 50 % dodatnih troškova gnojiva. Te se stope mogu povećati do najviše 80 % za poljoprivrednike koji podliježu obvezama iz članaka 31. i 70. ili zahtjevima iz članka 72. za smanjenje upotrebe gnojiva. Na financijske instrumente u obliku samostalnog obrtnog kapitala primjenjuje se članak 80. stavak 4.</w:t>
      </w:r>
    </w:p>
    <w:p w14:paraId="0C9FB9A4"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br w:type="page"/>
      </w:r>
    </w:p>
    <w:p w14:paraId="66A17BE7"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lastRenderedPageBreak/>
        <w:t>5.</w:t>
      </w:r>
      <w:r w:rsidRPr="00636008">
        <w:rPr>
          <w:rFonts w:eastAsia="Calibri"/>
          <w:szCs w:val="22"/>
          <w:lang w:val="hr-HR" w:eastAsia="en-US"/>
        </w:rPr>
        <w:tab/>
        <w:t>Države članice utvrđuju najviši iznos potpore po korisniku ili najveći broj hektara za koje se može primiti potpora po korisniku.</w:t>
      </w:r>
    </w:p>
    <w:p w14:paraId="5C1B3704"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6.</w:t>
      </w:r>
      <w:r w:rsidRPr="00636008">
        <w:rPr>
          <w:rFonts w:eastAsia="Calibri"/>
          <w:szCs w:val="22"/>
          <w:lang w:val="hr-HR" w:eastAsia="en-US"/>
        </w:rPr>
        <w:tab/>
        <w:t>Potpora na temelju ovog članka isplaćuje se poljoprivredniku do 30. lipnja 2027.</w:t>
      </w:r>
    </w:p>
    <w:p w14:paraId="1B1A7616"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7.</w:t>
      </w:r>
      <w:r w:rsidRPr="00636008">
        <w:rPr>
          <w:rFonts w:eastAsia="Calibri"/>
          <w:szCs w:val="22"/>
          <w:lang w:val="hr-HR" w:eastAsia="en-US"/>
        </w:rPr>
        <w:tab/>
        <w:t>Države članice osiguravaju da poljoprivrednici koji primaju potporu na temelju ovog članka imaju pristup relevantnom znanju i informacijama kako bi mogli optimizirati održivu upotrebu gnojiva.</w:t>
      </w:r>
    </w:p>
    <w:p w14:paraId="6130F777"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8.</w:t>
      </w:r>
      <w:r w:rsidRPr="00636008">
        <w:rPr>
          <w:rFonts w:eastAsia="Calibri"/>
          <w:szCs w:val="22"/>
          <w:lang w:val="hr-HR" w:eastAsia="en-US"/>
        </w:rPr>
        <w:tab/>
        <w:t>Pri dodjeli potpore na temelju ovog članka države članice osiguravaju da se izbjegava prekomjerna naknada kao rezultat kombinacije intervencije na temelju ovog članka s drugim nacionalnim instrumentima potpore ili instrumentima potpore Unije.”;</w:t>
      </w:r>
    </w:p>
    <w:p w14:paraId="2E928964"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46AD9027"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3.</w:t>
      </w:r>
      <w:r w:rsidRPr="00636008">
        <w:rPr>
          <w:rFonts w:eastAsia="Calibri"/>
          <w:szCs w:val="22"/>
          <w:lang w:val="hr-HR" w:eastAsia="en-US"/>
        </w:rPr>
        <w:tab/>
        <w:t>članak 80. mijenja se kako slijedi:</w:t>
      </w:r>
    </w:p>
    <w:p w14:paraId="0B80054F"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(a)</w:t>
      </w:r>
      <w:r w:rsidRPr="00636008">
        <w:rPr>
          <w:rFonts w:eastAsia="Calibri"/>
          <w:szCs w:val="22"/>
          <w:lang w:val="hr-HR" w:eastAsia="en-US"/>
        </w:rPr>
        <w:tab/>
        <w:t>stavak 1. zamjenjuje se sljedećim:</w:t>
      </w:r>
    </w:p>
    <w:p w14:paraId="495852B5" w14:textId="77777777" w:rsidR="002B0B24" w:rsidRPr="00636008" w:rsidRDefault="002B0B24" w:rsidP="002B0B24">
      <w:pPr>
        <w:spacing w:before="120" w:after="120" w:line="360" w:lineRule="auto"/>
        <w:ind w:left="1985" w:hanging="567"/>
        <w:rPr>
          <w:rFonts w:eastAsia="Calibri"/>
          <w:szCs w:val="22"/>
          <w:lang w:val="hr-HR" w:eastAsia="en-US"/>
        </w:rPr>
      </w:pPr>
      <w:r w:rsidRPr="00636008">
        <w:rPr>
          <w:rFonts w:eastAsia="Calibri"/>
          <w:szCs w:val="22"/>
          <w:lang w:val="hr-HR" w:eastAsia="en-US"/>
        </w:rPr>
        <w:t>„1.</w:t>
      </w:r>
      <w:r w:rsidRPr="00636008">
        <w:rPr>
          <w:rFonts w:eastAsia="Calibri"/>
          <w:szCs w:val="22"/>
          <w:lang w:val="hr-HR" w:eastAsia="en-US"/>
        </w:rPr>
        <w:tab/>
        <w:t>Potpora u obliku financijskih instrumenata iz članka 58. Uredbe (EU) 2021/1060 može se dodijeliti u okviru vrsta intervencija iz članaka od 73. do 78. i članka 78.b ove Uredbe.”;</w:t>
      </w:r>
    </w:p>
    <w:p w14:paraId="5C69CDA2"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(b)</w:t>
      </w:r>
      <w:r w:rsidRPr="00636008">
        <w:rPr>
          <w:rFonts w:eastAsia="Calibri"/>
          <w:szCs w:val="22"/>
          <w:lang w:val="hr-HR" w:eastAsia="en-US"/>
        </w:rPr>
        <w:tab/>
        <w:t>u stavku 3. prvi podstavak zamjenjuje se sljedećim:</w:t>
      </w:r>
    </w:p>
    <w:p w14:paraId="62029E8F" w14:textId="77777777" w:rsidR="002B0B24" w:rsidRPr="00636008" w:rsidRDefault="002B0B24" w:rsidP="002B0B24">
      <w:pPr>
        <w:spacing w:before="120" w:after="120" w:line="360" w:lineRule="auto"/>
        <w:ind w:left="1985" w:hanging="567"/>
        <w:rPr>
          <w:szCs w:val="22"/>
          <w:lang w:val="hr-HR" w:eastAsia="en-US"/>
        </w:rPr>
      </w:pPr>
      <w:r w:rsidRPr="00636008">
        <w:rPr>
          <w:rFonts w:eastAsia="Calibri"/>
          <w:szCs w:val="22"/>
          <w:lang w:val="hr-HR" w:eastAsia="en-US"/>
        </w:rPr>
        <w:t>„3.</w:t>
      </w:r>
      <w:r w:rsidRPr="00636008">
        <w:rPr>
          <w:rFonts w:eastAsia="Calibri"/>
          <w:szCs w:val="22"/>
          <w:lang w:val="hr-HR" w:eastAsia="en-US"/>
        </w:rPr>
        <w:tab/>
        <w:t>U skladu s člankom 58. stavkom 2. Uredbe (EU) 2021/1060 obrtni kapital, uključujući samostalni obrtni kapital, može biti prihvatljiv rashod na temelju članaka 73., 74., 76., 77., 78. i 78.b ove Uredbe, ako se njime doprinosi postizanju najmanje jednog specifičnog cilja koji je relevantan za dotičnu intervenciju. Potpora za financiranje samostalnog obrtnog kapitala na temelju bilo kojeg od tih članaka može se pružiti bez podlijeganja zahtjevu da krajnji primatelj prima potporu za druge rashode na temelju istog članka.”;</w:t>
      </w:r>
    </w:p>
    <w:p w14:paraId="1989C492"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(c)</w:t>
      </w:r>
      <w:r w:rsidRPr="00636008">
        <w:rPr>
          <w:rFonts w:eastAsia="Calibri"/>
          <w:szCs w:val="22"/>
          <w:lang w:val="hr-HR" w:eastAsia="en-US"/>
        </w:rPr>
        <w:tab/>
        <w:t>stavak 4. zamjenjuje se sljedećim:</w:t>
      </w:r>
    </w:p>
    <w:p w14:paraId="5546C8BD" w14:textId="77777777" w:rsidR="002B0B24" w:rsidRPr="00636008" w:rsidRDefault="002B0B24" w:rsidP="002B0B24">
      <w:pPr>
        <w:spacing w:before="120" w:after="120" w:line="360" w:lineRule="auto"/>
        <w:ind w:left="1985" w:hanging="567"/>
        <w:rPr>
          <w:rFonts w:eastAsia="Calibri"/>
          <w:szCs w:val="22"/>
          <w:lang w:val="hr-HR" w:eastAsia="en-US"/>
        </w:rPr>
      </w:pPr>
      <w:r w:rsidRPr="00636008">
        <w:rPr>
          <w:rFonts w:eastAsia="Calibri"/>
          <w:szCs w:val="22"/>
          <w:lang w:val="hr-HR" w:eastAsia="en-US"/>
        </w:rPr>
        <w:t>„4.</w:t>
      </w:r>
      <w:r w:rsidRPr="00636008">
        <w:rPr>
          <w:rFonts w:eastAsia="Calibri"/>
          <w:szCs w:val="22"/>
          <w:lang w:val="hr-HR" w:eastAsia="en-US"/>
        </w:rPr>
        <w:tab/>
        <w:t>Odstupajući od članaka 73., 74., 76., 77., 78. i 78.b, stope potpore utvrđene u tim člancima ne primjenjuju se na financiranje samostalnog obrtnog kapitala.”;</w:t>
      </w:r>
    </w:p>
    <w:p w14:paraId="178FE13D"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05C0AE31"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4.</w:t>
      </w:r>
      <w:r w:rsidRPr="00636008">
        <w:rPr>
          <w:rFonts w:eastAsia="Calibri"/>
          <w:szCs w:val="22"/>
          <w:lang w:val="hr-HR" w:eastAsia="en-US"/>
        </w:rPr>
        <w:tab/>
        <w:t>u članku 86. stavku 3. dodaje se sljedeći podstavak:</w:t>
      </w:r>
    </w:p>
    <w:p w14:paraId="4BE736C9" w14:textId="77777777" w:rsidR="002B0B24" w:rsidRPr="00636008" w:rsidRDefault="002B0B24" w:rsidP="002B0B24">
      <w:pPr>
        <w:spacing w:before="120" w:after="120" w:line="360" w:lineRule="auto"/>
        <w:ind w:left="851"/>
        <w:rPr>
          <w:rFonts w:eastAsia="Calibri"/>
          <w:szCs w:val="22"/>
          <w:lang w:val="hr-HR" w:eastAsia="en-US"/>
        </w:rPr>
      </w:pPr>
      <w:r w:rsidRPr="00636008">
        <w:rPr>
          <w:rFonts w:eastAsia="Calibri"/>
          <w:szCs w:val="22"/>
          <w:lang w:val="hr-HR" w:eastAsia="en-US"/>
        </w:rPr>
        <w:t>„Odstupajući od prvog podstavka ovog stavka, u strateškom planu u okviru ZPP-a može se predvidjeti da, u slučaju vrste intervencije na temelju članka 78.b, prihvatljivost rashoda financiranih iz EPFRR-a povezanih s izmjenama strateškog plana u okviru ZPP-a može započeti prije datuma podnošenja zahtjeva za izmjenu Komisiji, ali ne prije ... [datum stupanja na snagu ove Uredbe o izmjeni].”;</w:t>
      </w:r>
    </w:p>
    <w:p w14:paraId="002DA493"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5.</w:t>
      </w:r>
      <w:r w:rsidRPr="00636008">
        <w:rPr>
          <w:rFonts w:eastAsia="Calibri"/>
          <w:szCs w:val="22"/>
          <w:lang w:val="hr-HR" w:eastAsia="en-US"/>
        </w:rPr>
        <w:tab/>
        <w:t xml:space="preserve">u članku 87. stavku 2. prvi podstavak zamjenjuje se sljedećim: </w:t>
      </w:r>
    </w:p>
    <w:p w14:paraId="720F4FED"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„2.</w:t>
      </w:r>
      <w:r w:rsidRPr="00636008">
        <w:rPr>
          <w:rFonts w:eastAsia="Calibri"/>
          <w:szCs w:val="22"/>
          <w:lang w:val="hr-HR" w:eastAsia="en-US"/>
        </w:rPr>
        <w:tab/>
        <w:t>Komisija je ovlaštena za donošenje delegiranih akata u skladu s člankom 152. kojima se mijenjaju sredstva dodijeljena državama članicama utvrđena u prilozima V. i IX. kako bi se uzela u obzir kretanja povezana s ukupnim maksimalnim iznosom izravnih plaćanja koja se mogu dodijeliti, uključujući prijenose iz članaka 17. i 103., prilagodbe dodijeljenih sredstava za izravna plaćanja iz članka 103.a, prijenose dodijeljenih financijskih sredstava iz članka 88. stavka 5. i sve odbitke potrebne za financiranje vrsta intervencija u drugim sektorima iz članka 88. stavka 6.”;</w:t>
      </w:r>
    </w:p>
    <w:p w14:paraId="507A1D9A"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77CE7163"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6.</w:t>
      </w:r>
      <w:r w:rsidRPr="00636008">
        <w:rPr>
          <w:rFonts w:eastAsia="Calibri"/>
          <w:szCs w:val="22"/>
          <w:lang w:val="hr-HR" w:eastAsia="en-US"/>
        </w:rPr>
        <w:tab/>
        <w:t>u članku 91. stavku 3. točka (a) zamjenjuje se sljedećim:</w:t>
      </w:r>
    </w:p>
    <w:p w14:paraId="5DCB6DB6" w14:textId="0E3BE114" w:rsidR="002B0B24" w:rsidRPr="00636008" w:rsidRDefault="002B0B24" w:rsidP="005123B4">
      <w:pPr>
        <w:spacing w:line="360" w:lineRule="auto"/>
        <w:ind w:left="1418" w:hanging="567"/>
        <w:rPr>
          <w:rFonts w:eastAsia="Calibri"/>
          <w:szCs w:val="22"/>
          <w:lang w:val="hr-HR" w:eastAsia="en-US"/>
        </w:rPr>
      </w:pPr>
      <w:r w:rsidRPr="00636008">
        <w:rPr>
          <w:rFonts w:eastAsia="Calibri"/>
          <w:szCs w:val="22"/>
          <w:lang w:val="hr-HR" w:eastAsia="en-US"/>
        </w:rPr>
        <w:t>„(a)</w:t>
      </w:r>
      <w:r w:rsidRPr="00636008">
        <w:rPr>
          <w:rFonts w:eastAsia="Calibri"/>
          <w:szCs w:val="22"/>
          <w:lang w:val="hr-HR" w:eastAsia="en-US"/>
        </w:rPr>
        <w:tab/>
        <w:t>65 % prihvatljivih javnih rashoda za plaćanja za prirodna ili druga ograničenja specifična za određeno područje na temelju članka 71. i za potporu na temelju članka 78.b;”;</w:t>
      </w:r>
    </w:p>
    <w:p w14:paraId="603CC6AB"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7.</w:t>
      </w:r>
      <w:r w:rsidRPr="00636008">
        <w:rPr>
          <w:rFonts w:eastAsia="Calibri"/>
          <w:szCs w:val="22"/>
          <w:lang w:val="hr-HR" w:eastAsia="en-US"/>
        </w:rPr>
        <w:tab/>
        <w:t>članak 96.a zamjenjuje se sljedećim:</w:t>
      </w:r>
    </w:p>
    <w:p w14:paraId="169E6903" w14:textId="77777777" w:rsidR="002B0B24" w:rsidRPr="00636008" w:rsidRDefault="002B0B24" w:rsidP="002B0B24">
      <w:pPr>
        <w:spacing w:before="120" w:after="120" w:line="360" w:lineRule="auto"/>
        <w:ind w:left="851"/>
        <w:rPr>
          <w:b/>
          <w:bCs/>
          <w:szCs w:val="22"/>
          <w:lang w:val="hr-HR"/>
        </w:rPr>
      </w:pPr>
      <w:r w:rsidRPr="00636008">
        <w:rPr>
          <w:rFonts w:eastAsia="Calibri"/>
          <w:i/>
          <w:szCs w:val="22"/>
          <w:lang w:val="hr-HR" w:eastAsia="en-US"/>
        </w:rPr>
        <w:t>„Članak 96.a</w:t>
      </w:r>
      <w:r w:rsidRPr="00636008">
        <w:rPr>
          <w:rFonts w:eastAsia="Calibri"/>
          <w:i/>
          <w:szCs w:val="22"/>
          <w:lang w:val="hr-HR" w:eastAsia="en-US"/>
        </w:rPr>
        <w:br/>
      </w:r>
      <w:r w:rsidRPr="00636008">
        <w:rPr>
          <w:b/>
          <w:szCs w:val="22"/>
          <w:lang w:val="hr-HR"/>
        </w:rPr>
        <w:t xml:space="preserve">Maksimalne dodjele financijskih sredstava za krizna plaćanja poljoprivrednicima iz članka 78.a i potporu poljoprivrednicima iz članka 78.b </w:t>
      </w:r>
    </w:p>
    <w:p w14:paraId="562F583A"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1.</w:t>
      </w:r>
      <w:r w:rsidRPr="00636008">
        <w:rPr>
          <w:rFonts w:eastAsia="Calibri"/>
          <w:szCs w:val="22"/>
          <w:lang w:val="hr-HR" w:eastAsia="en-US"/>
        </w:rPr>
        <w:tab/>
        <w:t>Maksimalni iznos za svaku državu članicu koji se može rezervirati za krizna plaćanja poljoprivrednicima nakon prirodnih katastrofa, nepovoljnih klimatskih prilika ili katastrofalnih događaja iz članka 78.a i za potporu poljoprivrednicima pogođenima iznimno velikim povećanjem cijena gnojiva zbog krize na Bliskom istoku iz članka 78.b ograničen je na godišnje iznose utvrđene u Prilogu XV.</w:t>
      </w:r>
    </w:p>
    <w:p w14:paraId="7158957D"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2.</w:t>
      </w:r>
      <w:r w:rsidRPr="00636008">
        <w:rPr>
          <w:rFonts w:eastAsia="Calibri"/>
          <w:szCs w:val="22"/>
          <w:lang w:val="hr-HR" w:eastAsia="en-US"/>
        </w:rPr>
        <w:tab/>
        <w:t>Za financiranje potpore poljoprivrednicima iz članka 78.b može se rezervirati najviše 25 % godišnjih iznosa utvrđenih u Prilogu XV.</w:t>
      </w:r>
    </w:p>
    <w:p w14:paraId="6E6BD63E"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br w:type="page"/>
      </w:r>
    </w:p>
    <w:p w14:paraId="3A06EFDA"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lastRenderedPageBreak/>
        <w:t>3.</w:t>
      </w:r>
      <w:r w:rsidRPr="00636008">
        <w:rPr>
          <w:rFonts w:eastAsia="Calibri"/>
          <w:szCs w:val="22"/>
          <w:lang w:val="hr-HR" w:eastAsia="en-US"/>
        </w:rPr>
        <w:tab/>
        <w:t>Ukupni rashodi iz EPFRR-a za krizna plaćanja iz članak 78.a i za potporu iz članka 78.b ne smiju premašiti zbroj okvirnih iznosa financijskih sredstava dodijeljenih za te vrste intervencija za financijske godine 2026. i 2027., kako su ih utvrdile države članice u svojim financijskim planovima u skladu s člankom 112. stavkom 2. točkom (a) i kako ih je odobrila Komisija u skladu s člankom 119. Ta financijska gornja granica predstavlja financijsku gornju granicu utvrđenu pravom Unije.”;</w:t>
      </w:r>
    </w:p>
    <w:p w14:paraId="372C4441"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8.</w:t>
      </w:r>
      <w:r w:rsidRPr="00636008">
        <w:rPr>
          <w:rFonts w:eastAsia="Calibri"/>
          <w:szCs w:val="22"/>
          <w:lang w:val="hr-HR" w:eastAsia="en-US"/>
        </w:rPr>
        <w:tab/>
        <w:t>u glavi IV. dodaje se sljedeći članak:</w:t>
      </w:r>
    </w:p>
    <w:p w14:paraId="07BE1DCF" w14:textId="6AE236B5" w:rsidR="002B0B24" w:rsidRPr="00636008" w:rsidRDefault="002B0B24" w:rsidP="00A23437">
      <w:pPr>
        <w:spacing w:before="120" w:after="120" w:line="360" w:lineRule="auto"/>
        <w:ind w:left="851"/>
        <w:rPr>
          <w:rFonts w:eastAsia="Calibri"/>
          <w:szCs w:val="22"/>
          <w:lang w:val="hr-HR" w:eastAsia="en-US"/>
        </w:rPr>
      </w:pPr>
      <w:r w:rsidRPr="00636008">
        <w:rPr>
          <w:rFonts w:eastAsia="Calibri"/>
          <w:szCs w:val="22"/>
          <w:lang w:val="hr-HR" w:eastAsia="en-US"/>
        </w:rPr>
        <w:t>„</w:t>
      </w:r>
      <w:r w:rsidRPr="00636008">
        <w:rPr>
          <w:rFonts w:eastAsia="Calibri"/>
          <w:i/>
          <w:szCs w:val="22"/>
          <w:lang w:val="hr-HR" w:eastAsia="en-US"/>
        </w:rPr>
        <w:t>Članak 103.a</w:t>
      </w:r>
      <w:r w:rsidRPr="00636008">
        <w:rPr>
          <w:rFonts w:eastAsia="Calibri"/>
          <w:szCs w:val="22"/>
          <w:lang w:val="hr-HR" w:eastAsia="en-US"/>
        </w:rPr>
        <w:t xml:space="preserve"> </w:t>
      </w:r>
      <w:r w:rsidR="00A23437" w:rsidRPr="00636008">
        <w:rPr>
          <w:rFonts w:eastAsia="Calibri"/>
          <w:szCs w:val="22"/>
          <w:lang w:val="hr-HR" w:eastAsia="en-US"/>
        </w:rPr>
        <w:br/>
      </w:r>
      <w:r w:rsidRPr="00636008">
        <w:rPr>
          <w:rFonts w:eastAsia="Calibri"/>
          <w:b/>
          <w:szCs w:val="22"/>
          <w:lang w:val="hr-HR" w:eastAsia="en-US"/>
        </w:rPr>
        <w:t>Dodijeljena sredstva za izravna plaćanja za kalendarsku godinu 2027.</w:t>
      </w:r>
    </w:p>
    <w:p w14:paraId="238A463F" w14:textId="77777777" w:rsidR="002B0B24" w:rsidRPr="00636008" w:rsidRDefault="002B0B24" w:rsidP="002B0B24">
      <w:pPr>
        <w:spacing w:before="120" w:after="120" w:line="360" w:lineRule="auto"/>
        <w:ind w:left="851"/>
        <w:rPr>
          <w:rFonts w:eastAsia="Calibri"/>
          <w:szCs w:val="22"/>
          <w:lang w:val="hr-HR" w:eastAsia="en-US"/>
        </w:rPr>
      </w:pPr>
      <w:r w:rsidRPr="00636008">
        <w:rPr>
          <w:rFonts w:eastAsia="Calibri"/>
          <w:szCs w:val="22"/>
          <w:lang w:val="hr-HR" w:eastAsia="en-US"/>
        </w:rPr>
        <w:t>Države članice mogu do 31. kolovoza 2026. odlučiti povećati ili smanjiti svoja dodijeljena sredstva za izravna plaćanja utvrđena u prilozima V. i IX. za kalendarsku godinu 2027. za iznos koji ne prelazi maksimalno povećanje ili smanjenje utvrđeno u Prilogu XVI. po državi članici, kao dio zahtjeva za stratešku izmjenu svojih strateških planova u okviru ZPP-a iz članka 119.”;</w:t>
      </w:r>
    </w:p>
    <w:p w14:paraId="0AB5B3A2" w14:textId="77777777" w:rsidR="002B0B24" w:rsidRPr="00636008" w:rsidRDefault="002B0B24" w:rsidP="002B0B24">
      <w:pPr>
        <w:tabs>
          <w:tab w:val="num" w:pos="3119"/>
        </w:tabs>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77B91209" w14:textId="77777777" w:rsidR="002B0B24" w:rsidRPr="00636008" w:rsidRDefault="002B0B24" w:rsidP="002B0B24">
      <w:pPr>
        <w:tabs>
          <w:tab w:val="num" w:pos="3119"/>
        </w:tabs>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9.</w:t>
      </w:r>
      <w:r w:rsidRPr="00636008">
        <w:rPr>
          <w:rFonts w:eastAsia="Calibri"/>
          <w:szCs w:val="22"/>
          <w:lang w:val="hr-HR" w:eastAsia="en-US"/>
        </w:rPr>
        <w:tab/>
        <w:t>u članku 111. drugi stavak zamjenjuje se sljedećim:</w:t>
      </w:r>
    </w:p>
    <w:p w14:paraId="11F5C85A" w14:textId="77777777" w:rsidR="002B0B24" w:rsidRPr="00636008" w:rsidRDefault="002B0B24" w:rsidP="002B0B24">
      <w:pPr>
        <w:spacing w:before="120" w:after="120" w:line="360" w:lineRule="auto"/>
        <w:ind w:left="851"/>
        <w:rPr>
          <w:rFonts w:eastAsia="Calibri"/>
          <w:szCs w:val="22"/>
          <w:lang w:val="hr-HR" w:eastAsia="en-US"/>
        </w:rPr>
      </w:pPr>
      <w:r w:rsidRPr="00636008">
        <w:rPr>
          <w:rFonts w:eastAsia="Calibri"/>
          <w:szCs w:val="22"/>
          <w:lang w:val="hr-HR" w:eastAsia="en-US"/>
        </w:rPr>
        <w:t>„Prvi stavak točka (e) ne primjenjuje se na vrste intervencija u sektoru pčelarstva iz članka 55. stavka 1. točke (a) i točaka od (c) do (g), na intervencije u okviru vrsta intervencija u sektoru vina iz članka 58. stavka 1. točaka od (h) do (k), na informacijska i promidžbena djelovanja za sustave kvalitete u okviru vrste intervencije za suradnju iz članka 77., na intervencije u okviru vrste intervencije za krizna plaćanja poljoprivrednicima nakon prirodnih katastrofa, nepovoljnih klimatskih prilika ili katastrofalnih događaja iz članka 78.a i na intervencije u okviru vrste intervencije za potporu poljoprivrednicima pogođenima iznimno velikim povećanjem cijena gnojiva iz članka 78.b.”;</w:t>
      </w:r>
    </w:p>
    <w:p w14:paraId="1D13D986"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10.</w:t>
      </w:r>
      <w:r w:rsidRPr="00636008">
        <w:rPr>
          <w:rFonts w:eastAsia="Calibri"/>
          <w:szCs w:val="22"/>
          <w:lang w:val="hr-HR" w:eastAsia="en-US"/>
        </w:rPr>
        <w:tab/>
        <w:t>u članku 112. stavku 2. točka (b) zamjenjuje se sljedećim:</w:t>
      </w:r>
    </w:p>
    <w:p w14:paraId="1D8C9F55"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„(b)</w:t>
      </w:r>
      <w:r w:rsidRPr="00636008">
        <w:rPr>
          <w:rFonts w:eastAsia="Calibri"/>
          <w:szCs w:val="22"/>
          <w:lang w:val="hr-HR" w:eastAsia="en-US"/>
        </w:rPr>
        <w:tab/>
        <w:t>prijenosi iznosâ iz točke (a) između vrsta intervencija u obliku izravnih plaćanja i vrsta intervencija u području ruralnog razvoja u skladu s člankom 103., svi odbici od sredstava dodijeljenih državi članici za vrste intervencija u obliku izravnih plaćanja kako bi iznosi bili na raspolaganju za vrste intervencija u drugim sektorima iz glave III. poglavlja III. odjeljka 7., u skladu s člankom 88. stavkom 6., i sve prilagodbe dodijeljenih sredstava za izravna plaćanja u skladu s člankom 103.a;”;</w:t>
      </w:r>
    </w:p>
    <w:p w14:paraId="36C93574"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6014781C"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11.</w:t>
      </w:r>
      <w:r w:rsidRPr="00636008">
        <w:rPr>
          <w:rFonts w:eastAsia="Calibri"/>
          <w:szCs w:val="22"/>
          <w:lang w:val="hr-HR" w:eastAsia="en-US"/>
        </w:rPr>
        <w:tab/>
        <w:t>članak 119. mijenja se kako slijedi:</w:t>
      </w:r>
    </w:p>
    <w:p w14:paraId="0C50A344"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(a)</w:t>
      </w:r>
      <w:r w:rsidRPr="00636008">
        <w:rPr>
          <w:rFonts w:eastAsia="Calibri"/>
          <w:szCs w:val="22"/>
          <w:lang w:val="hr-HR" w:eastAsia="en-US"/>
        </w:rPr>
        <w:tab/>
        <w:t>u stavku 2. prvom podstavku točka (c) zamjenjuje se sljedećim:</w:t>
      </w:r>
    </w:p>
    <w:p w14:paraId="0C941A0F" w14:textId="77777777" w:rsidR="002B0B24" w:rsidRPr="00636008" w:rsidRDefault="002B0B24" w:rsidP="002B0B24">
      <w:pPr>
        <w:spacing w:before="120" w:after="120" w:line="360" w:lineRule="auto"/>
        <w:ind w:left="1985" w:hanging="567"/>
        <w:rPr>
          <w:rFonts w:eastAsia="Calibri"/>
          <w:szCs w:val="22"/>
          <w:lang w:val="hr-HR" w:eastAsia="en-US"/>
        </w:rPr>
      </w:pPr>
      <w:r w:rsidRPr="00636008">
        <w:rPr>
          <w:rFonts w:eastAsia="Calibri"/>
          <w:szCs w:val="22"/>
          <w:lang w:val="hr-HR" w:eastAsia="en-US"/>
        </w:rPr>
        <w:t>„(c)</w:t>
      </w:r>
      <w:r w:rsidRPr="00636008">
        <w:rPr>
          <w:rFonts w:eastAsia="Calibri"/>
          <w:szCs w:val="22"/>
          <w:lang w:val="hr-HR" w:eastAsia="en-US"/>
        </w:rPr>
        <w:tab/>
        <w:t>izmjene povezane s člankom 17. stavkom 5., člankom 88. stavkom 7., člancima od 92. do 98., člankom 103. stavcima 1., 5. i 6. ili člankom 103.a;”;</w:t>
      </w:r>
    </w:p>
    <w:p w14:paraId="28B86753"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(b)</w:t>
      </w:r>
      <w:r w:rsidRPr="00636008">
        <w:rPr>
          <w:rFonts w:eastAsia="Calibri"/>
          <w:szCs w:val="22"/>
          <w:lang w:val="hr-HR" w:eastAsia="en-US"/>
        </w:rPr>
        <w:tab/>
        <w:t xml:space="preserve"> u stavku 7. drugi podstavak zamjenjuje se sljedećim:</w:t>
      </w:r>
    </w:p>
    <w:p w14:paraId="4560A5A2" w14:textId="77777777" w:rsidR="002B0B24" w:rsidRPr="00636008" w:rsidRDefault="002B0B24" w:rsidP="002B0B24">
      <w:pPr>
        <w:spacing w:before="120" w:after="120" w:line="360" w:lineRule="auto"/>
        <w:ind w:left="1418"/>
        <w:rPr>
          <w:rFonts w:eastAsia="Calibri"/>
          <w:szCs w:val="22"/>
          <w:lang w:val="hr-HR" w:eastAsia="en-US"/>
        </w:rPr>
      </w:pPr>
      <w:r w:rsidRPr="00636008">
        <w:rPr>
          <w:rFonts w:eastAsia="Calibri"/>
          <w:szCs w:val="22"/>
          <w:lang w:val="hr-HR" w:eastAsia="en-US"/>
        </w:rPr>
        <w:t>„Zahtjev za stratešku izmjenu koji se odnosi na članak 17. stavak 5., članak 78.b, članak 88. stavak 7., članak 103. stavak 5. ili 6. ili članak 103.a ne računa se u odnosu na ograničenje utvrđeno u prvom podstavku ovog stavka.”;</w:t>
      </w:r>
    </w:p>
    <w:p w14:paraId="27BF0075" w14:textId="77777777" w:rsidR="002B0B24" w:rsidRPr="00636008" w:rsidRDefault="002B0B24" w:rsidP="002B0B24">
      <w:pPr>
        <w:spacing w:before="120" w:after="120" w:line="360" w:lineRule="auto"/>
        <w:ind w:left="851" w:hanging="851"/>
        <w:rPr>
          <w:rFonts w:eastAsia="Calibri"/>
          <w:szCs w:val="22"/>
          <w:lang w:val="hr-HR" w:eastAsia="en-US"/>
        </w:rPr>
      </w:pPr>
      <w:r w:rsidRPr="00636008">
        <w:rPr>
          <w:rFonts w:eastAsia="Calibri"/>
          <w:szCs w:val="22"/>
          <w:lang w:val="hr-HR" w:eastAsia="en-US"/>
        </w:rPr>
        <w:t>12.</w:t>
      </w:r>
      <w:r w:rsidRPr="00636008">
        <w:rPr>
          <w:rFonts w:eastAsia="Calibri"/>
          <w:szCs w:val="22"/>
          <w:lang w:val="hr-HR" w:eastAsia="en-US"/>
        </w:rPr>
        <w:tab/>
        <w:t>u članku 121. drugom podstavku točka (b) zamjenjuje se sljedećim:</w:t>
      </w:r>
    </w:p>
    <w:p w14:paraId="658162B7"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„(b)</w:t>
      </w:r>
      <w:r w:rsidRPr="00636008">
        <w:rPr>
          <w:rFonts w:eastAsia="Calibri"/>
          <w:szCs w:val="22"/>
          <w:lang w:val="hr-HR" w:eastAsia="en-US"/>
        </w:rPr>
        <w:tab/>
        <w:t>za izmjene povezane s člankom 17. stavkom 5., člankom 88. stavkom 7., člankom 103. stavkom 5. i člankom 103.a, rok za donošenje delegiranog akta za izmjenu dodijeljenih sredstava u skladu s člankom 87. stavkom 2.”;</w:t>
      </w:r>
    </w:p>
    <w:p w14:paraId="2FB4FAFF" w14:textId="77777777" w:rsidR="002B0B24" w:rsidRPr="00636008" w:rsidRDefault="002B0B24" w:rsidP="002B0B24">
      <w:pPr>
        <w:tabs>
          <w:tab w:val="num" w:pos="3119"/>
        </w:tabs>
        <w:spacing w:before="120" w:after="120" w:line="360" w:lineRule="auto"/>
        <w:ind w:left="851" w:hanging="851"/>
        <w:rPr>
          <w:rFonts w:eastAsia="Calibri"/>
          <w:szCs w:val="22"/>
          <w:lang w:val="hr-HR" w:eastAsia="en-US"/>
        </w:rPr>
      </w:pPr>
      <w:r w:rsidRPr="00636008">
        <w:rPr>
          <w:rFonts w:eastAsia="Calibri"/>
          <w:szCs w:val="22"/>
          <w:lang w:val="hr-HR" w:eastAsia="en-US"/>
        </w:rPr>
        <w:t>13.</w:t>
      </w:r>
      <w:r w:rsidRPr="00636008">
        <w:rPr>
          <w:rFonts w:eastAsia="Calibri"/>
          <w:szCs w:val="22"/>
          <w:lang w:val="hr-HR" w:eastAsia="en-US"/>
        </w:rPr>
        <w:tab/>
        <w:t>u članku 146. dodaje se sljedeći podstavak:</w:t>
      </w:r>
    </w:p>
    <w:p w14:paraId="4D0DCD6C" w14:textId="77777777" w:rsidR="002B0B24" w:rsidRPr="00636008" w:rsidRDefault="002B0B24" w:rsidP="002B0B24">
      <w:pPr>
        <w:spacing w:before="120" w:after="120" w:line="360" w:lineRule="auto"/>
        <w:ind w:left="851"/>
        <w:rPr>
          <w:rFonts w:eastAsia="Calibri"/>
          <w:szCs w:val="22"/>
          <w:lang w:val="hr-HR" w:eastAsia="en-US"/>
        </w:rPr>
      </w:pPr>
      <w:r w:rsidRPr="00636008">
        <w:rPr>
          <w:rFonts w:eastAsia="Calibri"/>
          <w:szCs w:val="22"/>
          <w:lang w:val="hr-HR" w:eastAsia="en-US"/>
        </w:rPr>
        <w:t>„Države članice mogu osigurati dodatno nacionalno financiranje u iznosu do 200 % sredstava iz EPFRR-a dodijeljenih u strateškom planu u okviru ZPP-a za potporu na temelju članka 78.b.”;</w:t>
      </w:r>
    </w:p>
    <w:p w14:paraId="258E7856" w14:textId="77777777" w:rsidR="002B0B24" w:rsidRPr="00636008" w:rsidRDefault="002B0B24" w:rsidP="002B0B24">
      <w:pPr>
        <w:tabs>
          <w:tab w:val="num" w:pos="3119"/>
        </w:tabs>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65AB3562" w14:textId="77777777" w:rsidR="002B0B24" w:rsidRPr="00636008" w:rsidRDefault="002B0B24" w:rsidP="002B0B24">
      <w:pPr>
        <w:tabs>
          <w:tab w:val="num" w:pos="3119"/>
        </w:tabs>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14.</w:t>
      </w:r>
      <w:r w:rsidRPr="00636008">
        <w:rPr>
          <w:rFonts w:eastAsia="Calibri"/>
          <w:szCs w:val="22"/>
          <w:lang w:val="hr-HR" w:eastAsia="en-US"/>
        </w:rPr>
        <w:tab/>
        <w:t>prilozi I. i XV. mijenjaju se u skladu s Prilogom I. ovoj Uredbi;</w:t>
      </w:r>
    </w:p>
    <w:p w14:paraId="742BEF01" w14:textId="77777777" w:rsidR="002B0B24" w:rsidRPr="00636008" w:rsidRDefault="002B0B24" w:rsidP="002B0B24">
      <w:pPr>
        <w:tabs>
          <w:tab w:val="num" w:pos="3119"/>
        </w:tabs>
        <w:spacing w:before="120" w:after="120" w:line="360" w:lineRule="auto"/>
        <w:ind w:left="851" w:hanging="851"/>
        <w:rPr>
          <w:rFonts w:eastAsia="Calibri"/>
          <w:szCs w:val="22"/>
          <w:lang w:val="hr-HR" w:eastAsia="en-US"/>
        </w:rPr>
      </w:pPr>
      <w:r w:rsidRPr="00636008">
        <w:rPr>
          <w:rFonts w:eastAsia="Calibri"/>
          <w:szCs w:val="22"/>
          <w:lang w:val="hr-HR" w:eastAsia="en-US"/>
        </w:rPr>
        <w:t>15.</w:t>
      </w:r>
      <w:r w:rsidRPr="00636008">
        <w:rPr>
          <w:rFonts w:eastAsia="Calibri"/>
          <w:szCs w:val="22"/>
          <w:lang w:val="hr-HR" w:eastAsia="en-US"/>
        </w:rPr>
        <w:tab/>
        <w:t>tekst iz Priloga II. ovoj Uredbi dodaje se kao Prilog XVI.</w:t>
      </w:r>
    </w:p>
    <w:p w14:paraId="547CE39C" w14:textId="77777777" w:rsidR="002B0B24" w:rsidRPr="00636008" w:rsidRDefault="002B0B24" w:rsidP="002B0B24">
      <w:pPr>
        <w:keepNext/>
        <w:spacing w:before="360" w:after="120" w:line="360" w:lineRule="auto"/>
        <w:jc w:val="center"/>
        <w:rPr>
          <w:rFonts w:eastAsia="Calibri"/>
          <w:b/>
          <w:bCs/>
          <w:szCs w:val="22"/>
          <w:lang w:val="hr-HR" w:eastAsia="en-US"/>
        </w:rPr>
      </w:pPr>
      <w:r w:rsidRPr="00636008">
        <w:rPr>
          <w:rFonts w:eastAsia="Calibri"/>
          <w:i/>
          <w:szCs w:val="22"/>
          <w:lang w:val="hr-HR" w:eastAsia="en-US"/>
        </w:rPr>
        <w:t>Članak 2.</w:t>
      </w:r>
      <w:r w:rsidRPr="00636008">
        <w:rPr>
          <w:rFonts w:eastAsia="Calibri"/>
          <w:i/>
          <w:szCs w:val="22"/>
          <w:lang w:val="hr-HR" w:eastAsia="en-US"/>
        </w:rPr>
        <w:br/>
      </w:r>
      <w:r w:rsidRPr="00636008">
        <w:rPr>
          <w:rFonts w:eastAsia="Calibri"/>
          <w:b/>
          <w:szCs w:val="22"/>
          <w:lang w:val="hr-HR" w:eastAsia="en-US"/>
        </w:rPr>
        <w:t>Izmjene Uredbe (EU) 2021/2116</w:t>
      </w:r>
    </w:p>
    <w:p w14:paraId="5634C764" w14:textId="77777777" w:rsidR="002B0B24" w:rsidRPr="00636008" w:rsidRDefault="002B0B24" w:rsidP="002B0B24">
      <w:pPr>
        <w:spacing w:before="120" w:after="120" w:line="360" w:lineRule="auto"/>
        <w:rPr>
          <w:rFonts w:eastAsia="Calibri"/>
          <w:szCs w:val="22"/>
          <w:lang w:val="hr-HR" w:eastAsia="en-US"/>
        </w:rPr>
      </w:pPr>
      <w:r w:rsidRPr="00636008">
        <w:rPr>
          <w:rFonts w:eastAsia="Calibri"/>
          <w:szCs w:val="22"/>
          <w:lang w:val="hr-HR" w:eastAsia="en-US"/>
        </w:rPr>
        <w:t>Uredba (EU) 2021/2116 mijenja se kako slijedi:</w:t>
      </w:r>
    </w:p>
    <w:p w14:paraId="41D21A80" w14:textId="77777777" w:rsidR="002B0B24" w:rsidRPr="00636008" w:rsidRDefault="002B0B24" w:rsidP="002B0B24">
      <w:pPr>
        <w:tabs>
          <w:tab w:val="num" w:pos="3119"/>
        </w:tabs>
        <w:spacing w:before="120" w:after="120" w:line="360" w:lineRule="auto"/>
        <w:ind w:left="851" w:hanging="851"/>
        <w:rPr>
          <w:rFonts w:eastAsia="Calibri"/>
          <w:szCs w:val="22"/>
          <w:lang w:val="hr-HR" w:eastAsia="en-US"/>
        </w:rPr>
      </w:pPr>
      <w:r w:rsidRPr="00636008">
        <w:rPr>
          <w:rFonts w:eastAsia="Calibri"/>
          <w:szCs w:val="22"/>
          <w:lang w:val="hr-HR" w:eastAsia="en-US"/>
        </w:rPr>
        <w:t>1.</w:t>
      </w:r>
      <w:r w:rsidRPr="00636008">
        <w:rPr>
          <w:rFonts w:eastAsia="Calibri"/>
          <w:szCs w:val="22"/>
          <w:lang w:val="hr-HR" w:eastAsia="en-US"/>
        </w:rPr>
        <w:tab/>
        <w:t>u članku 21. stavku 2. prvi podstavak zamjenjuje se sljedećim:</w:t>
      </w:r>
    </w:p>
    <w:p w14:paraId="344F6BCE"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„2.</w:t>
      </w:r>
      <w:r w:rsidRPr="00636008">
        <w:rPr>
          <w:rFonts w:eastAsia="Calibri"/>
          <w:szCs w:val="22"/>
          <w:lang w:val="hr-HR" w:eastAsia="en-US"/>
        </w:rPr>
        <w:tab/>
        <w:t>Mjesečna plaćanja izvršavaju se svakoj državi članici najkasnije trećeg radnog dana drugog mjeseca nakon mjeseca u kojem su rashodi ostvareni, uzimajući u obzir smanjenja ili suspenzije primijenjene na temelju članaka od 39. do 42. ili bilo kakve druge ispravke. Rashodi koje su države članice ostvarile između 1. i 15. listopada računaju se kao da su izvršeni u mjesecu listopadu. Rashodi ostvareni između 16. i 31. listopada računaju se kao da su izvršeni u mjesecu studenome. Rashodi koje su države članice ostvarile u okviru isplate predujmova prije 16. listopada kalendarske godine 2026. u skladu s člankom 44. stavkom 2. drugim podstavkom točkom (a) računaju se kao da su izvršeni u mjesecu studenome i prijavljuju se u izjavi koja se odnosi na taj mjesec.”;</w:t>
      </w:r>
    </w:p>
    <w:p w14:paraId="65E7865D" w14:textId="77777777" w:rsidR="002B0B24" w:rsidRPr="00636008" w:rsidRDefault="002B0B24" w:rsidP="002B0B24">
      <w:pPr>
        <w:tabs>
          <w:tab w:val="num" w:pos="3119"/>
        </w:tabs>
        <w:spacing w:before="120" w:after="120" w:line="360" w:lineRule="auto"/>
        <w:ind w:left="851" w:hanging="851"/>
        <w:rPr>
          <w:rFonts w:eastAsia="Calibri"/>
          <w:szCs w:val="22"/>
          <w:lang w:val="hr-HR" w:eastAsia="en-US"/>
        </w:rPr>
      </w:pPr>
      <w:r w:rsidRPr="00636008">
        <w:rPr>
          <w:rFonts w:eastAsia="Calibri"/>
          <w:szCs w:val="22"/>
          <w:lang w:val="hr-HR" w:eastAsia="en-US"/>
        </w:rPr>
        <w:br w:type="page"/>
      </w:r>
    </w:p>
    <w:p w14:paraId="7E1A9764" w14:textId="77777777" w:rsidR="002B0B24" w:rsidRPr="00636008" w:rsidRDefault="002B0B24" w:rsidP="002B0B24">
      <w:pPr>
        <w:tabs>
          <w:tab w:val="num" w:pos="3119"/>
        </w:tabs>
        <w:spacing w:before="120" w:after="120" w:line="360" w:lineRule="auto"/>
        <w:ind w:left="851" w:hanging="851"/>
        <w:rPr>
          <w:rFonts w:eastAsia="Calibri"/>
          <w:szCs w:val="22"/>
          <w:lang w:val="hr-HR" w:eastAsia="en-US"/>
        </w:rPr>
      </w:pPr>
      <w:r w:rsidRPr="00636008">
        <w:rPr>
          <w:rFonts w:eastAsia="Calibri"/>
          <w:szCs w:val="22"/>
          <w:lang w:val="hr-HR" w:eastAsia="en-US"/>
        </w:rPr>
        <w:lastRenderedPageBreak/>
        <w:t>2.</w:t>
      </w:r>
      <w:r w:rsidRPr="00636008">
        <w:rPr>
          <w:rFonts w:eastAsia="Calibri"/>
          <w:szCs w:val="22"/>
          <w:lang w:val="hr-HR" w:eastAsia="en-US"/>
        </w:rPr>
        <w:tab/>
        <w:t>članak 35. zamjenjuje se sljedećim:</w:t>
      </w:r>
    </w:p>
    <w:p w14:paraId="5D2ECFF6" w14:textId="77777777" w:rsidR="002B0B24" w:rsidRPr="00636008" w:rsidRDefault="002B0B24" w:rsidP="002B0B24">
      <w:pPr>
        <w:spacing w:before="120" w:after="120" w:line="360" w:lineRule="auto"/>
        <w:ind w:left="851"/>
        <w:rPr>
          <w:rFonts w:eastAsia="Calibri"/>
          <w:b/>
          <w:bCs/>
          <w:szCs w:val="22"/>
          <w:lang w:val="hr-HR" w:eastAsia="en-US"/>
        </w:rPr>
      </w:pPr>
      <w:r w:rsidRPr="00636008">
        <w:rPr>
          <w:rFonts w:eastAsia="Calibri"/>
          <w:szCs w:val="22"/>
          <w:lang w:val="hr-HR" w:eastAsia="en-US"/>
        </w:rPr>
        <w:t>„</w:t>
      </w:r>
      <w:r w:rsidRPr="00636008">
        <w:rPr>
          <w:rFonts w:eastAsia="Calibri"/>
          <w:i/>
          <w:szCs w:val="22"/>
          <w:lang w:val="hr-HR" w:eastAsia="en-US"/>
        </w:rPr>
        <w:t xml:space="preserve">Članak 35. </w:t>
      </w:r>
      <w:r w:rsidRPr="00636008">
        <w:rPr>
          <w:rFonts w:eastAsia="Calibri"/>
          <w:i/>
          <w:szCs w:val="22"/>
          <w:lang w:val="hr-HR" w:eastAsia="en-US"/>
        </w:rPr>
        <w:br/>
      </w:r>
      <w:r w:rsidRPr="00636008">
        <w:rPr>
          <w:rFonts w:eastAsia="Calibri"/>
          <w:b/>
          <w:szCs w:val="22"/>
          <w:lang w:val="hr-HR" w:eastAsia="en-US"/>
        </w:rPr>
        <w:t>Poljoprivredna financijska godina</w:t>
      </w:r>
    </w:p>
    <w:p w14:paraId="67ECFB4A" w14:textId="77777777" w:rsidR="002B0B24" w:rsidRPr="00636008" w:rsidRDefault="002B0B24" w:rsidP="002B0B24">
      <w:pPr>
        <w:spacing w:before="120" w:after="120" w:line="360" w:lineRule="auto"/>
        <w:ind w:left="851"/>
        <w:rPr>
          <w:rFonts w:eastAsia="Calibri"/>
          <w:szCs w:val="22"/>
          <w:lang w:val="hr-HR" w:eastAsia="en-US"/>
        </w:rPr>
      </w:pPr>
      <w:r w:rsidRPr="00636008">
        <w:rPr>
          <w:rFonts w:eastAsia="Calibri"/>
          <w:szCs w:val="22"/>
          <w:lang w:val="hr-HR" w:eastAsia="en-US"/>
        </w:rPr>
        <w:t>Ne dovodeći u pitanje posebne odredbe o izjavama o rashodima i prihodima povezanima s javnom intervencijom koje utvrđuje Komisija na temelju članka 47. stavka 2. prvog podstavka točke (a) i o izjavama o rashodima povezanima s predujmovima isplaćenima prije 16. listopada kalendarske godine 2026. na temelju članka 44. stavka 2. drugog podstavka točke (a), financijska godina obuhvaća plaćene rashode i primljene prihode koje agencije za plaćanja knjiže u računovodstvenu dokumentaciju povezanu s EFJP-om i EPFRR-om za financijsku godinu N koja počinje 16. listopada godine N – 1, a završava 15. listopada godine N.”;</w:t>
      </w:r>
    </w:p>
    <w:p w14:paraId="09712771" w14:textId="77777777" w:rsidR="002B0B24" w:rsidRPr="00636008" w:rsidRDefault="002B0B24" w:rsidP="002B0B24">
      <w:pPr>
        <w:tabs>
          <w:tab w:val="num" w:pos="3119"/>
        </w:tabs>
        <w:spacing w:before="120" w:after="120" w:line="360" w:lineRule="auto"/>
        <w:ind w:left="851" w:hanging="851"/>
        <w:rPr>
          <w:rFonts w:eastAsia="Calibri"/>
          <w:szCs w:val="22"/>
          <w:lang w:val="hr-HR" w:eastAsia="en-US"/>
        </w:rPr>
      </w:pPr>
      <w:r w:rsidRPr="00636008">
        <w:rPr>
          <w:rFonts w:eastAsia="Calibri"/>
          <w:szCs w:val="22"/>
          <w:lang w:val="hr-HR" w:eastAsia="en-US"/>
        </w:rPr>
        <w:t>3.</w:t>
      </w:r>
      <w:r w:rsidRPr="00636008">
        <w:rPr>
          <w:rFonts w:eastAsia="Calibri"/>
          <w:szCs w:val="22"/>
          <w:lang w:val="hr-HR" w:eastAsia="en-US"/>
        </w:rPr>
        <w:tab/>
        <w:t>u članku 44. stavku 2. drugom podstavku točka (a) zamjenjuje se sljedećim:</w:t>
      </w:r>
    </w:p>
    <w:p w14:paraId="5502E08F" w14:textId="77777777" w:rsidR="002B0B24" w:rsidRPr="00636008" w:rsidRDefault="002B0B24" w:rsidP="002B0B24">
      <w:pPr>
        <w:spacing w:before="120" w:after="120" w:line="360" w:lineRule="auto"/>
        <w:ind w:left="1418" w:hanging="567"/>
        <w:rPr>
          <w:rFonts w:eastAsia="Calibri"/>
          <w:szCs w:val="22"/>
          <w:lang w:val="hr-HR" w:eastAsia="en-US"/>
        </w:rPr>
      </w:pPr>
      <w:r w:rsidRPr="00636008">
        <w:rPr>
          <w:rFonts w:eastAsia="Calibri"/>
          <w:szCs w:val="22"/>
          <w:lang w:val="hr-HR" w:eastAsia="en-US"/>
        </w:rPr>
        <w:t>„(a)</w:t>
      </w:r>
      <w:r w:rsidRPr="00636008">
        <w:rPr>
          <w:rFonts w:eastAsia="Calibri"/>
          <w:szCs w:val="22"/>
          <w:lang w:val="hr-HR" w:eastAsia="en-US"/>
        </w:rPr>
        <w:tab/>
        <w:t>prije 1. prosinca, ali najranije 16. listopada, platiti predujmove u visini do 70 % za intervencije u obliku izravnih plaćanja te za potpore koje čine izravna plaćanja u okviru mjera iz poglavlja IV. Uredbe (EU) br. 228/2013 i iz poglavlja IV. Uredbe (EU) br. 229/2013 te u pogledu godine zahtjeva 2026. platiti predujmove u visini do 75 % za intervencije i potporu iz ove točke, uključujući prije 16. listopada 2026.;”.</w:t>
      </w:r>
    </w:p>
    <w:p w14:paraId="6A6DA4DD" w14:textId="77777777" w:rsidR="002B0B24" w:rsidRPr="00636008" w:rsidRDefault="002B0B24" w:rsidP="002B0B24">
      <w:pPr>
        <w:keepNext/>
        <w:spacing w:before="360" w:after="120"/>
        <w:jc w:val="center"/>
        <w:rPr>
          <w:rFonts w:eastAsia="Calibri"/>
          <w:i/>
          <w:szCs w:val="22"/>
          <w:lang w:val="hr-HR" w:eastAsia="en-US"/>
        </w:rPr>
      </w:pPr>
      <w:r w:rsidRPr="00636008">
        <w:rPr>
          <w:rFonts w:eastAsia="Calibri"/>
          <w:i/>
          <w:szCs w:val="22"/>
          <w:lang w:val="hr-HR" w:eastAsia="en-US"/>
        </w:rPr>
        <w:br w:type="page"/>
      </w:r>
    </w:p>
    <w:p w14:paraId="0B5AA71A" w14:textId="77777777" w:rsidR="002B0B24" w:rsidRPr="00636008" w:rsidRDefault="002B0B24" w:rsidP="002B0B24">
      <w:pPr>
        <w:keepNext/>
        <w:spacing w:before="360" w:after="120" w:line="360" w:lineRule="auto"/>
        <w:jc w:val="center"/>
        <w:rPr>
          <w:rFonts w:eastAsia="Calibri"/>
          <w:b/>
          <w:bCs/>
          <w:szCs w:val="22"/>
          <w:lang w:val="hr-HR" w:eastAsia="en-US"/>
        </w:rPr>
      </w:pPr>
      <w:r w:rsidRPr="00636008">
        <w:rPr>
          <w:rFonts w:eastAsia="Calibri"/>
          <w:i/>
          <w:szCs w:val="22"/>
          <w:lang w:val="hr-HR" w:eastAsia="en-US"/>
        </w:rPr>
        <w:lastRenderedPageBreak/>
        <w:t>Članak 3.</w:t>
      </w:r>
      <w:r w:rsidRPr="00636008">
        <w:rPr>
          <w:rFonts w:eastAsia="Calibri"/>
          <w:i/>
          <w:szCs w:val="22"/>
          <w:lang w:val="hr-HR" w:eastAsia="en-US"/>
        </w:rPr>
        <w:br/>
      </w:r>
      <w:r w:rsidRPr="00636008">
        <w:rPr>
          <w:rFonts w:eastAsia="Calibri"/>
          <w:b/>
          <w:szCs w:val="22"/>
          <w:lang w:val="hr-HR" w:eastAsia="en-US"/>
        </w:rPr>
        <w:t>Stupanje na snagu</w:t>
      </w:r>
    </w:p>
    <w:p w14:paraId="2FC94ABE" w14:textId="77777777" w:rsidR="002B0B24" w:rsidRPr="00636008" w:rsidRDefault="002B0B24" w:rsidP="002B0B24">
      <w:pPr>
        <w:spacing w:before="120" w:after="120" w:line="360" w:lineRule="auto"/>
        <w:rPr>
          <w:rFonts w:eastAsia="Calibri"/>
          <w:szCs w:val="22"/>
          <w:lang w:val="hr-HR" w:eastAsia="en-US"/>
        </w:rPr>
      </w:pPr>
      <w:r w:rsidRPr="00636008">
        <w:rPr>
          <w:rFonts w:eastAsia="Calibri"/>
          <w:szCs w:val="22"/>
          <w:lang w:val="hr-HR" w:eastAsia="en-US"/>
        </w:rPr>
        <w:t xml:space="preserve">Ova Uredba stupa na snagu sljedećeg dana od dana objave u </w:t>
      </w:r>
      <w:r w:rsidRPr="00636008">
        <w:rPr>
          <w:rFonts w:eastAsia="Calibri"/>
          <w:i/>
          <w:szCs w:val="22"/>
          <w:lang w:val="hr-HR" w:eastAsia="en-US"/>
        </w:rPr>
        <w:t>Službenom listu Europske unije</w:t>
      </w:r>
      <w:r w:rsidRPr="00636008">
        <w:rPr>
          <w:rFonts w:eastAsia="Calibri"/>
          <w:szCs w:val="22"/>
          <w:lang w:val="hr-HR" w:eastAsia="en-US"/>
        </w:rPr>
        <w:t>.</w:t>
      </w:r>
    </w:p>
    <w:p w14:paraId="58451AA3" w14:textId="77777777" w:rsidR="002B0B24" w:rsidRPr="00636008" w:rsidRDefault="002B0B24" w:rsidP="002B0B24">
      <w:pPr>
        <w:spacing w:before="480" w:after="120" w:line="360" w:lineRule="auto"/>
        <w:rPr>
          <w:rFonts w:eastAsia="Calibri"/>
          <w:szCs w:val="22"/>
          <w:lang w:val="hr-HR" w:eastAsia="en-US"/>
        </w:rPr>
      </w:pPr>
      <w:r w:rsidRPr="00636008">
        <w:rPr>
          <w:rFonts w:eastAsia="Calibri"/>
          <w:szCs w:val="22"/>
          <w:lang w:val="hr-HR" w:eastAsia="en-US"/>
        </w:rPr>
        <w:t>Ova je Uredba u cijelosti obvezujuća i izravno se primjenjuje u svim državama članicama.</w:t>
      </w:r>
    </w:p>
    <w:p w14:paraId="6E1BC138" w14:textId="77777777" w:rsidR="002B0B24" w:rsidRPr="00636008" w:rsidRDefault="002B0B24" w:rsidP="002B0B24">
      <w:pPr>
        <w:keepNext/>
        <w:spacing w:before="120" w:line="360" w:lineRule="auto"/>
        <w:rPr>
          <w:rFonts w:eastAsia="Calibri"/>
          <w:szCs w:val="22"/>
          <w:lang w:val="hr-HR" w:eastAsia="en-US"/>
        </w:rPr>
      </w:pPr>
      <w:r w:rsidRPr="00636008">
        <w:rPr>
          <w:rFonts w:eastAsia="Calibri"/>
          <w:szCs w:val="22"/>
          <w:lang w:val="hr-HR" w:eastAsia="en-US"/>
        </w:rPr>
        <w:t>Sastavljeno u …,</w:t>
      </w:r>
    </w:p>
    <w:p w14:paraId="39D071A9" w14:textId="77777777" w:rsidR="002B0B24" w:rsidRPr="00636008" w:rsidRDefault="002B0B24" w:rsidP="002B0B24">
      <w:pPr>
        <w:keepNext/>
        <w:tabs>
          <w:tab w:val="left" w:pos="4252"/>
        </w:tabs>
        <w:spacing w:before="720"/>
        <w:rPr>
          <w:rFonts w:eastAsia="Calibri"/>
          <w:i/>
          <w:szCs w:val="22"/>
          <w:lang w:val="hr-HR" w:eastAsia="en-US"/>
        </w:rPr>
      </w:pPr>
      <w:r w:rsidRPr="00636008">
        <w:rPr>
          <w:rFonts w:eastAsia="Calibri"/>
          <w:i/>
          <w:szCs w:val="22"/>
          <w:lang w:val="hr-HR" w:eastAsia="en-US"/>
        </w:rPr>
        <w:t>Za Europski parlament</w:t>
      </w:r>
      <w:r w:rsidRPr="00636008">
        <w:rPr>
          <w:rFonts w:eastAsia="Calibri"/>
          <w:i/>
          <w:szCs w:val="22"/>
          <w:lang w:val="hr-HR" w:eastAsia="en-US"/>
        </w:rPr>
        <w:tab/>
        <w:t>Za Vijeće</w:t>
      </w:r>
    </w:p>
    <w:p w14:paraId="0CA54507" w14:textId="77777777" w:rsidR="002B0B24" w:rsidRPr="00636008" w:rsidRDefault="002B0B24" w:rsidP="002B0B24">
      <w:pPr>
        <w:tabs>
          <w:tab w:val="left" w:pos="4252"/>
        </w:tabs>
        <w:rPr>
          <w:rFonts w:eastAsia="Calibri"/>
          <w:i/>
          <w:szCs w:val="22"/>
          <w:lang w:val="hr-HR" w:eastAsia="en-US"/>
        </w:rPr>
        <w:sectPr w:rsidR="002B0B24" w:rsidRPr="00636008" w:rsidSect="002B0B24">
          <w:headerReference w:type="default" r:id="rId10"/>
          <w:footerReference w:type="default" r:id="rId11"/>
          <w:pgSz w:w="11907" w:h="16840" w:code="9"/>
          <w:pgMar w:top="1134" w:right="1134" w:bottom="1134" w:left="1134" w:header="709" w:footer="709" w:gutter="0"/>
          <w:pgNumType w:start="1"/>
          <w:cols w:space="720"/>
          <w:docGrid w:linePitch="360"/>
        </w:sectPr>
      </w:pPr>
      <w:r w:rsidRPr="00636008">
        <w:rPr>
          <w:rFonts w:eastAsia="Calibri"/>
          <w:i/>
          <w:szCs w:val="22"/>
          <w:lang w:val="hr-HR" w:eastAsia="en-US"/>
        </w:rPr>
        <w:t>Predsjednica</w:t>
      </w:r>
      <w:r w:rsidRPr="00636008">
        <w:rPr>
          <w:rFonts w:eastAsia="Calibri"/>
          <w:i/>
          <w:szCs w:val="22"/>
          <w:lang w:val="hr-HR" w:eastAsia="en-US"/>
        </w:rPr>
        <w:tab/>
        <w:t>Predsjednik/Predsjednica</w:t>
      </w:r>
    </w:p>
    <w:p w14:paraId="3B55CED9" w14:textId="77777777" w:rsidR="002B0B24" w:rsidRPr="00636008" w:rsidRDefault="002B0B24" w:rsidP="002B0B24">
      <w:pPr>
        <w:spacing w:after="200" w:line="276" w:lineRule="auto"/>
        <w:jc w:val="center"/>
        <w:rPr>
          <w:rFonts w:eastAsia="Calibri"/>
          <w:i/>
          <w:iCs/>
          <w:noProof/>
          <w:kern w:val="2"/>
          <w:szCs w:val="24"/>
          <w:lang w:val="hr-HR" w:eastAsia="en-US"/>
          <w14:ligatures w14:val="standardContextual"/>
        </w:rPr>
      </w:pPr>
      <w:r w:rsidRPr="00636008">
        <w:rPr>
          <w:rFonts w:eastAsia="Calibri"/>
          <w:i/>
          <w:noProof/>
          <w:kern w:val="2"/>
          <w:szCs w:val="24"/>
          <w:lang w:val="hr-HR" w:eastAsia="en-US"/>
          <w14:ligatures w14:val="standardContextual"/>
        </w:rPr>
        <w:lastRenderedPageBreak/>
        <w:t>PRILOG I.</w:t>
      </w:r>
    </w:p>
    <w:p w14:paraId="65ED223D" w14:textId="77777777" w:rsidR="002B0B24" w:rsidRPr="00636008" w:rsidRDefault="002B0B24" w:rsidP="002B0B24">
      <w:pPr>
        <w:spacing w:after="200" w:line="276" w:lineRule="auto"/>
        <w:rPr>
          <w:rFonts w:eastAsia="Calibri"/>
          <w:noProof/>
          <w:kern w:val="2"/>
          <w:szCs w:val="24"/>
          <w:lang w:val="hr-HR" w:eastAsia="en-US"/>
          <w14:ligatures w14:val="standardContextual"/>
        </w:rPr>
      </w:pPr>
      <w:r w:rsidRPr="00636008">
        <w:rPr>
          <w:rFonts w:eastAsia="Calibri"/>
          <w:noProof/>
          <w:kern w:val="2"/>
          <w:szCs w:val="22"/>
          <w:lang w:val="hr-HR" w:eastAsia="en-US"/>
          <w14:ligatures w14:val="standardContextual"/>
        </w:rPr>
        <w:t>Prilozi I. i XV. Uredbi (EU) 2021/2115 mijenjaju se kako slijedi:</w:t>
      </w:r>
    </w:p>
    <w:p w14:paraId="55475BF8" w14:textId="77777777" w:rsidR="002B0B24" w:rsidRPr="00636008" w:rsidRDefault="002B0B24" w:rsidP="002B0B24">
      <w:pPr>
        <w:tabs>
          <w:tab w:val="num" w:pos="850"/>
        </w:tabs>
        <w:spacing w:before="120" w:after="120" w:line="360" w:lineRule="auto"/>
        <w:ind w:left="851" w:hanging="851"/>
        <w:rPr>
          <w:rFonts w:eastAsia="Calibri"/>
          <w:noProof/>
          <w:szCs w:val="22"/>
          <w:lang w:val="hr-HR" w:eastAsia="en-US"/>
        </w:rPr>
      </w:pPr>
      <w:r w:rsidRPr="00636008">
        <w:rPr>
          <w:rFonts w:eastAsia="Calibri"/>
          <w:noProof/>
          <w:szCs w:val="22"/>
          <w:lang w:val="hr-HR" w:eastAsia="en-US"/>
        </w:rPr>
        <w:t>1.</w:t>
      </w:r>
      <w:r w:rsidRPr="00636008">
        <w:rPr>
          <w:rFonts w:eastAsia="Calibri"/>
          <w:noProof/>
          <w:szCs w:val="22"/>
          <w:lang w:val="hr-HR" w:eastAsia="en-US"/>
        </w:rPr>
        <w:tab/>
        <w:t>u Prilogu I. u tablici „Praćenje – OSTVARENJE – Vrste intervencija i njihovi pokazatelji ostvarenja” umeće se sljedeći unos iza retka „Krizna plaćanja za poljoprivrednike nakon prirodnih katastrofa, nepovoljnih klimatskih prilika ili katastrofalnih događaja (članak 78.a)”:</w:t>
      </w:r>
    </w:p>
    <w:p w14:paraId="2DA022D2" w14:textId="77777777" w:rsidR="002B0B24" w:rsidRPr="00636008" w:rsidRDefault="002B0B24" w:rsidP="002B0B24">
      <w:pPr>
        <w:tabs>
          <w:tab w:val="num" w:pos="850"/>
        </w:tabs>
        <w:spacing w:before="120" w:after="120" w:line="360" w:lineRule="auto"/>
        <w:ind w:left="851" w:hanging="851"/>
        <w:rPr>
          <w:rFonts w:eastAsia="Calibri"/>
          <w:noProof/>
          <w:szCs w:val="22"/>
          <w:lang w:val="hr-HR" w:eastAsia="en-US"/>
        </w:rPr>
      </w:pPr>
      <w:r w:rsidRPr="00636008">
        <w:rPr>
          <w:rFonts w:eastAsia="Calibri"/>
          <w:noProof/>
          <w:szCs w:val="22"/>
          <w:lang w:val="hr-HR" w:eastAsia="en-US"/>
        </w:rPr>
        <w:t>„</w:t>
      </w:r>
    </w:p>
    <w:tbl>
      <w:tblPr>
        <w:tblStyle w:val="TableGrid"/>
        <w:tblW w:w="0" w:type="auto"/>
        <w:tblInd w:w="426" w:type="dxa"/>
        <w:tblLook w:val="04A0" w:firstRow="1" w:lastRow="0" w:firstColumn="1" w:lastColumn="0" w:noHBand="0" w:noVBand="1"/>
      </w:tblPr>
      <w:tblGrid>
        <w:gridCol w:w="4350"/>
        <w:gridCol w:w="4283"/>
      </w:tblGrid>
      <w:tr w:rsidR="002B0B24" w:rsidRPr="00636008" w14:paraId="5347BD54" w14:textId="77777777" w:rsidTr="00024248">
        <w:tc>
          <w:tcPr>
            <w:tcW w:w="4461" w:type="dxa"/>
          </w:tcPr>
          <w:p w14:paraId="73649113" w14:textId="77777777" w:rsidR="002B0B24" w:rsidRPr="00636008" w:rsidRDefault="002B0B24" w:rsidP="00636008">
            <w:pPr>
              <w:spacing w:after="160" w:line="278" w:lineRule="auto"/>
              <w:jc w:val="left"/>
              <w:rPr>
                <w:rFonts w:eastAsia="Aptos"/>
                <w:kern w:val="2"/>
                <w:szCs w:val="24"/>
                <w:lang w:val="hr-HR" w:eastAsia="en-US"/>
                <w14:ligatures w14:val="standardContextual"/>
              </w:rPr>
            </w:pPr>
            <w:r w:rsidRPr="00636008">
              <w:rPr>
                <w:rFonts w:eastAsia="Aptos"/>
                <w:kern w:val="2"/>
                <w:szCs w:val="24"/>
                <w:lang w:val="hr-HR" w:eastAsia="en-US"/>
                <w14:ligatures w14:val="standardContextual"/>
              </w:rPr>
              <w:t>Potpora poljoprivrednicima pogođenima iznimno velikim povećanjem cijena gnojiva zbog krize na Bliskom istoku (članak 78.b)</w:t>
            </w:r>
          </w:p>
        </w:tc>
        <w:tc>
          <w:tcPr>
            <w:tcW w:w="4402" w:type="dxa"/>
          </w:tcPr>
          <w:p w14:paraId="741E8E58" w14:textId="77777777" w:rsidR="002B0B24" w:rsidRPr="00636008" w:rsidRDefault="002B0B24" w:rsidP="00636008">
            <w:pPr>
              <w:spacing w:after="160" w:line="278" w:lineRule="auto"/>
              <w:jc w:val="left"/>
              <w:rPr>
                <w:rFonts w:eastAsia="Aptos"/>
                <w:kern w:val="2"/>
                <w:szCs w:val="24"/>
                <w:lang w:val="hr-HR" w:eastAsia="en-US"/>
                <w14:ligatures w14:val="standardContextual"/>
              </w:rPr>
            </w:pPr>
            <w:r w:rsidRPr="00636008">
              <w:rPr>
                <w:rFonts w:eastAsia="Aptos"/>
                <w:kern w:val="2"/>
                <w:szCs w:val="24"/>
                <w:lang w:val="hr-HR" w:eastAsia="en-US"/>
                <w14:ligatures w14:val="standardContextual"/>
              </w:rPr>
              <w:t>O.9.b Broj poljoprivrednika koji primaju potporu nakon iznimno velikog povećanja cijena gnojiva;</w:t>
            </w:r>
          </w:p>
        </w:tc>
      </w:tr>
    </w:tbl>
    <w:p w14:paraId="023726FF" w14:textId="3EAED158" w:rsidR="002B0B24" w:rsidRPr="00636008" w:rsidRDefault="002B0B24" w:rsidP="00867F29">
      <w:pPr>
        <w:tabs>
          <w:tab w:val="num" w:pos="850"/>
        </w:tabs>
        <w:spacing w:before="120" w:after="120"/>
        <w:ind w:left="850" w:hanging="850"/>
        <w:rPr>
          <w:rFonts w:eastAsia="Calibri"/>
          <w:noProof/>
          <w:szCs w:val="22"/>
          <w:lang w:val="hr-HR" w:eastAsia="en-US"/>
        </w:rPr>
      </w:pPr>
      <w:r w:rsidRPr="00636008">
        <w:rPr>
          <w:rFonts w:eastAsia="Calibri"/>
          <w:noProof/>
          <w:szCs w:val="22"/>
          <w:lang w:val="hr-HR" w:eastAsia="en-US"/>
        </w:rPr>
        <w:t>”;</w:t>
      </w:r>
    </w:p>
    <w:p w14:paraId="18DFB232" w14:textId="77777777" w:rsidR="002B0B24" w:rsidRPr="00636008" w:rsidRDefault="002B0B24" w:rsidP="00636008">
      <w:pPr>
        <w:tabs>
          <w:tab w:val="num" w:pos="850"/>
        </w:tabs>
        <w:spacing w:before="120" w:after="120" w:line="360" w:lineRule="auto"/>
        <w:ind w:left="851" w:hanging="851"/>
        <w:rPr>
          <w:rFonts w:eastAsia="Calibri"/>
          <w:noProof/>
          <w:szCs w:val="22"/>
          <w:lang w:val="hr-HR" w:eastAsia="en-US"/>
        </w:rPr>
      </w:pPr>
      <w:r w:rsidRPr="00636008">
        <w:rPr>
          <w:rFonts w:eastAsia="Calibri"/>
          <w:noProof/>
          <w:szCs w:val="22"/>
          <w:lang w:val="hr-HR" w:eastAsia="en-US"/>
        </w:rPr>
        <w:t>2.</w:t>
      </w:r>
      <w:r w:rsidRPr="00636008">
        <w:rPr>
          <w:rFonts w:eastAsia="Calibri"/>
          <w:noProof/>
          <w:szCs w:val="22"/>
          <w:lang w:val="hr-HR" w:eastAsia="en-US"/>
        </w:rPr>
        <w:tab/>
        <w:t>naslov Priloga XV. zamjenjuje se sljedećim:</w:t>
      </w:r>
    </w:p>
    <w:p w14:paraId="58C3EC6D" w14:textId="77777777" w:rsidR="002B0B24" w:rsidRPr="00636008" w:rsidRDefault="002B0B24" w:rsidP="00636008">
      <w:pPr>
        <w:spacing w:before="120" w:after="240" w:line="360" w:lineRule="auto"/>
        <w:ind w:left="1418" w:hanging="567"/>
        <w:rPr>
          <w:rFonts w:eastAsia="Calibri"/>
          <w:i/>
          <w:noProof/>
          <w:kern w:val="2"/>
          <w:szCs w:val="24"/>
          <w:lang w:val="hr-HR" w:eastAsia="en-US"/>
          <w14:ligatures w14:val="standardContextual"/>
        </w:rPr>
      </w:pPr>
      <w:r w:rsidRPr="00636008">
        <w:rPr>
          <w:rFonts w:eastAsia="Calibri"/>
          <w:i/>
          <w:noProof/>
          <w:kern w:val="2"/>
          <w:szCs w:val="22"/>
          <w:lang w:val="hr-HR" w:eastAsia="en-US"/>
          <w14:ligatures w14:val="standardContextual"/>
        </w:rPr>
        <w:t>„Prilog XV.</w:t>
      </w:r>
    </w:p>
    <w:p w14:paraId="6F51EE48" w14:textId="77777777" w:rsidR="002B0B24" w:rsidRPr="00636008" w:rsidRDefault="002B0B24" w:rsidP="00636008">
      <w:pPr>
        <w:spacing w:before="120" w:after="240" w:line="360" w:lineRule="auto"/>
        <w:ind w:left="851"/>
        <w:rPr>
          <w:rFonts w:eastAsia="Calibri"/>
          <w:noProof/>
          <w:kern w:val="2"/>
          <w:szCs w:val="24"/>
          <w:lang w:val="hr-HR" w:eastAsia="en-US"/>
          <w14:ligatures w14:val="standardContextual"/>
        </w:rPr>
      </w:pPr>
      <w:r w:rsidRPr="00636008">
        <w:rPr>
          <w:rFonts w:eastAsia="Calibri"/>
          <w:noProof/>
          <w:kern w:val="2"/>
          <w:szCs w:val="22"/>
          <w:lang w:val="hr-HR" w:eastAsia="en-US"/>
          <w14:ligatures w14:val="standardContextual"/>
        </w:rPr>
        <w:t>Maksimalni iznos po državi članici koji se može rezervirati za krizna plaćanja poljoprivrednicima iz članka 78.a i za potporu poljoprivrednicima iz članka 78.b”.</w:t>
      </w:r>
    </w:p>
    <w:p w14:paraId="352F3472" w14:textId="77777777" w:rsidR="002B0B24" w:rsidRPr="00636008" w:rsidRDefault="002B0B24" w:rsidP="002B0B24">
      <w:pPr>
        <w:spacing w:after="200" w:line="276" w:lineRule="auto"/>
        <w:rPr>
          <w:rFonts w:eastAsia="Calibri"/>
          <w:noProof/>
          <w:kern w:val="2"/>
          <w:szCs w:val="24"/>
          <w:lang w:val="hr-HR" w:eastAsia="en-US"/>
          <w14:ligatures w14:val="standardContextual"/>
        </w:rPr>
      </w:pPr>
      <w:r w:rsidRPr="00636008">
        <w:rPr>
          <w:rFonts w:eastAsia="Calibri"/>
          <w:noProof/>
          <w:kern w:val="2"/>
          <w:szCs w:val="24"/>
          <w:lang w:val="hr-HR" w:eastAsia="en-US"/>
          <w14:ligatures w14:val="standardContextual"/>
        </w:rPr>
        <w:br w:type="page"/>
      </w:r>
    </w:p>
    <w:p w14:paraId="6EFBCFA7" w14:textId="77777777" w:rsidR="002B0B24" w:rsidRPr="00636008" w:rsidRDefault="002B0B24" w:rsidP="002B0B24">
      <w:pPr>
        <w:spacing w:after="200" w:line="276" w:lineRule="auto"/>
        <w:jc w:val="center"/>
        <w:rPr>
          <w:rFonts w:eastAsia="Calibri"/>
          <w:i/>
          <w:iCs/>
          <w:noProof/>
          <w:kern w:val="2"/>
          <w:szCs w:val="24"/>
          <w:lang w:val="hr-HR" w:eastAsia="en-US"/>
          <w14:ligatures w14:val="standardContextual"/>
        </w:rPr>
      </w:pPr>
      <w:r w:rsidRPr="00636008">
        <w:rPr>
          <w:rFonts w:eastAsia="Calibri"/>
          <w:i/>
          <w:noProof/>
          <w:kern w:val="2"/>
          <w:szCs w:val="24"/>
          <w:lang w:val="hr-HR" w:eastAsia="en-US"/>
          <w14:ligatures w14:val="standardContextual"/>
        </w:rPr>
        <w:lastRenderedPageBreak/>
        <w:t>PRILOG II.</w:t>
      </w:r>
    </w:p>
    <w:p w14:paraId="4D5A3C7E" w14:textId="77777777" w:rsidR="002B0B24" w:rsidRPr="00636008" w:rsidRDefault="002B0B24" w:rsidP="002B0B24">
      <w:pPr>
        <w:spacing w:after="200" w:line="276" w:lineRule="auto"/>
        <w:jc w:val="center"/>
        <w:rPr>
          <w:rFonts w:eastAsia="Calibri"/>
          <w:i/>
          <w:iCs/>
          <w:noProof/>
          <w:kern w:val="2"/>
          <w:szCs w:val="24"/>
          <w:lang w:val="hr-HR" w:eastAsia="en-US"/>
          <w14:ligatures w14:val="standardContextual"/>
        </w:rPr>
      </w:pPr>
      <w:r w:rsidRPr="00636008">
        <w:rPr>
          <w:rFonts w:eastAsia="Calibri"/>
          <w:i/>
          <w:noProof/>
          <w:kern w:val="2"/>
          <w:szCs w:val="24"/>
          <w:lang w:val="hr-HR" w:eastAsia="en-US"/>
          <w14:ligatures w14:val="standardContextual"/>
        </w:rPr>
        <w:t>„Prilog XVI.</w:t>
      </w:r>
    </w:p>
    <w:p w14:paraId="19CF8D4F" w14:textId="77777777" w:rsidR="002B0B24" w:rsidRPr="00636008" w:rsidRDefault="002B0B24" w:rsidP="002B0B24">
      <w:pPr>
        <w:spacing w:after="200" w:line="276" w:lineRule="auto"/>
        <w:jc w:val="center"/>
        <w:rPr>
          <w:rFonts w:eastAsia="Calibri"/>
          <w:b/>
          <w:bCs/>
          <w:i/>
          <w:iCs/>
          <w:noProof/>
          <w:kern w:val="2"/>
          <w:szCs w:val="24"/>
          <w:lang w:val="hr-HR" w:eastAsia="en-US"/>
          <w14:ligatures w14:val="standardContextual"/>
        </w:rPr>
      </w:pPr>
      <w:r w:rsidRPr="00636008">
        <w:rPr>
          <w:rFonts w:eastAsia="Calibri"/>
          <w:b/>
          <w:i/>
          <w:noProof/>
          <w:kern w:val="2"/>
          <w:szCs w:val="24"/>
          <w:lang w:val="hr-HR" w:eastAsia="en-US"/>
          <w14:ligatures w14:val="standardContextual"/>
        </w:rPr>
        <w:t xml:space="preserve">MAKSIMALNI IZNOSI IZ ČLANKA 103.A </w:t>
      </w:r>
    </w:p>
    <w:p w14:paraId="4A6CD9E1" w14:textId="77777777" w:rsidR="002B0B24" w:rsidRPr="00636008" w:rsidRDefault="002B0B24" w:rsidP="002B0B24">
      <w:pPr>
        <w:spacing w:after="200" w:line="276" w:lineRule="auto"/>
        <w:jc w:val="center"/>
        <w:rPr>
          <w:rFonts w:eastAsia="Calibri"/>
          <w:i/>
          <w:iCs/>
          <w:noProof/>
          <w:kern w:val="2"/>
          <w:sz w:val="22"/>
          <w:szCs w:val="22"/>
          <w:lang w:val="hr-HR" w:eastAsia="en-US"/>
          <w14:ligatures w14:val="standardContextual"/>
        </w:rPr>
      </w:pPr>
    </w:p>
    <w:p w14:paraId="4CEF5FD5" w14:textId="77777777" w:rsidR="002B0B24" w:rsidRPr="00636008" w:rsidRDefault="002B0B24" w:rsidP="002B0B24">
      <w:pPr>
        <w:spacing w:after="200" w:line="276" w:lineRule="auto"/>
        <w:rPr>
          <w:rFonts w:eastAsia="Calibri"/>
          <w:i/>
          <w:iCs/>
          <w:noProof/>
          <w:kern w:val="2"/>
          <w:szCs w:val="24"/>
          <w:lang w:val="hr-HR" w:eastAsia="en-US"/>
          <w14:ligatures w14:val="standardContextual"/>
        </w:rPr>
      </w:pPr>
      <w:r w:rsidRPr="00636008">
        <w:rPr>
          <w:rFonts w:eastAsia="Calibri"/>
          <w:i/>
          <w:noProof/>
          <w:kern w:val="2"/>
          <w:szCs w:val="24"/>
          <w:lang w:val="hr-HR" w:eastAsia="en-US"/>
          <w14:ligatures w14:val="standardContextual"/>
        </w:rPr>
        <w:t>Maksimalni iznos povećanja za dodijeljena sredstva za izravna plaćanja za kalendarsku godinu 2027. po državi članici</w:t>
      </w:r>
    </w:p>
    <w:tbl>
      <w:tblPr>
        <w:tblStyle w:val="TableGrid1"/>
        <w:tblW w:w="0" w:type="auto"/>
        <w:tblInd w:w="1696" w:type="dxa"/>
        <w:tblLook w:val="04A0" w:firstRow="1" w:lastRow="0" w:firstColumn="1" w:lastColumn="0" w:noHBand="0" w:noVBand="1"/>
      </w:tblPr>
      <w:tblGrid>
        <w:gridCol w:w="2417"/>
        <w:gridCol w:w="2374"/>
      </w:tblGrid>
      <w:tr w:rsidR="002B0B24" w:rsidRPr="00636008" w14:paraId="3225AA3E" w14:textId="77777777" w:rsidTr="00024248">
        <w:trPr>
          <w:trHeight w:val="300"/>
        </w:trPr>
        <w:tc>
          <w:tcPr>
            <w:tcW w:w="2417" w:type="dxa"/>
            <w:noWrap/>
          </w:tcPr>
          <w:p w14:paraId="163C5914" w14:textId="77777777" w:rsidR="002B0B24" w:rsidRPr="00636008" w:rsidRDefault="002B0B24" w:rsidP="002B0B24">
            <w:pPr>
              <w:spacing w:before="120" w:after="120" w:line="278" w:lineRule="auto"/>
              <w:rPr>
                <w:rFonts w:ascii="Times New Roman" w:hAnsi="Times New Roman"/>
                <w:noProof/>
                <w:lang w:val="hr-HR"/>
              </w:rPr>
            </w:pPr>
          </w:p>
        </w:tc>
        <w:tc>
          <w:tcPr>
            <w:tcW w:w="2374" w:type="dxa"/>
            <w:noWrap/>
          </w:tcPr>
          <w:p w14:paraId="243220EB"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EUR (u tekućim cijenama)</w:t>
            </w:r>
          </w:p>
        </w:tc>
      </w:tr>
      <w:tr w:rsidR="002B0B24" w:rsidRPr="00636008" w14:paraId="2824BECD" w14:textId="77777777" w:rsidTr="00024248">
        <w:trPr>
          <w:trHeight w:val="300"/>
        </w:trPr>
        <w:tc>
          <w:tcPr>
            <w:tcW w:w="2417" w:type="dxa"/>
            <w:noWrap/>
            <w:hideMark/>
          </w:tcPr>
          <w:p w14:paraId="6A00E250"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Belgija</w:t>
            </w:r>
          </w:p>
        </w:tc>
        <w:tc>
          <w:tcPr>
            <w:tcW w:w="2374" w:type="dxa"/>
            <w:noWrap/>
            <w:hideMark/>
          </w:tcPr>
          <w:p w14:paraId="3EF71671"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20 700 224</w:t>
            </w:r>
          </w:p>
        </w:tc>
      </w:tr>
      <w:tr w:rsidR="002B0B24" w:rsidRPr="00636008" w14:paraId="14016828" w14:textId="77777777" w:rsidTr="00024248">
        <w:trPr>
          <w:trHeight w:val="300"/>
        </w:trPr>
        <w:tc>
          <w:tcPr>
            <w:tcW w:w="2417" w:type="dxa"/>
            <w:noWrap/>
            <w:hideMark/>
          </w:tcPr>
          <w:p w14:paraId="24B87878"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Bugarska</w:t>
            </w:r>
          </w:p>
        </w:tc>
        <w:tc>
          <w:tcPr>
            <w:tcW w:w="2374" w:type="dxa"/>
            <w:noWrap/>
            <w:hideMark/>
          </w:tcPr>
          <w:p w14:paraId="53F25DB2"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84 648 793</w:t>
            </w:r>
          </w:p>
        </w:tc>
      </w:tr>
      <w:tr w:rsidR="002B0B24" w:rsidRPr="00636008" w14:paraId="10B6A3D5" w14:textId="77777777" w:rsidTr="00024248">
        <w:trPr>
          <w:trHeight w:val="300"/>
        </w:trPr>
        <w:tc>
          <w:tcPr>
            <w:tcW w:w="2417" w:type="dxa"/>
            <w:noWrap/>
            <w:hideMark/>
          </w:tcPr>
          <w:p w14:paraId="15058EFD"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Češka</w:t>
            </w:r>
          </w:p>
        </w:tc>
        <w:tc>
          <w:tcPr>
            <w:tcW w:w="2374" w:type="dxa"/>
            <w:noWrap/>
            <w:hideMark/>
          </w:tcPr>
          <w:p w14:paraId="114B4C31"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64 796 927</w:t>
            </w:r>
          </w:p>
        </w:tc>
      </w:tr>
      <w:tr w:rsidR="002B0B24" w:rsidRPr="00636008" w14:paraId="783C8EA8" w14:textId="77777777" w:rsidTr="00024248">
        <w:trPr>
          <w:trHeight w:val="300"/>
        </w:trPr>
        <w:tc>
          <w:tcPr>
            <w:tcW w:w="2417" w:type="dxa"/>
            <w:noWrap/>
            <w:hideMark/>
          </w:tcPr>
          <w:p w14:paraId="49B7E66A"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Danska</w:t>
            </w:r>
          </w:p>
        </w:tc>
        <w:tc>
          <w:tcPr>
            <w:tcW w:w="2374" w:type="dxa"/>
            <w:noWrap/>
            <w:hideMark/>
          </w:tcPr>
          <w:p w14:paraId="2F0F47A7"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18 983 515</w:t>
            </w:r>
          </w:p>
        </w:tc>
      </w:tr>
      <w:tr w:rsidR="002B0B24" w:rsidRPr="00636008" w14:paraId="13BE66F3" w14:textId="77777777" w:rsidTr="00024248">
        <w:trPr>
          <w:trHeight w:val="300"/>
        </w:trPr>
        <w:tc>
          <w:tcPr>
            <w:tcW w:w="2417" w:type="dxa"/>
            <w:noWrap/>
            <w:hideMark/>
          </w:tcPr>
          <w:p w14:paraId="4639BDB0"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Njemačka</w:t>
            </w:r>
          </w:p>
        </w:tc>
        <w:tc>
          <w:tcPr>
            <w:tcW w:w="2374" w:type="dxa"/>
            <w:noWrap/>
            <w:hideMark/>
          </w:tcPr>
          <w:p w14:paraId="302EF01D"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273 089 935</w:t>
            </w:r>
          </w:p>
        </w:tc>
      </w:tr>
      <w:tr w:rsidR="002B0B24" w:rsidRPr="00636008" w14:paraId="540F43D8" w14:textId="77777777" w:rsidTr="00024248">
        <w:trPr>
          <w:trHeight w:val="300"/>
        </w:trPr>
        <w:tc>
          <w:tcPr>
            <w:tcW w:w="2417" w:type="dxa"/>
            <w:noWrap/>
            <w:hideMark/>
          </w:tcPr>
          <w:p w14:paraId="0A8026A9"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Estonija</w:t>
            </w:r>
          </w:p>
        </w:tc>
        <w:tc>
          <w:tcPr>
            <w:tcW w:w="2374" w:type="dxa"/>
            <w:noWrap/>
            <w:hideMark/>
          </w:tcPr>
          <w:p w14:paraId="7157E594"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26 404 994</w:t>
            </w:r>
          </w:p>
        </w:tc>
      </w:tr>
      <w:tr w:rsidR="002B0B24" w:rsidRPr="00636008" w14:paraId="2770D6EF" w14:textId="77777777" w:rsidTr="00024248">
        <w:trPr>
          <w:trHeight w:val="300"/>
        </w:trPr>
        <w:tc>
          <w:tcPr>
            <w:tcW w:w="2417" w:type="dxa"/>
            <w:noWrap/>
            <w:hideMark/>
          </w:tcPr>
          <w:p w14:paraId="68AA90A8"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Irska</w:t>
            </w:r>
          </w:p>
        </w:tc>
        <w:tc>
          <w:tcPr>
            <w:tcW w:w="2374" w:type="dxa"/>
            <w:noWrap/>
            <w:hideMark/>
          </w:tcPr>
          <w:p w14:paraId="727C590A"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77 910 157</w:t>
            </w:r>
          </w:p>
        </w:tc>
      </w:tr>
      <w:tr w:rsidR="002B0B24" w:rsidRPr="00636008" w14:paraId="00A9C35A" w14:textId="77777777" w:rsidTr="00024248">
        <w:trPr>
          <w:trHeight w:val="300"/>
        </w:trPr>
        <w:tc>
          <w:tcPr>
            <w:tcW w:w="2417" w:type="dxa"/>
            <w:noWrap/>
            <w:hideMark/>
          </w:tcPr>
          <w:p w14:paraId="2EF263DF"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Grčka</w:t>
            </w:r>
          </w:p>
        </w:tc>
        <w:tc>
          <w:tcPr>
            <w:tcW w:w="2374" w:type="dxa"/>
            <w:noWrap/>
            <w:hideMark/>
          </w:tcPr>
          <w:p w14:paraId="23EE1BB5"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139 238 400</w:t>
            </w:r>
          </w:p>
        </w:tc>
      </w:tr>
      <w:tr w:rsidR="002B0B24" w:rsidRPr="00636008" w14:paraId="0C9F03E1" w14:textId="77777777" w:rsidTr="00024248">
        <w:trPr>
          <w:trHeight w:val="300"/>
        </w:trPr>
        <w:tc>
          <w:tcPr>
            <w:tcW w:w="2417" w:type="dxa"/>
            <w:noWrap/>
            <w:hideMark/>
          </w:tcPr>
          <w:p w14:paraId="0BB809F2"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Španjolska</w:t>
            </w:r>
          </w:p>
        </w:tc>
        <w:tc>
          <w:tcPr>
            <w:tcW w:w="2374" w:type="dxa"/>
            <w:noWrap/>
            <w:hideMark/>
          </w:tcPr>
          <w:p w14:paraId="2E624FE0"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324 114 848</w:t>
            </w:r>
          </w:p>
        </w:tc>
      </w:tr>
      <w:tr w:rsidR="002B0B24" w:rsidRPr="00636008" w14:paraId="18F0AB5E" w14:textId="77777777" w:rsidTr="00024248">
        <w:trPr>
          <w:trHeight w:val="300"/>
        </w:trPr>
        <w:tc>
          <w:tcPr>
            <w:tcW w:w="2417" w:type="dxa"/>
            <w:noWrap/>
            <w:hideMark/>
          </w:tcPr>
          <w:p w14:paraId="4B64931C"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Francuska</w:t>
            </w:r>
          </w:p>
        </w:tc>
        <w:tc>
          <w:tcPr>
            <w:tcW w:w="2374" w:type="dxa"/>
            <w:noWrap/>
            <w:hideMark/>
          </w:tcPr>
          <w:p w14:paraId="6C6C7C7D"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364 860 018</w:t>
            </w:r>
          </w:p>
        </w:tc>
      </w:tr>
      <w:tr w:rsidR="002B0B24" w:rsidRPr="00636008" w14:paraId="52658101" w14:textId="77777777" w:rsidTr="00024248">
        <w:trPr>
          <w:trHeight w:val="300"/>
        </w:trPr>
        <w:tc>
          <w:tcPr>
            <w:tcW w:w="2417" w:type="dxa"/>
            <w:tcBorders>
              <w:bottom w:val="single" w:sz="4" w:space="0" w:color="auto"/>
            </w:tcBorders>
            <w:noWrap/>
            <w:hideMark/>
          </w:tcPr>
          <w:p w14:paraId="63EAF49C"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Hrvatska</w:t>
            </w:r>
          </w:p>
        </w:tc>
        <w:tc>
          <w:tcPr>
            <w:tcW w:w="2374" w:type="dxa"/>
            <w:tcBorders>
              <w:bottom w:val="single" w:sz="4" w:space="0" w:color="auto"/>
            </w:tcBorders>
            <w:noWrap/>
            <w:hideMark/>
          </w:tcPr>
          <w:p w14:paraId="47B6FF1B"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74 326 850</w:t>
            </w:r>
          </w:p>
        </w:tc>
      </w:tr>
      <w:tr w:rsidR="002B0B24" w:rsidRPr="00636008" w14:paraId="5D54A229" w14:textId="77777777" w:rsidTr="00024248">
        <w:trPr>
          <w:trHeight w:val="300"/>
        </w:trPr>
        <w:tc>
          <w:tcPr>
            <w:tcW w:w="2417" w:type="dxa"/>
            <w:tcBorders>
              <w:bottom w:val="single" w:sz="4" w:space="0" w:color="auto"/>
            </w:tcBorders>
            <w:noWrap/>
            <w:hideMark/>
          </w:tcPr>
          <w:p w14:paraId="1B12E72C"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Italija</w:t>
            </w:r>
          </w:p>
        </w:tc>
        <w:tc>
          <w:tcPr>
            <w:tcW w:w="2374" w:type="dxa"/>
            <w:tcBorders>
              <w:bottom w:val="single" w:sz="4" w:space="0" w:color="auto"/>
            </w:tcBorders>
            <w:noWrap/>
            <w:hideMark/>
          </w:tcPr>
          <w:p w14:paraId="3F3B345D"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337 480 344</w:t>
            </w:r>
          </w:p>
        </w:tc>
      </w:tr>
    </w:tbl>
    <w:p w14:paraId="12DDD896" w14:textId="77777777" w:rsidR="002B0B24" w:rsidRPr="00636008" w:rsidRDefault="002B0B24" w:rsidP="002B0B24">
      <w:pPr>
        <w:spacing w:after="160" w:line="278" w:lineRule="auto"/>
        <w:rPr>
          <w:rFonts w:ascii="Aptos" w:eastAsia="Aptos" w:hAnsi="Aptos"/>
          <w:kern w:val="2"/>
          <w:szCs w:val="24"/>
          <w:lang w:val="en-GB" w:eastAsia="en-US"/>
          <w14:ligatures w14:val="standardContextual"/>
        </w:rPr>
      </w:pPr>
    </w:p>
    <w:p w14:paraId="63CAB63A" w14:textId="77777777" w:rsidR="002B0B24" w:rsidRPr="00636008" w:rsidRDefault="002B0B24" w:rsidP="002B0B24">
      <w:pPr>
        <w:spacing w:after="160" w:line="278" w:lineRule="auto"/>
        <w:rPr>
          <w:rFonts w:ascii="Aptos" w:eastAsia="Aptos" w:hAnsi="Aptos"/>
          <w:kern w:val="2"/>
          <w:szCs w:val="24"/>
          <w:lang w:val="en-GB" w:eastAsia="en-US"/>
          <w14:ligatures w14:val="standardContextual"/>
        </w:rPr>
      </w:pPr>
      <w:r w:rsidRPr="00636008">
        <w:rPr>
          <w:rFonts w:ascii="Aptos" w:eastAsia="Aptos" w:hAnsi="Aptos"/>
          <w:kern w:val="2"/>
          <w:szCs w:val="24"/>
          <w:lang w:val="en-GB" w:eastAsia="en-US"/>
          <w14:ligatures w14:val="standardContextual"/>
        </w:rPr>
        <w:br w:type="page"/>
      </w:r>
    </w:p>
    <w:tbl>
      <w:tblPr>
        <w:tblStyle w:val="TableGrid1"/>
        <w:tblW w:w="0" w:type="auto"/>
        <w:tblInd w:w="1696" w:type="dxa"/>
        <w:tblLook w:val="04A0" w:firstRow="1" w:lastRow="0" w:firstColumn="1" w:lastColumn="0" w:noHBand="0" w:noVBand="1"/>
      </w:tblPr>
      <w:tblGrid>
        <w:gridCol w:w="2417"/>
        <w:gridCol w:w="2374"/>
      </w:tblGrid>
      <w:tr w:rsidR="002B0B24" w:rsidRPr="00636008" w14:paraId="51E43598" w14:textId="77777777" w:rsidTr="00024248">
        <w:trPr>
          <w:trHeight w:val="300"/>
        </w:trPr>
        <w:tc>
          <w:tcPr>
            <w:tcW w:w="2417" w:type="dxa"/>
            <w:noWrap/>
            <w:hideMark/>
          </w:tcPr>
          <w:p w14:paraId="72BDB0B3"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lastRenderedPageBreak/>
              <w:t>Cipar</w:t>
            </w:r>
          </w:p>
        </w:tc>
        <w:tc>
          <w:tcPr>
            <w:tcW w:w="2374" w:type="dxa"/>
            <w:noWrap/>
            <w:hideMark/>
          </w:tcPr>
          <w:p w14:paraId="7230B6DD"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5 942 629</w:t>
            </w:r>
          </w:p>
        </w:tc>
      </w:tr>
      <w:tr w:rsidR="002B0B24" w:rsidRPr="00636008" w14:paraId="34C4A947" w14:textId="77777777" w:rsidTr="00024248">
        <w:trPr>
          <w:trHeight w:val="300"/>
        </w:trPr>
        <w:tc>
          <w:tcPr>
            <w:tcW w:w="2417" w:type="dxa"/>
            <w:noWrap/>
            <w:hideMark/>
          </w:tcPr>
          <w:p w14:paraId="3AE8E50E"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Latvija</w:t>
            </w:r>
          </w:p>
        </w:tc>
        <w:tc>
          <w:tcPr>
            <w:tcW w:w="2374" w:type="dxa"/>
            <w:noWrap/>
            <w:hideMark/>
          </w:tcPr>
          <w:p w14:paraId="13A825F3"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35 248 552</w:t>
            </w:r>
          </w:p>
        </w:tc>
      </w:tr>
      <w:tr w:rsidR="002B0B24" w:rsidRPr="00636008" w14:paraId="3224B53A" w14:textId="77777777" w:rsidTr="00024248">
        <w:trPr>
          <w:trHeight w:val="300"/>
        </w:trPr>
        <w:tc>
          <w:tcPr>
            <w:tcW w:w="2417" w:type="dxa"/>
            <w:noWrap/>
            <w:hideMark/>
          </w:tcPr>
          <w:p w14:paraId="779EE600"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Litva</w:t>
            </w:r>
          </w:p>
        </w:tc>
        <w:tc>
          <w:tcPr>
            <w:tcW w:w="2374" w:type="dxa"/>
            <w:noWrap/>
            <w:hideMark/>
          </w:tcPr>
          <w:p w14:paraId="25EA8CB5"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58 648 549</w:t>
            </w:r>
          </w:p>
        </w:tc>
      </w:tr>
      <w:tr w:rsidR="002B0B24" w:rsidRPr="00636008" w14:paraId="3344CFFA" w14:textId="77777777" w:rsidTr="00024248">
        <w:trPr>
          <w:trHeight w:val="300"/>
        </w:trPr>
        <w:tc>
          <w:tcPr>
            <w:tcW w:w="2417" w:type="dxa"/>
            <w:noWrap/>
            <w:hideMark/>
          </w:tcPr>
          <w:p w14:paraId="454931C2"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Luksemburg</w:t>
            </w:r>
          </w:p>
        </w:tc>
        <w:tc>
          <w:tcPr>
            <w:tcW w:w="2374" w:type="dxa"/>
            <w:noWrap/>
            <w:hideMark/>
          </w:tcPr>
          <w:p w14:paraId="2406C874"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3 077 661</w:t>
            </w:r>
          </w:p>
        </w:tc>
      </w:tr>
      <w:tr w:rsidR="002B0B24" w:rsidRPr="00636008" w14:paraId="63EB2183" w14:textId="77777777" w:rsidTr="00024248">
        <w:trPr>
          <w:trHeight w:val="300"/>
        </w:trPr>
        <w:tc>
          <w:tcPr>
            <w:tcW w:w="2417" w:type="dxa"/>
            <w:noWrap/>
            <w:hideMark/>
          </w:tcPr>
          <w:p w14:paraId="71EB6862"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Mađarska</w:t>
            </w:r>
          </w:p>
        </w:tc>
        <w:tc>
          <w:tcPr>
            <w:tcW w:w="2374" w:type="dxa"/>
            <w:noWrap/>
            <w:hideMark/>
          </w:tcPr>
          <w:p w14:paraId="6F106B23"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104 217 287</w:t>
            </w:r>
          </w:p>
        </w:tc>
      </w:tr>
      <w:tr w:rsidR="002B0B24" w:rsidRPr="00636008" w14:paraId="326ADCD1" w14:textId="77777777" w:rsidTr="00024248">
        <w:trPr>
          <w:trHeight w:val="300"/>
        </w:trPr>
        <w:tc>
          <w:tcPr>
            <w:tcW w:w="2417" w:type="dxa"/>
            <w:noWrap/>
            <w:hideMark/>
          </w:tcPr>
          <w:p w14:paraId="4E718BE9"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Malta</w:t>
            </w:r>
          </w:p>
        </w:tc>
        <w:tc>
          <w:tcPr>
            <w:tcW w:w="2374" w:type="dxa"/>
            <w:noWrap/>
            <w:hideMark/>
          </w:tcPr>
          <w:p w14:paraId="75114401"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4 996 124</w:t>
            </w:r>
          </w:p>
        </w:tc>
      </w:tr>
      <w:tr w:rsidR="002B0B24" w:rsidRPr="00636008" w14:paraId="0FBF9869" w14:textId="77777777" w:rsidTr="00024248">
        <w:trPr>
          <w:trHeight w:val="300"/>
        </w:trPr>
        <w:tc>
          <w:tcPr>
            <w:tcW w:w="2417" w:type="dxa"/>
            <w:noWrap/>
            <w:hideMark/>
          </w:tcPr>
          <w:p w14:paraId="48A5FA8B"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Nizozemska</w:t>
            </w:r>
          </w:p>
        </w:tc>
        <w:tc>
          <w:tcPr>
            <w:tcW w:w="2374" w:type="dxa"/>
            <w:noWrap/>
            <w:hideMark/>
          </w:tcPr>
          <w:p w14:paraId="22897E50"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18 317 092</w:t>
            </w:r>
          </w:p>
        </w:tc>
      </w:tr>
      <w:tr w:rsidR="002B0B24" w:rsidRPr="00636008" w14:paraId="3801F7F2" w14:textId="77777777" w:rsidTr="00024248">
        <w:trPr>
          <w:trHeight w:val="300"/>
        </w:trPr>
        <w:tc>
          <w:tcPr>
            <w:tcW w:w="2417" w:type="dxa"/>
            <w:noWrap/>
            <w:hideMark/>
          </w:tcPr>
          <w:p w14:paraId="4446A359"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Austrija</w:t>
            </w:r>
          </w:p>
        </w:tc>
        <w:tc>
          <w:tcPr>
            <w:tcW w:w="2374" w:type="dxa"/>
            <w:noWrap/>
            <w:hideMark/>
          </w:tcPr>
          <w:p w14:paraId="64F577CE"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130 006 188</w:t>
            </w:r>
          </w:p>
        </w:tc>
      </w:tr>
      <w:tr w:rsidR="002B0B24" w:rsidRPr="00636008" w14:paraId="242B018A" w14:textId="77777777" w:rsidTr="00024248">
        <w:trPr>
          <w:trHeight w:val="300"/>
        </w:trPr>
        <w:tc>
          <w:tcPr>
            <w:tcW w:w="2417" w:type="dxa"/>
            <w:noWrap/>
            <w:hideMark/>
          </w:tcPr>
          <w:p w14:paraId="3E91DE26"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Poljska</w:t>
            </w:r>
          </w:p>
        </w:tc>
        <w:tc>
          <w:tcPr>
            <w:tcW w:w="2374" w:type="dxa"/>
            <w:noWrap/>
            <w:hideMark/>
          </w:tcPr>
          <w:p w14:paraId="7D042C78"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396 000 462</w:t>
            </w:r>
          </w:p>
        </w:tc>
      </w:tr>
      <w:tr w:rsidR="002B0B24" w:rsidRPr="00636008" w14:paraId="04C696D7" w14:textId="77777777" w:rsidTr="00024248">
        <w:trPr>
          <w:trHeight w:val="300"/>
        </w:trPr>
        <w:tc>
          <w:tcPr>
            <w:tcW w:w="2417" w:type="dxa"/>
            <w:noWrap/>
            <w:hideMark/>
          </w:tcPr>
          <w:p w14:paraId="20E6CE0C"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Portugal</w:t>
            </w:r>
          </w:p>
        </w:tc>
        <w:tc>
          <w:tcPr>
            <w:tcW w:w="2374" w:type="dxa"/>
            <w:noWrap/>
            <w:hideMark/>
          </w:tcPr>
          <w:p w14:paraId="517B5DB4"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162 165 186</w:t>
            </w:r>
          </w:p>
        </w:tc>
      </w:tr>
      <w:tr w:rsidR="002B0B24" w:rsidRPr="00636008" w14:paraId="3346D228" w14:textId="77777777" w:rsidTr="00024248">
        <w:trPr>
          <w:trHeight w:val="300"/>
        </w:trPr>
        <w:tc>
          <w:tcPr>
            <w:tcW w:w="2417" w:type="dxa"/>
            <w:noWrap/>
            <w:hideMark/>
          </w:tcPr>
          <w:p w14:paraId="51955E6B"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Rumunjska</w:t>
            </w:r>
          </w:p>
        </w:tc>
        <w:tc>
          <w:tcPr>
            <w:tcW w:w="2374" w:type="dxa"/>
            <w:noWrap/>
            <w:hideMark/>
          </w:tcPr>
          <w:p w14:paraId="6A53FE11"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290 114 968</w:t>
            </w:r>
          </w:p>
        </w:tc>
      </w:tr>
      <w:tr w:rsidR="002B0B24" w:rsidRPr="00636008" w14:paraId="12F92EE4" w14:textId="77777777" w:rsidTr="00024248">
        <w:trPr>
          <w:trHeight w:val="300"/>
        </w:trPr>
        <w:tc>
          <w:tcPr>
            <w:tcW w:w="2417" w:type="dxa"/>
            <w:noWrap/>
            <w:hideMark/>
          </w:tcPr>
          <w:p w14:paraId="3EF9054C"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Slovenija</w:t>
            </w:r>
          </w:p>
        </w:tc>
        <w:tc>
          <w:tcPr>
            <w:tcW w:w="2374" w:type="dxa"/>
            <w:noWrap/>
            <w:hideMark/>
          </w:tcPr>
          <w:p w14:paraId="724D1A5C"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27 542 548</w:t>
            </w:r>
          </w:p>
        </w:tc>
      </w:tr>
      <w:tr w:rsidR="002B0B24" w:rsidRPr="00636008" w14:paraId="4E198D25" w14:textId="77777777" w:rsidTr="00024248">
        <w:trPr>
          <w:trHeight w:val="300"/>
        </w:trPr>
        <w:tc>
          <w:tcPr>
            <w:tcW w:w="2417" w:type="dxa"/>
            <w:noWrap/>
            <w:hideMark/>
          </w:tcPr>
          <w:p w14:paraId="7C8890DB"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Slovačka</w:t>
            </w:r>
          </w:p>
        </w:tc>
        <w:tc>
          <w:tcPr>
            <w:tcW w:w="2374" w:type="dxa"/>
            <w:noWrap/>
            <w:hideMark/>
          </w:tcPr>
          <w:p w14:paraId="1E2A0BF6"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77 723 373</w:t>
            </w:r>
          </w:p>
        </w:tc>
      </w:tr>
      <w:tr w:rsidR="002B0B24" w:rsidRPr="00636008" w14:paraId="0D5A8386" w14:textId="77777777" w:rsidTr="00024248">
        <w:trPr>
          <w:trHeight w:val="300"/>
        </w:trPr>
        <w:tc>
          <w:tcPr>
            <w:tcW w:w="2417" w:type="dxa"/>
            <w:noWrap/>
            <w:hideMark/>
          </w:tcPr>
          <w:p w14:paraId="4548A7CC"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Finska</w:t>
            </w:r>
          </w:p>
        </w:tc>
        <w:tc>
          <w:tcPr>
            <w:tcW w:w="2374" w:type="dxa"/>
            <w:noWrap/>
            <w:hideMark/>
          </w:tcPr>
          <w:p w14:paraId="0F5A1168"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106 364 987</w:t>
            </w:r>
          </w:p>
        </w:tc>
      </w:tr>
      <w:tr w:rsidR="002B0B24" w:rsidRPr="00636008" w14:paraId="1D7E8EC8" w14:textId="77777777" w:rsidTr="00024248">
        <w:trPr>
          <w:trHeight w:val="300"/>
        </w:trPr>
        <w:tc>
          <w:tcPr>
            <w:tcW w:w="2417" w:type="dxa"/>
            <w:noWrap/>
            <w:hideMark/>
          </w:tcPr>
          <w:p w14:paraId="64745CC1"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Švedska</w:t>
            </w:r>
          </w:p>
        </w:tc>
        <w:tc>
          <w:tcPr>
            <w:tcW w:w="2374" w:type="dxa"/>
            <w:noWrap/>
            <w:hideMark/>
          </w:tcPr>
          <w:p w14:paraId="5F175757" w14:textId="77777777" w:rsidR="002B0B24" w:rsidRPr="00636008" w:rsidRDefault="002B0B24" w:rsidP="002B0B24">
            <w:pPr>
              <w:spacing w:before="120" w:after="120" w:line="278" w:lineRule="auto"/>
              <w:jc w:val="right"/>
              <w:rPr>
                <w:rFonts w:ascii="Times New Roman" w:hAnsi="Times New Roman"/>
                <w:noProof/>
                <w:lang w:val="en-GB"/>
              </w:rPr>
            </w:pPr>
            <w:r w:rsidRPr="00636008">
              <w:rPr>
                <w:rFonts w:ascii="Times New Roman" w:hAnsi="Times New Roman"/>
                <w:noProof/>
                <w:lang w:val="en-GB"/>
              </w:rPr>
              <w:t>63 566 922</w:t>
            </w:r>
          </w:p>
        </w:tc>
      </w:tr>
    </w:tbl>
    <w:p w14:paraId="1B3850E5" w14:textId="77777777" w:rsidR="002B0B24" w:rsidRPr="00636008" w:rsidRDefault="002B0B24" w:rsidP="002B0B24">
      <w:pPr>
        <w:spacing w:after="200" w:line="276" w:lineRule="auto"/>
        <w:rPr>
          <w:rFonts w:eastAsia="Calibri"/>
          <w:i/>
          <w:iCs/>
          <w:noProof/>
          <w:kern w:val="2"/>
          <w:sz w:val="22"/>
          <w:szCs w:val="22"/>
          <w:lang w:val="hr-HR" w:eastAsia="en-US"/>
          <w14:ligatures w14:val="standardContextual"/>
        </w:rPr>
      </w:pPr>
    </w:p>
    <w:p w14:paraId="5A842A8B" w14:textId="77777777" w:rsidR="002B0B24" w:rsidRPr="00636008" w:rsidRDefault="002B0B24" w:rsidP="002B0B24">
      <w:pPr>
        <w:spacing w:after="200" w:line="276" w:lineRule="auto"/>
        <w:rPr>
          <w:rFonts w:eastAsia="Calibri"/>
          <w:i/>
          <w:noProof/>
          <w:kern w:val="2"/>
          <w:sz w:val="22"/>
          <w:szCs w:val="22"/>
          <w:lang w:val="hr-HR" w:eastAsia="en-US"/>
          <w14:ligatures w14:val="standardContextual"/>
        </w:rPr>
      </w:pPr>
      <w:r w:rsidRPr="00636008">
        <w:rPr>
          <w:rFonts w:eastAsia="Calibri"/>
          <w:i/>
          <w:noProof/>
          <w:kern w:val="2"/>
          <w:sz w:val="22"/>
          <w:szCs w:val="22"/>
          <w:lang w:val="hr-HR" w:eastAsia="en-US"/>
          <w14:ligatures w14:val="standardContextual"/>
        </w:rPr>
        <w:br w:type="page"/>
      </w:r>
    </w:p>
    <w:p w14:paraId="1B611008" w14:textId="77777777" w:rsidR="002B0B24" w:rsidRPr="00636008" w:rsidRDefault="002B0B24" w:rsidP="002B0B24">
      <w:pPr>
        <w:spacing w:after="200" w:line="276" w:lineRule="auto"/>
        <w:rPr>
          <w:rFonts w:eastAsia="Calibri"/>
          <w:i/>
          <w:iCs/>
          <w:noProof/>
          <w:kern w:val="2"/>
          <w:szCs w:val="24"/>
          <w:lang w:val="hr-HR" w:eastAsia="en-US"/>
          <w14:ligatures w14:val="standardContextual"/>
        </w:rPr>
      </w:pPr>
      <w:r w:rsidRPr="00636008">
        <w:rPr>
          <w:rFonts w:eastAsia="Calibri"/>
          <w:i/>
          <w:noProof/>
          <w:kern w:val="2"/>
          <w:szCs w:val="24"/>
          <w:lang w:val="hr-HR" w:eastAsia="en-US"/>
          <w14:ligatures w14:val="standardContextual"/>
        </w:rPr>
        <w:lastRenderedPageBreak/>
        <w:t>Maksimalni iznos smanjenja za dodijeljena sredstva za izravna plaćanja za kalendarsku godinu 2027. po državi članici</w:t>
      </w:r>
    </w:p>
    <w:tbl>
      <w:tblPr>
        <w:tblStyle w:val="TableGrid2"/>
        <w:tblW w:w="0" w:type="auto"/>
        <w:tblInd w:w="1696" w:type="dxa"/>
        <w:tblLook w:val="04A0" w:firstRow="1" w:lastRow="0" w:firstColumn="1" w:lastColumn="0" w:noHBand="0" w:noVBand="1"/>
      </w:tblPr>
      <w:tblGrid>
        <w:gridCol w:w="2417"/>
        <w:gridCol w:w="2374"/>
      </w:tblGrid>
      <w:tr w:rsidR="002B0B24" w:rsidRPr="00636008" w14:paraId="2CCFA30D" w14:textId="77777777" w:rsidTr="00024248">
        <w:trPr>
          <w:trHeight w:val="300"/>
        </w:trPr>
        <w:tc>
          <w:tcPr>
            <w:tcW w:w="2417" w:type="dxa"/>
            <w:noWrap/>
            <w:vAlign w:val="center"/>
          </w:tcPr>
          <w:p w14:paraId="75B0CE35" w14:textId="77777777" w:rsidR="002B0B24" w:rsidRPr="00636008" w:rsidRDefault="002B0B24" w:rsidP="002B0B24">
            <w:pPr>
              <w:spacing w:before="120" w:after="120" w:line="278" w:lineRule="auto"/>
              <w:rPr>
                <w:rFonts w:ascii="Times New Roman" w:hAnsi="Times New Roman"/>
                <w:noProof/>
                <w:lang w:val="hr-HR"/>
              </w:rPr>
            </w:pPr>
          </w:p>
        </w:tc>
        <w:tc>
          <w:tcPr>
            <w:tcW w:w="2374" w:type="dxa"/>
            <w:noWrap/>
            <w:vAlign w:val="center"/>
          </w:tcPr>
          <w:p w14:paraId="1AE3B626"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EUR (u tekućim cijenama)</w:t>
            </w:r>
          </w:p>
        </w:tc>
      </w:tr>
      <w:tr w:rsidR="002B0B24" w:rsidRPr="00636008" w14:paraId="5F87E1FA" w14:textId="77777777" w:rsidTr="00024248">
        <w:trPr>
          <w:trHeight w:val="300"/>
        </w:trPr>
        <w:tc>
          <w:tcPr>
            <w:tcW w:w="2417" w:type="dxa"/>
            <w:noWrap/>
            <w:vAlign w:val="center"/>
            <w:hideMark/>
          </w:tcPr>
          <w:p w14:paraId="34AEFBFF"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Belgija</w:t>
            </w:r>
          </w:p>
        </w:tc>
        <w:tc>
          <w:tcPr>
            <w:tcW w:w="2374" w:type="dxa"/>
            <w:noWrap/>
            <w:vAlign w:val="center"/>
            <w:hideMark/>
          </w:tcPr>
          <w:p w14:paraId="38062A0C"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123 731 481</w:t>
            </w:r>
          </w:p>
        </w:tc>
      </w:tr>
      <w:tr w:rsidR="002B0B24" w:rsidRPr="00636008" w14:paraId="15879BEB" w14:textId="77777777" w:rsidTr="00024248">
        <w:trPr>
          <w:trHeight w:val="300"/>
        </w:trPr>
        <w:tc>
          <w:tcPr>
            <w:tcW w:w="2417" w:type="dxa"/>
            <w:noWrap/>
            <w:vAlign w:val="center"/>
            <w:hideMark/>
          </w:tcPr>
          <w:p w14:paraId="7AF528EE"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Bugarska</w:t>
            </w:r>
          </w:p>
        </w:tc>
        <w:tc>
          <w:tcPr>
            <w:tcW w:w="2374" w:type="dxa"/>
            <w:noWrap/>
            <w:vAlign w:val="center"/>
            <w:hideMark/>
          </w:tcPr>
          <w:p w14:paraId="2A302EFE"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207 943 425</w:t>
            </w:r>
          </w:p>
        </w:tc>
      </w:tr>
      <w:tr w:rsidR="002B0B24" w:rsidRPr="00636008" w14:paraId="521F78D0" w14:textId="77777777" w:rsidTr="00024248">
        <w:trPr>
          <w:trHeight w:val="300"/>
        </w:trPr>
        <w:tc>
          <w:tcPr>
            <w:tcW w:w="2417" w:type="dxa"/>
            <w:noWrap/>
            <w:vAlign w:val="center"/>
            <w:hideMark/>
          </w:tcPr>
          <w:p w14:paraId="0E755174"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Češka</w:t>
            </w:r>
          </w:p>
        </w:tc>
        <w:tc>
          <w:tcPr>
            <w:tcW w:w="2374" w:type="dxa"/>
            <w:noWrap/>
            <w:vAlign w:val="center"/>
            <w:hideMark/>
          </w:tcPr>
          <w:p w14:paraId="45C282C4"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213 736 824</w:t>
            </w:r>
          </w:p>
        </w:tc>
      </w:tr>
      <w:tr w:rsidR="002B0B24" w:rsidRPr="00636008" w14:paraId="56B0326D" w14:textId="77777777" w:rsidTr="00024248">
        <w:trPr>
          <w:trHeight w:val="300"/>
        </w:trPr>
        <w:tc>
          <w:tcPr>
            <w:tcW w:w="2417" w:type="dxa"/>
            <w:noWrap/>
            <w:vAlign w:val="center"/>
            <w:hideMark/>
          </w:tcPr>
          <w:p w14:paraId="1C6A94B6"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Danska</w:t>
            </w:r>
          </w:p>
        </w:tc>
        <w:tc>
          <w:tcPr>
            <w:tcW w:w="2374" w:type="dxa"/>
            <w:noWrap/>
            <w:vAlign w:val="center"/>
            <w:hideMark/>
          </w:tcPr>
          <w:p w14:paraId="3FD7D918"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215 591 819</w:t>
            </w:r>
          </w:p>
        </w:tc>
      </w:tr>
      <w:tr w:rsidR="002B0B24" w:rsidRPr="00636008" w14:paraId="4C530036" w14:textId="77777777" w:rsidTr="00024248">
        <w:trPr>
          <w:trHeight w:val="300"/>
        </w:trPr>
        <w:tc>
          <w:tcPr>
            <w:tcW w:w="2417" w:type="dxa"/>
            <w:noWrap/>
            <w:vAlign w:val="center"/>
            <w:hideMark/>
          </w:tcPr>
          <w:p w14:paraId="408B6F17"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Njemačka</w:t>
            </w:r>
          </w:p>
        </w:tc>
        <w:tc>
          <w:tcPr>
            <w:tcW w:w="2374" w:type="dxa"/>
            <w:noWrap/>
            <w:vAlign w:val="center"/>
            <w:hideMark/>
          </w:tcPr>
          <w:p w14:paraId="4031A9FC"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1 228 923 865</w:t>
            </w:r>
          </w:p>
        </w:tc>
      </w:tr>
      <w:tr w:rsidR="002B0B24" w:rsidRPr="00636008" w14:paraId="699D89A7" w14:textId="77777777" w:rsidTr="00024248">
        <w:trPr>
          <w:trHeight w:val="300"/>
        </w:trPr>
        <w:tc>
          <w:tcPr>
            <w:tcW w:w="2417" w:type="dxa"/>
            <w:noWrap/>
            <w:vAlign w:val="center"/>
            <w:hideMark/>
          </w:tcPr>
          <w:p w14:paraId="273C0564"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Estonija</w:t>
            </w:r>
          </w:p>
        </w:tc>
        <w:tc>
          <w:tcPr>
            <w:tcW w:w="2374" w:type="dxa"/>
            <w:noWrap/>
            <w:vAlign w:val="center"/>
            <w:hideMark/>
          </w:tcPr>
          <w:p w14:paraId="44A784C6"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51 254 687</w:t>
            </w:r>
          </w:p>
        </w:tc>
      </w:tr>
      <w:tr w:rsidR="002B0B24" w:rsidRPr="00636008" w14:paraId="41F3EF6F" w14:textId="77777777" w:rsidTr="00024248">
        <w:trPr>
          <w:trHeight w:val="300"/>
        </w:trPr>
        <w:tc>
          <w:tcPr>
            <w:tcW w:w="2417" w:type="dxa"/>
            <w:noWrap/>
            <w:vAlign w:val="center"/>
            <w:hideMark/>
          </w:tcPr>
          <w:p w14:paraId="5BB6B0D2"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Irska</w:t>
            </w:r>
          </w:p>
        </w:tc>
        <w:tc>
          <w:tcPr>
            <w:tcW w:w="2374" w:type="dxa"/>
            <w:noWrap/>
            <w:vAlign w:val="center"/>
            <w:hideMark/>
          </w:tcPr>
          <w:p w14:paraId="0AAA4A60"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296 570 499</w:t>
            </w:r>
          </w:p>
        </w:tc>
      </w:tr>
      <w:tr w:rsidR="002B0B24" w:rsidRPr="00636008" w14:paraId="1BAC1D3B" w14:textId="77777777" w:rsidTr="00024248">
        <w:trPr>
          <w:trHeight w:val="300"/>
        </w:trPr>
        <w:tc>
          <w:tcPr>
            <w:tcW w:w="2417" w:type="dxa"/>
            <w:noWrap/>
            <w:vAlign w:val="center"/>
            <w:hideMark/>
          </w:tcPr>
          <w:p w14:paraId="463555C2"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Grčka</w:t>
            </w:r>
          </w:p>
        </w:tc>
        <w:tc>
          <w:tcPr>
            <w:tcW w:w="2374" w:type="dxa"/>
            <w:noWrap/>
            <w:vAlign w:val="center"/>
            <w:hideMark/>
          </w:tcPr>
          <w:p w14:paraId="0727C48E"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472 915 011</w:t>
            </w:r>
          </w:p>
        </w:tc>
      </w:tr>
      <w:tr w:rsidR="002B0B24" w:rsidRPr="00636008" w14:paraId="5E8C16A7" w14:textId="77777777" w:rsidTr="00024248">
        <w:trPr>
          <w:trHeight w:val="300"/>
        </w:trPr>
        <w:tc>
          <w:tcPr>
            <w:tcW w:w="2417" w:type="dxa"/>
            <w:noWrap/>
            <w:vAlign w:val="center"/>
            <w:hideMark/>
          </w:tcPr>
          <w:p w14:paraId="34EA2944"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Španjolska</w:t>
            </w:r>
          </w:p>
        </w:tc>
        <w:tc>
          <w:tcPr>
            <w:tcW w:w="2374" w:type="dxa"/>
            <w:noWrap/>
            <w:vAlign w:val="center"/>
            <w:hideMark/>
          </w:tcPr>
          <w:p w14:paraId="163DDE76"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1 209 271 990</w:t>
            </w:r>
          </w:p>
        </w:tc>
      </w:tr>
      <w:tr w:rsidR="002B0B24" w:rsidRPr="00636008" w14:paraId="0BE5FC0D" w14:textId="77777777" w:rsidTr="00024248">
        <w:trPr>
          <w:trHeight w:val="300"/>
        </w:trPr>
        <w:tc>
          <w:tcPr>
            <w:tcW w:w="2417" w:type="dxa"/>
            <w:noWrap/>
            <w:vAlign w:val="center"/>
            <w:hideMark/>
          </w:tcPr>
          <w:p w14:paraId="3F4DF0F1"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Francuska</w:t>
            </w:r>
          </w:p>
        </w:tc>
        <w:tc>
          <w:tcPr>
            <w:tcW w:w="2374" w:type="dxa"/>
            <w:noWrap/>
            <w:vAlign w:val="center"/>
            <w:hideMark/>
          </w:tcPr>
          <w:p w14:paraId="2C211316"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1 821 250 134</w:t>
            </w:r>
          </w:p>
        </w:tc>
      </w:tr>
      <w:tr w:rsidR="002B0B24" w:rsidRPr="00636008" w14:paraId="787AB656" w14:textId="77777777" w:rsidTr="00024248">
        <w:trPr>
          <w:trHeight w:val="300"/>
        </w:trPr>
        <w:tc>
          <w:tcPr>
            <w:tcW w:w="2417" w:type="dxa"/>
            <w:noWrap/>
            <w:vAlign w:val="center"/>
            <w:hideMark/>
          </w:tcPr>
          <w:p w14:paraId="11033606"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Hrvatska</w:t>
            </w:r>
          </w:p>
        </w:tc>
        <w:tc>
          <w:tcPr>
            <w:tcW w:w="2374" w:type="dxa"/>
            <w:noWrap/>
            <w:vAlign w:val="center"/>
            <w:hideMark/>
          </w:tcPr>
          <w:p w14:paraId="433C399B"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93 692 559</w:t>
            </w:r>
          </w:p>
        </w:tc>
      </w:tr>
      <w:tr w:rsidR="002B0B24" w:rsidRPr="00636008" w14:paraId="743B1651" w14:textId="77777777" w:rsidTr="00024248">
        <w:trPr>
          <w:trHeight w:val="300"/>
        </w:trPr>
        <w:tc>
          <w:tcPr>
            <w:tcW w:w="2417" w:type="dxa"/>
            <w:noWrap/>
            <w:vAlign w:val="center"/>
            <w:hideMark/>
          </w:tcPr>
          <w:p w14:paraId="16B208F1"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Italija</w:t>
            </w:r>
          </w:p>
        </w:tc>
        <w:tc>
          <w:tcPr>
            <w:tcW w:w="2374" w:type="dxa"/>
            <w:noWrap/>
            <w:vAlign w:val="center"/>
            <w:hideMark/>
          </w:tcPr>
          <w:p w14:paraId="470DB73A"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907 132 289</w:t>
            </w:r>
          </w:p>
        </w:tc>
      </w:tr>
      <w:tr w:rsidR="002B0B24" w:rsidRPr="00636008" w14:paraId="5548DD6D" w14:textId="77777777" w:rsidTr="00024248">
        <w:trPr>
          <w:trHeight w:val="300"/>
        </w:trPr>
        <w:tc>
          <w:tcPr>
            <w:tcW w:w="2417" w:type="dxa"/>
            <w:noWrap/>
            <w:vAlign w:val="center"/>
            <w:hideMark/>
          </w:tcPr>
          <w:p w14:paraId="19D410FF"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Cipar</w:t>
            </w:r>
          </w:p>
        </w:tc>
        <w:tc>
          <w:tcPr>
            <w:tcW w:w="2374" w:type="dxa"/>
            <w:noWrap/>
            <w:vAlign w:val="center"/>
            <w:hideMark/>
          </w:tcPr>
          <w:p w14:paraId="779CCBF1"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11 911 885</w:t>
            </w:r>
          </w:p>
        </w:tc>
      </w:tr>
      <w:tr w:rsidR="002B0B24" w:rsidRPr="00636008" w14:paraId="09D22533" w14:textId="77777777" w:rsidTr="00024248">
        <w:trPr>
          <w:trHeight w:val="300"/>
        </w:trPr>
        <w:tc>
          <w:tcPr>
            <w:tcW w:w="2417" w:type="dxa"/>
            <w:noWrap/>
            <w:vAlign w:val="center"/>
            <w:hideMark/>
          </w:tcPr>
          <w:p w14:paraId="6763889E"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Latvija</w:t>
            </w:r>
          </w:p>
        </w:tc>
        <w:tc>
          <w:tcPr>
            <w:tcW w:w="2374" w:type="dxa"/>
            <w:noWrap/>
            <w:vAlign w:val="center"/>
            <w:hideMark/>
          </w:tcPr>
          <w:p w14:paraId="707D166C"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91 120 936</w:t>
            </w:r>
          </w:p>
        </w:tc>
      </w:tr>
      <w:tr w:rsidR="002B0B24" w:rsidRPr="00636008" w14:paraId="7193925F" w14:textId="77777777" w:rsidTr="00024248">
        <w:trPr>
          <w:trHeight w:val="300"/>
        </w:trPr>
        <w:tc>
          <w:tcPr>
            <w:tcW w:w="2417" w:type="dxa"/>
            <w:noWrap/>
            <w:vAlign w:val="center"/>
            <w:hideMark/>
          </w:tcPr>
          <w:p w14:paraId="5DE9C1A9"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Litva</w:t>
            </w:r>
          </w:p>
        </w:tc>
        <w:tc>
          <w:tcPr>
            <w:tcW w:w="2374" w:type="dxa"/>
            <w:noWrap/>
            <w:vAlign w:val="center"/>
            <w:hideMark/>
          </w:tcPr>
          <w:p w14:paraId="6BB749B5"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153 178 204</w:t>
            </w:r>
          </w:p>
        </w:tc>
      </w:tr>
    </w:tbl>
    <w:p w14:paraId="45633CD3" w14:textId="77777777" w:rsidR="002B0B24" w:rsidRPr="00636008" w:rsidRDefault="002B0B24" w:rsidP="002B0B24">
      <w:pPr>
        <w:spacing w:after="160" w:line="278" w:lineRule="auto"/>
        <w:rPr>
          <w:rFonts w:eastAsia="Aptos"/>
          <w:kern w:val="2"/>
          <w:szCs w:val="24"/>
          <w:lang w:val="en-GB" w:eastAsia="en-US"/>
          <w14:ligatures w14:val="standardContextual"/>
        </w:rPr>
      </w:pPr>
      <w:r w:rsidRPr="00636008">
        <w:rPr>
          <w:rFonts w:eastAsia="Aptos"/>
          <w:kern w:val="2"/>
          <w:szCs w:val="24"/>
          <w:lang w:val="en-GB" w:eastAsia="en-US"/>
          <w14:ligatures w14:val="standardContextual"/>
        </w:rPr>
        <w:br w:type="page"/>
      </w:r>
    </w:p>
    <w:tbl>
      <w:tblPr>
        <w:tblStyle w:val="TableGrid2"/>
        <w:tblW w:w="0" w:type="auto"/>
        <w:tblInd w:w="1696" w:type="dxa"/>
        <w:tblLook w:val="04A0" w:firstRow="1" w:lastRow="0" w:firstColumn="1" w:lastColumn="0" w:noHBand="0" w:noVBand="1"/>
      </w:tblPr>
      <w:tblGrid>
        <w:gridCol w:w="2417"/>
        <w:gridCol w:w="2374"/>
      </w:tblGrid>
      <w:tr w:rsidR="002B0B24" w:rsidRPr="00636008" w14:paraId="581EA44C" w14:textId="77777777" w:rsidTr="00024248">
        <w:trPr>
          <w:trHeight w:val="300"/>
        </w:trPr>
        <w:tc>
          <w:tcPr>
            <w:tcW w:w="2417" w:type="dxa"/>
            <w:noWrap/>
            <w:vAlign w:val="center"/>
            <w:hideMark/>
          </w:tcPr>
          <w:p w14:paraId="0B213D4D"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lastRenderedPageBreak/>
              <w:t>Luksemburg</w:t>
            </w:r>
          </w:p>
        </w:tc>
        <w:tc>
          <w:tcPr>
            <w:tcW w:w="2374" w:type="dxa"/>
            <w:noWrap/>
            <w:vAlign w:val="center"/>
            <w:hideMark/>
          </w:tcPr>
          <w:p w14:paraId="153973DD"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8 186 957</w:t>
            </w:r>
          </w:p>
        </w:tc>
      </w:tr>
      <w:tr w:rsidR="002B0B24" w:rsidRPr="00636008" w14:paraId="7EBFCEA2" w14:textId="77777777" w:rsidTr="00024248">
        <w:trPr>
          <w:trHeight w:val="300"/>
        </w:trPr>
        <w:tc>
          <w:tcPr>
            <w:tcW w:w="2417" w:type="dxa"/>
            <w:noWrap/>
            <w:vAlign w:val="center"/>
            <w:hideMark/>
          </w:tcPr>
          <w:p w14:paraId="2A91EE99"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Mađarska</w:t>
            </w:r>
          </w:p>
        </w:tc>
        <w:tc>
          <w:tcPr>
            <w:tcW w:w="2374" w:type="dxa"/>
            <w:noWrap/>
            <w:vAlign w:val="center"/>
            <w:hideMark/>
          </w:tcPr>
          <w:p w14:paraId="3B7B2824"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310 796 291</w:t>
            </w:r>
          </w:p>
        </w:tc>
      </w:tr>
      <w:tr w:rsidR="002B0B24" w:rsidRPr="00636008" w14:paraId="6EBBDAF1" w14:textId="77777777" w:rsidTr="00024248">
        <w:trPr>
          <w:trHeight w:val="300"/>
        </w:trPr>
        <w:tc>
          <w:tcPr>
            <w:tcW w:w="2417" w:type="dxa"/>
            <w:noWrap/>
            <w:vAlign w:val="center"/>
            <w:hideMark/>
          </w:tcPr>
          <w:p w14:paraId="1F6709BA"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Malta</w:t>
            </w:r>
          </w:p>
        </w:tc>
        <w:tc>
          <w:tcPr>
            <w:tcW w:w="2374" w:type="dxa"/>
            <w:noWrap/>
            <w:vAlign w:val="center"/>
            <w:hideMark/>
          </w:tcPr>
          <w:p w14:paraId="4EECD533"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1 148 505</w:t>
            </w:r>
          </w:p>
        </w:tc>
      </w:tr>
      <w:tr w:rsidR="002B0B24" w:rsidRPr="00636008" w14:paraId="06406C59" w14:textId="77777777" w:rsidTr="00024248">
        <w:trPr>
          <w:trHeight w:val="300"/>
        </w:trPr>
        <w:tc>
          <w:tcPr>
            <w:tcW w:w="2417" w:type="dxa"/>
            <w:noWrap/>
            <w:vAlign w:val="center"/>
            <w:hideMark/>
          </w:tcPr>
          <w:p w14:paraId="37CB5274"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Nizozemska</w:t>
            </w:r>
          </w:p>
        </w:tc>
        <w:tc>
          <w:tcPr>
            <w:tcW w:w="2374" w:type="dxa"/>
            <w:noWrap/>
            <w:vAlign w:val="center"/>
            <w:hideMark/>
          </w:tcPr>
          <w:p w14:paraId="0E26EC35"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179 345 582</w:t>
            </w:r>
          </w:p>
        </w:tc>
      </w:tr>
      <w:tr w:rsidR="002B0B24" w:rsidRPr="00636008" w14:paraId="3E56C6AF" w14:textId="77777777" w:rsidTr="00024248">
        <w:trPr>
          <w:trHeight w:val="300"/>
        </w:trPr>
        <w:tc>
          <w:tcPr>
            <w:tcW w:w="2417" w:type="dxa"/>
            <w:noWrap/>
            <w:vAlign w:val="center"/>
            <w:hideMark/>
          </w:tcPr>
          <w:p w14:paraId="7089438F"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Austrija</w:t>
            </w:r>
          </w:p>
        </w:tc>
        <w:tc>
          <w:tcPr>
            <w:tcW w:w="2374" w:type="dxa"/>
            <w:noWrap/>
            <w:vAlign w:val="center"/>
            <w:hideMark/>
          </w:tcPr>
          <w:p w14:paraId="5CF1ABC0"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169 395 462</w:t>
            </w:r>
          </w:p>
        </w:tc>
      </w:tr>
      <w:tr w:rsidR="002B0B24" w:rsidRPr="00636008" w14:paraId="616BC272" w14:textId="77777777" w:rsidTr="00024248">
        <w:trPr>
          <w:trHeight w:val="300"/>
        </w:trPr>
        <w:tc>
          <w:tcPr>
            <w:tcW w:w="2417" w:type="dxa"/>
            <w:noWrap/>
            <w:vAlign w:val="center"/>
            <w:hideMark/>
          </w:tcPr>
          <w:p w14:paraId="2210EA90"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Poljska</w:t>
            </w:r>
          </w:p>
        </w:tc>
        <w:tc>
          <w:tcPr>
            <w:tcW w:w="2374" w:type="dxa"/>
            <w:noWrap/>
            <w:vAlign w:val="center"/>
            <w:hideMark/>
          </w:tcPr>
          <w:p w14:paraId="7E03589F"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796 492 035</w:t>
            </w:r>
          </w:p>
        </w:tc>
      </w:tr>
      <w:tr w:rsidR="002B0B24" w:rsidRPr="00636008" w14:paraId="025A65D4" w14:textId="77777777" w:rsidTr="00024248">
        <w:trPr>
          <w:trHeight w:val="300"/>
        </w:trPr>
        <w:tc>
          <w:tcPr>
            <w:tcW w:w="2417" w:type="dxa"/>
            <w:noWrap/>
            <w:vAlign w:val="center"/>
            <w:hideMark/>
          </w:tcPr>
          <w:p w14:paraId="7E0F84D3"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Portugal</w:t>
            </w:r>
          </w:p>
        </w:tc>
        <w:tc>
          <w:tcPr>
            <w:tcW w:w="2374" w:type="dxa"/>
            <w:noWrap/>
            <w:vAlign w:val="center"/>
            <w:hideMark/>
          </w:tcPr>
          <w:p w14:paraId="346784B2"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159 948 413</w:t>
            </w:r>
          </w:p>
        </w:tc>
      </w:tr>
      <w:tr w:rsidR="002B0B24" w:rsidRPr="00636008" w14:paraId="07B3072A" w14:textId="77777777" w:rsidTr="00024248">
        <w:trPr>
          <w:trHeight w:val="300"/>
        </w:trPr>
        <w:tc>
          <w:tcPr>
            <w:tcW w:w="2417" w:type="dxa"/>
            <w:noWrap/>
            <w:vAlign w:val="center"/>
            <w:hideMark/>
          </w:tcPr>
          <w:p w14:paraId="61011C3A"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Rumunjska</w:t>
            </w:r>
          </w:p>
        </w:tc>
        <w:tc>
          <w:tcPr>
            <w:tcW w:w="2374" w:type="dxa"/>
            <w:noWrap/>
            <w:vAlign w:val="center"/>
            <w:hideMark/>
          </w:tcPr>
          <w:p w14:paraId="02A4CF58"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507 398 799</w:t>
            </w:r>
          </w:p>
        </w:tc>
      </w:tr>
      <w:tr w:rsidR="002B0B24" w:rsidRPr="00636008" w14:paraId="20CDEEE6" w14:textId="77777777" w:rsidTr="00024248">
        <w:trPr>
          <w:trHeight w:val="300"/>
        </w:trPr>
        <w:tc>
          <w:tcPr>
            <w:tcW w:w="2417" w:type="dxa"/>
            <w:noWrap/>
            <w:vAlign w:val="center"/>
            <w:hideMark/>
          </w:tcPr>
          <w:p w14:paraId="7A267F78"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Slovenija</w:t>
            </w:r>
          </w:p>
        </w:tc>
        <w:tc>
          <w:tcPr>
            <w:tcW w:w="2374" w:type="dxa"/>
            <w:noWrap/>
            <w:vAlign w:val="center"/>
            <w:hideMark/>
          </w:tcPr>
          <w:p w14:paraId="31F50BAE"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32 882 513</w:t>
            </w:r>
          </w:p>
        </w:tc>
      </w:tr>
      <w:tr w:rsidR="002B0B24" w:rsidRPr="00636008" w14:paraId="02A7E790" w14:textId="77777777" w:rsidTr="00024248">
        <w:trPr>
          <w:trHeight w:val="300"/>
        </w:trPr>
        <w:tc>
          <w:tcPr>
            <w:tcW w:w="2417" w:type="dxa"/>
            <w:noWrap/>
            <w:vAlign w:val="center"/>
            <w:hideMark/>
          </w:tcPr>
          <w:p w14:paraId="1752BB7C"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Slovačka</w:t>
            </w:r>
          </w:p>
        </w:tc>
        <w:tc>
          <w:tcPr>
            <w:tcW w:w="2374" w:type="dxa"/>
            <w:noWrap/>
            <w:vAlign w:val="center"/>
            <w:hideMark/>
          </w:tcPr>
          <w:p w14:paraId="5BEF33ED"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103 868 686</w:t>
            </w:r>
          </w:p>
        </w:tc>
      </w:tr>
      <w:tr w:rsidR="002B0B24" w:rsidRPr="00636008" w14:paraId="738F4276" w14:textId="77777777" w:rsidTr="00024248">
        <w:trPr>
          <w:trHeight w:val="300"/>
        </w:trPr>
        <w:tc>
          <w:tcPr>
            <w:tcW w:w="2417" w:type="dxa"/>
            <w:noWrap/>
            <w:vAlign w:val="center"/>
            <w:hideMark/>
          </w:tcPr>
          <w:p w14:paraId="7E6B3854"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Finska</w:t>
            </w:r>
          </w:p>
        </w:tc>
        <w:tc>
          <w:tcPr>
            <w:tcW w:w="2374" w:type="dxa"/>
            <w:noWrap/>
            <w:vAlign w:val="center"/>
            <w:hideMark/>
          </w:tcPr>
          <w:p w14:paraId="725CF77C"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131 201 466</w:t>
            </w:r>
          </w:p>
        </w:tc>
      </w:tr>
      <w:tr w:rsidR="002B0B24" w:rsidRPr="00636008" w14:paraId="42DB714D" w14:textId="77777777" w:rsidTr="00024248">
        <w:trPr>
          <w:trHeight w:val="300"/>
        </w:trPr>
        <w:tc>
          <w:tcPr>
            <w:tcW w:w="2417" w:type="dxa"/>
            <w:noWrap/>
            <w:vAlign w:val="center"/>
            <w:hideMark/>
          </w:tcPr>
          <w:p w14:paraId="59F590CB" w14:textId="77777777" w:rsidR="002B0B24" w:rsidRPr="00636008" w:rsidRDefault="002B0B24" w:rsidP="002B0B24">
            <w:pPr>
              <w:spacing w:before="120" w:after="120" w:line="278" w:lineRule="auto"/>
              <w:rPr>
                <w:rFonts w:ascii="Times New Roman" w:hAnsi="Times New Roman"/>
                <w:noProof/>
                <w:lang w:val="en-GB"/>
              </w:rPr>
            </w:pPr>
            <w:r w:rsidRPr="00636008">
              <w:rPr>
                <w:rFonts w:ascii="Times New Roman" w:hAnsi="Times New Roman"/>
                <w:noProof/>
                <w:lang w:val="en-GB"/>
              </w:rPr>
              <w:t>Švedska</w:t>
            </w:r>
          </w:p>
        </w:tc>
        <w:tc>
          <w:tcPr>
            <w:tcW w:w="2374" w:type="dxa"/>
            <w:noWrap/>
            <w:vAlign w:val="center"/>
            <w:hideMark/>
          </w:tcPr>
          <w:p w14:paraId="3CC09330" w14:textId="77777777" w:rsidR="002B0B24" w:rsidRPr="00636008" w:rsidRDefault="002B0B24" w:rsidP="002B0B24">
            <w:pPr>
              <w:spacing w:after="160" w:line="278" w:lineRule="auto"/>
              <w:jc w:val="right"/>
              <w:rPr>
                <w:rFonts w:ascii="Times New Roman" w:hAnsi="Times New Roman"/>
                <w:noProof/>
                <w:lang w:val="en-GB"/>
              </w:rPr>
            </w:pPr>
            <w:r w:rsidRPr="00636008">
              <w:rPr>
                <w:rFonts w:ascii="Times New Roman" w:hAnsi="Times New Roman"/>
                <w:noProof/>
                <w:lang w:val="en-GB"/>
              </w:rPr>
              <w:t>171 704 104</w:t>
            </w:r>
          </w:p>
        </w:tc>
      </w:tr>
    </w:tbl>
    <w:p w14:paraId="77968125" w14:textId="77777777" w:rsidR="002B0B24" w:rsidRPr="00636008" w:rsidRDefault="002B0B24" w:rsidP="002B0B24">
      <w:pPr>
        <w:spacing w:after="200" w:line="276" w:lineRule="auto"/>
        <w:rPr>
          <w:rFonts w:eastAsia="Calibri"/>
          <w:noProof/>
          <w:kern w:val="2"/>
          <w:szCs w:val="24"/>
          <w:lang w:val="hr-HR" w:eastAsia="en-US"/>
          <w14:ligatures w14:val="standardContextual"/>
        </w:rPr>
      </w:pPr>
    </w:p>
    <w:p w14:paraId="63E5510A" w14:textId="53A1E307" w:rsidR="002B0B24" w:rsidRPr="00636008" w:rsidRDefault="002B0B24" w:rsidP="00636008">
      <w:pPr>
        <w:keepNext/>
        <w:spacing w:before="120" w:after="120"/>
        <w:rPr>
          <w:rFonts w:eastAsia="Aptos"/>
          <w:kern w:val="2"/>
          <w:szCs w:val="24"/>
          <w:lang w:val="en-GB" w:eastAsia="en-US"/>
          <w14:ligatures w14:val="standardContextual"/>
        </w:rPr>
      </w:pPr>
      <w:r w:rsidRPr="00636008">
        <w:rPr>
          <w:rFonts w:eastAsia="Aptos"/>
          <w:kern w:val="2"/>
          <w:szCs w:val="24"/>
          <w:lang w:val="en-GB" w:eastAsia="en-US"/>
          <w14:ligatures w14:val="standardContextual"/>
        </w:rPr>
        <w:t>”</w:t>
      </w:r>
    </w:p>
    <w:p w14:paraId="1FD4BC26" w14:textId="6F62DC59" w:rsidR="009F28EF" w:rsidRPr="00636008" w:rsidRDefault="009F28EF" w:rsidP="009F28EF">
      <w:pPr>
        <w:pStyle w:val="Normal12"/>
        <w:rPr>
          <w:szCs w:val="24"/>
        </w:rPr>
      </w:pPr>
    </w:p>
    <w:sectPr w:rsidR="009F28EF" w:rsidRPr="00636008" w:rsidSect="00104DAD">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FABDC" w14:textId="77777777" w:rsidR="000C5B39" w:rsidRDefault="000C5B39" w:rsidP="009C4014">
      <w:r>
        <w:separator/>
      </w:r>
    </w:p>
  </w:endnote>
  <w:endnote w:type="continuationSeparator" w:id="0">
    <w:p w14:paraId="49A426AF" w14:textId="77777777" w:rsidR="000C5B39" w:rsidRDefault="000C5B39"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A5F21" w14:textId="77777777"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1FA89" w14:textId="77777777" w:rsidR="002B0B24" w:rsidRPr="004C790D" w:rsidRDefault="002B0B24" w:rsidP="00E85F10">
    <w:pPr>
      <w:pStyle w:val="Footer"/>
      <w:tabs>
        <w:tab w:val="center" w:pos="4535"/>
        <w:tab w:val="right" w:pos="8504"/>
        <w:tab w:val="right" w:pos="9071"/>
      </w:tabs>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E52FC8" w14:textId="77777777" w:rsidR="000C5B39" w:rsidRDefault="000C5B39" w:rsidP="009C4014">
      <w:r>
        <w:separator/>
      </w:r>
    </w:p>
  </w:footnote>
  <w:footnote w:type="continuationSeparator" w:id="0">
    <w:p w14:paraId="773422A8" w14:textId="77777777" w:rsidR="000C5B39" w:rsidRDefault="000C5B39" w:rsidP="009C4014">
      <w:r>
        <w:continuationSeparator/>
      </w:r>
    </w:p>
  </w:footnote>
  <w:footnote w:id="1">
    <w:p w14:paraId="3EAC3BDE" w14:textId="35565829" w:rsidR="002B0B24" w:rsidRPr="005123B4" w:rsidRDefault="002B0B24" w:rsidP="002B0B24">
      <w:pPr>
        <w:pStyle w:val="FootnoteText"/>
        <w:ind w:left="720" w:hanging="720"/>
        <w:rPr>
          <w:sz w:val="24"/>
          <w:szCs w:val="24"/>
          <w:lang w:val="pl-PL"/>
        </w:rPr>
      </w:pPr>
      <w:r w:rsidRPr="004C790D">
        <w:rPr>
          <w:rStyle w:val="FootnoteReference"/>
        </w:rPr>
        <w:footnoteRef/>
      </w:r>
      <w:r w:rsidRPr="005123B4">
        <w:rPr>
          <w:lang w:val="pl-PL"/>
        </w:rPr>
        <w:t xml:space="preserve"> </w:t>
      </w:r>
      <w:r w:rsidRPr="005123B4">
        <w:rPr>
          <w:lang w:val="pl-PL"/>
        </w:rPr>
        <w:tab/>
      </w:r>
      <w:r w:rsidRPr="005123B4">
        <w:rPr>
          <w:sz w:val="24"/>
          <w:szCs w:val="24"/>
          <w:lang w:val="pl-PL"/>
        </w:rPr>
        <w:t xml:space="preserve">Stajalište Europskog parlamenta od </w:t>
      </w:r>
      <w:r w:rsidR="005123B4" w:rsidRPr="005123B4">
        <w:rPr>
          <w:sz w:val="24"/>
          <w:szCs w:val="24"/>
          <w:lang w:val="pl-PL"/>
        </w:rPr>
        <w:t xml:space="preserve">7. </w:t>
      </w:r>
      <w:r w:rsidR="005123B4">
        <w:rPr>
          <w:sz w:val="24"/>
          <w:szCs w:val="24"/>
          <w:lang w:val="pl-PL"/>
        </w:rPr>
        <w:t>s</w:t>
      </w:r>
      <w:r w:rsidR="005123B4" w:rsidRPr="005123B4">
        <w:rPr>
          <w:sz w:val="24"/>
          <w:szCs w:val="24"/>
          <w:lang w:val="pl-PL"/>
        </w:rPr>
        <w:t>r</w:t>
      </w:r>
      <w:r w:rsidR="005123B4">
        <w:rPr>
          <w:sz w:val="24"/>
          <w:szCs w:val="24"/>
          <w:lang w:val="pl-PL"/>
        </w:rPr>
        <w:t>pnja 2026.</w:t>
      </w:r>
    </w:p>
  </w:footnote>
  <w:footnote w:id="2">
    <w:p w14:paraId="70817F19" w14:textId="77777777" w:rsidR="002B0B24" w:rsidRPr="00B771C6" w:rsidRDefault="002B0B24" w:rsidP="002B0B24">
      <w:pPr>
        <w:ind w:left="720" w:hanging="720"/>
        <w:rPr>
          <w:lang w:val="pl-PL"/>
        </w:rPr>
      </w:pPr>
      <w:r w:rsidRPr="004C790D">
        <w:rPr>
          <w:rStyle w:val="FootnoteReference"/>
        </w:rPr>
        <w:footnoteRef/>
      </w:r>
      <w:r w:rsidRPr="00B771C6">
        <w:rPr>
          <w:lang w:val="pl-PL"/>
        </w:rPr>
        <w:tab/>
        <w:t xml:space="preserve">Uredba (EU) 2021/2115 Europskog parlamenta i Vijeća od 2. prosinca 2021. o utvrđivanju pravila o potpori za strateške planove koje izrađuju države članice u okviru zajedničke poljoprivredne politike (strateški planovi u okviru ZPP-a) i koji se financiraju iz Europskog fonda za jamstva u poljoprivredi (EFJP) i Europskog poljoprivrednog fonda za ruralni razvoj (EPFRR) te o stavljanju izvan snage uredbi (EU) br. 1305/2013 i (EU) br. 1307/2013 (SL L 435, 6.12.2021., str. 1., ELI: </w:t>
      </w:r>
      <w:hyperlink r:id="rId1" w:history="1">
        <w:r w:rsidRPr="00B771C6">
          <w:rPr>
            <w:rStyle w:val="Hyperlink"/>
            <w:lang w:val="pl-PL"/>
          </w:rPr>
          <w:t>http://data.europa.eu/eli/reg/2021/2115/oj</w:t>
        </w:r>
      </w:hyperlink>
      <w:r w:rsidRPr="00B771C6">
        <w:rPr>
          <w:lang w:val="pl-PL"/>
        </w:rPr>
        <w:t xml:space="preserve">). </w:t>
      </w:r>
    </w:p>
  </w:footnote>
  <w:footnote w:id="3">
    <w:p w14:paraId="32F5DEEA" w14:textId="77777777" w:rsidR="002B0B24" w:rsidRPr="00B771C6" w:rsidRDefault="002B0B24" w:rsidP="002B0B24">
      <w:pPr>
        <w:ind w:left="720" w:hanging="720"/>
        <w:rPr>
          <w:lang w:val="pl-PL"/>
        </w:rPr>
      </w:pPr>
      <w:r w:rsidRPr="004C790D">
        <w:rPr>
          <w:rStyle w:val="FootnoteReference"/>
        </w:rPr>
        <w:footnoteRef/>
      </w:r>
      <w:r w:rsidRPr="00B771C6">
        <w:rPr>
          <w:lang w:val="pl-PL"/>
        </w:rPr>
        <w:tab/>
        <w:t xml:space="preserve">Uredba (EU) 2021/2116 Europskog parlamenta i Vijeća od 2. prosinca 2021. o financiranju i nadzoru zajedničke poljoprivredne politike te upravljanju njome i o stavljanju izvan snage Uredbe (EU) br. 1306/2013 (SL L 435, 6.12.2021., str. 187., ELI: </w:t>
      </w:r>
      <w:hyperlink r:id="rId2" w:history="1">
        <w:r w:rsidRPr="00B771C6">
          <w:rPr>
            <w:rStyle w:val="Hyperlink"/>
            <w:lang w:val="pl-PL"/>
          </w:rPr>
          <w:t>http://data.europa.eu/eli/reg/2021/2116/oj</w:t>
        </w:r>
      </w:hyperlink>
      <w:r w:rsidRPr="00B771C6">
        <w:rPr>
          <w:lang w:val="pl-PL"/>
        </w:rPr>
        <w:t>).</w:t>
      </w:r>
    </w:p>
  </w:footnote>
  <w:footnote w:id="4">
    <w:p w14:paraId="1D75822A" w14:textId="77777777" w:rsidR="002B0B24" w:rsidRPr="00B771C6" w:rsidRDefault="002B0B24" w:rsidP="002B0B24">
      <w:pPr>
        <w:ind w:left="720" w:hanging="720"/>
        <w:rPr>
          <w:lang w:val="pl-PL"/>
        </w:rPr>
      </w:pPr>
      <w:r w:rsidRPr="004C790D">
        <w:rPr>
          <w:rStyle w:val="FootnoteReference"/>
        </w:rPr>
        <w:footnoteRef/>
      </w:r>
      <w:r w:rsidRPr="00B771C6">
        <w:rPr>
          <w:lang w:val="pl-PL"/>
        </w:rPr>
        <w:tab/>
      </w:r>
      <w:bookmarkStart w:id="10" w:name="https://eur-lex.europa.eu/legal-content/"/>
      <w:r w:rsidRPr="004C790D">
        <w:fldChar w:fldCharType="begin"/>
      </w:r>
      <w:r w:rsidRPr="00B771C6">
        <w:rPr>
          <w:lang w:val="pl-PL"/>
        </w:rPr>
        <w:instrText>HYPERLINK "https://eur-lex.europa.eu/legal-content/HR/TXT/?uri=CELEX%3A31991L0676&amp;qid=1780589360563"</w:instrText>
      </w:r>
      <w:r w:rsidRPr="004C790D">
        <w:fldChar w:fldCharType="separate"/>
      </w:r>
      <w:r w:rsidRPr="00B771C6">
        <w:rPr>
          <w:lang w:val="pl-PL"/>
        </w:rPr>
        <w:t>Direktiva Vijeća 91/676/EEZ od 12. prosinca 1991. o zaštiti voda od onečišćenja uzrokovanog nitratima iz poljoprivrednih izvora</w:t>
      </w:r>
      <w:r w:rsidRPr="004C790D">
        <w:fldChar w:fldCharType="end"/>
      </w:r>
      <w:bookmarkEnd w:id="10"/>
      <w:r w:rsidRPr="00B771C6">
        <w:rPr>
          <w:lang w:val="pl-PL"/>
        </w:rPr>
        <w:t xml:space="preserve"> (SL L 375, 31.12.1991., str. 1., ELI: </w:t>
      </w:r>
      <w:hyperlink r:id="rId3" w:history="1">
        <w:r w:rsidRPr="00B771C6">
          <w:rPr>
            <w:rStyle w:val="Hyperlink"/>
            <w:lang w:val="pl-PL"/>
          </w:rPr>
          <w:t>http://data.europa.eu/eli/dir/1991/676/oj</w:t>
        </w:r>
      </w:hyperlink>
      <w:r w:rsidRPr="00B771C6">
        <w:rPr>
          <w:lang w:val="pl-PL"/>
        </w:rPr>
        <w:t xml:space="preserve">). </w:t>
      </w:r>
    </w:p>
  </w:footnote>
  <w:footnote w:id="5">
    <w:p w14:paraId="400F3FDA" w14:textId="77777777" w:rsidR="002B0B24" w:rsidRPr="00B771C6" w:rsidRDefault="002B0B24" w:rsidP="002B0B24">
      <w:pPr>
        <w:ind w:left="720" w:hanging="720"/>
        <w:rPr>
          <w:lang w:val="pl-PL"/>
        </w:rPr>
      </w:pPr>
      <w:r w:rsidRPr="004C790D">
        <w:rPr>
          <w:rStyle w:val="FootnoteReference"/>
        </w:rPr>
        <w:footnoteRef/>
      </w:r>
      <w:r w:rsidRPr="00B771C6">
        <w:rPr>
          <w:lang w:val="pl-PL"/>
        </w:rPr>
        <w:tab/>
        <w:t xml:space="preserve">Uredba (EU, Euratom) 2024/2509 Europskog parlamenta i Vijeća od 23. rujna 2024. o financijskim pravilima koja se primjenjuju na opći proračun Unije (SL L, 2024/2509, </w:t>
      </w:r>
      <w:r w:rsidRPr="00B771C6">
        <w:rPr>
          <w:lang w:val="pl-PL"/>
        </w:rPr>
        <w:t xml:space="preserve">26.9.2024., ELI: </w:t>
      </w:r>
      <w:hyperlink r:id="rId4" w:history="1">
        <w:r w:rsidRPr="00B771C6">
          <w:rPr>
            <w:rStyle w:val="Hyperlink"/>
            <w:lang w:val="pl-PL"/>
          </w:rPr>
          <w:t>http://data.europa.eu/eli/reg/2024/2509/oj</w:t>
        </w:r>
      </w:hyperlink>
      <w:r w:rsidRPr="00B771C6">
        <w:rPr>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169AF" w14:textId="77777777" w:rsidR="002B0B24" w:rsidRDefault="002B0B24">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16cid:durableId="179465529">
    <w:abstractNumId w:val="3"/>
  </w:num>
  <w:num w:numId="2" w16cid:durableId="1305239363">
    <w:abstractNumId w:val="2"/>
  </w:num>
  <w:num w:numId="3" w16cid:durableId="1825852659">
    <w:abstractNumId w:val="1"/>
  </w:num>
  <w:num w:numId="4" w16cid:durableId="1104956411">
    <w:abstractNumId w:val="0"/>
  </w:num>
  <w:num w:numId="5" w16cid:durableId="152455081">
    <w:abstractNumId w:val="6"/>
  </w:num>
  <w:num w:numId="6" w16cid:durableId="2115201432">
    <w:abstractNumId w:val="5"/>
  </w:num>
  <w:num w:numId="7" w16cid:durableId="337149590">
    <w:abstractNumId w:val="4"/>
  </w:num>
  <w:num w:numId="8" w16cid:durableId="1372614150">
    <w:abstractNumId w:val="7"/>
  </w:num>
  <w:num w:numId="9" w16cid:durableId="179170875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4DAD"/>
    <w:rsid w:val="00013B2A"/>
    <w:rsid w:val="000C2BFE"/>
    <w:rsid w:val="000C5B39"/>
    <w:rsid w:val="000F27A9"/>
    <w:rsid w:val="000F6208"/>
    <w:rsid w:val="00104DAD"/>
    <w:rsid w:val="00111937"/>
    <w:rsid w:val="00125CBC"/>
    <w:rsid w:val="001445FE"/>
    <w:rsid w:val="00172070"/>
    <w:rsid w:val="001815A8"/>
    <w:rsid w:val="00185E15"/>
    <w:rsid w:val="001D4BBF"/>
    <w:rsid w:val="001D63A8"/>
    <w:rsid w:val="002924A9"/>
    <w:rsid w:val="002A1D4E"/>
    <w:rsid w:val="002B0B24"/>
    <w:rsid w:val="002B4BCF"/>
    <w:rsid w:val="002F1925"/>
    <w:rsid w:val="00300C61"/>
    <w:rsid w:val="00312A38"/>
    <w:rsid w:val="003202DD"/>
    <w:rsid w:val="00366A90"/>
    <w:rsid w:val="003775B9"/>
    <w:rsid w:val="00397B2A"/>
    <w:rsid w:val="003E1189"/>
    <w:rsid w:val="003F4DFE"/>
    <w:rsid w:val="00425111"/>
    <w:rsid w:val="00451C48"/>
    <w:rsid w:val="0047030E"/>
    <w:rsid w:val="004E6A17"/>
    <w:rsid w:val="004F2EA7"/>
    <w:rsid w:val="005123B4"/>
    <w:rsid w:val="00520780"/>
    <w:rsid w:val="00525ED0"/>
    <w:rsid w:val="00531263"/>
    <w:rsid w:val="00534CAB"/>
    <w:rsid w:val="00547BB1"/>
    <w:rsid w:val="00591365"/>
    <w:rsid w:val="005A2421"/>
    <w:rsid w:val="005B23C9"/>
    <w:rsid w:val="005F0CA1"/>
    <w:rsid w:val="005F35F8"/>
    <w:rsid w:val="00603B14"/>
    <w:rsid w:val="00636008"/>
    <w:rsid w:val="006656E5"/>
    <w:rsid w:val="00666512"/>
    <w:rsid w:val="0067429D"/>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67F29"/>
    <w:rsid w:val="00873A0F"/>
    <w:rsid w:val="00895FA0"/>
    <w:rsid w:val="008B1C2E"/>
    <w:rsid w:val="008D7C16"/>
    <w:rsid w:val="008E7632"/>
    <w:rsid w:val="008F0108"/>
    <w:rsid w:val="008F7F1C"/>
    <w:rsid w:val="00907FE0"/>
    <w:rsid w:val="009865B7"/>
    <w:rsid w:val="009B7E10"/>
    <w:rsid w:val="009C4014"/>
    <w:rsid w:val="009F28EF"/>
    <w:rsid w:val="00A1739E"/>
    <w:rsid w:val="00A23437"/>
    <w:rsid w:val="00B54C72"/>
    <w:rsid w:val="00B771C6"/>
    <w:rsid w:val="00B85C1E"/>
    <w:rsid w:val="00BA68BC"/>
    <w:rsid w:val="00BE354A"/>
    <w:rsid w:val="00C15516"/>
    <w:rsid w:val="00C16C81"/>
    <w:rsid w:val="00C57739"/>
    <w:rsid w:val="00C65BE8"/>
    <w:rsid w:val="00CB451F"/>
    <w:rsid w:val="00CC4897"/>
    <w:rsid w:val="00D202A4"/>
    <w:rsid w:val="00D91669"/>
    <w:rsid w:val="00DF097A"/>
    <w:rsid w:val="00DF53A8"/>
    <w:rsid w:val="00E039BF"/>
    <w:rsid w:val="00E11822"/>
    <w:rsid w:val="00E73B02"/>
    <w:rsid w:val="00E74BF3"/>
    <w:rsid w:val="00EF3610"/>
    <w:rsid w:val="00F15D95"/>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1C897B"/>
  <w15:chartTrackingRefBased/>
  <w15:docId w15:val="{C98E2274-0DD1-4817-A61B-F5BEB7887D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link w:val="FootnoteTextChar"/>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FootnoteTextChar">
    <w:name w:val="Footnote Text Char"/>
    <w:basedOn w:val="DefaultParagraphFont"/>
    <w:link w:val="FootnoteText"/>
    <w:semiHidden/>
    <w:rsid w:val="00104DAD"/>
    <w:rPr>
      <w:sz w:val="22"/>
      <w:lang w:val="fr-FR"/>
    </w:rPr>
  </w:style>
  <w:style w:type="paragraph" w:customStyle="1" w:styleId="NormalHanging12a">
    <w:name w:val="NormalHanging12a"/>
    <w:basedOn w:val="Normal"/>
    <w:rsid w:val="00104DAD"/>
    <w:pPr>
      <w:widowControl w:val="0"/>
      <w:spacing w:after="240"/>
      <w:ind w:left="567" w:hanging="567"/>
    </w:pPr>
    <w:rPr>
      <w:lang w:val="hr-HR"/>
    </w:rPr>
  </w:style>
  <w:style w:type="character" w:styleId="Hyperlink">
    <w:name w:val="Hyperlink"/>
    <w:basedOn w:val="DefaultParagraphFont"/>
    <w:rsid w:val="00104DAD"/>
    <w:rPr>
      <w:color w:val="0563C1" w:themeColor="hyperlink"/>
      <w:u w:val="single"/>
    </w:rPr>
  </w:style>
  <w:style w:type="table" w:styleId="TableGrid">
    <w:name w:val="Table Grid"/>
    <w:basedOn w:val="TableNormal"/>
    <w:rsid w:val="002B0B24"/>
    <w:pPr>
      <w:spacing w:before="120" w:after="120"/>
      <w:jc w:val="both"/>
    </w:pPr>
    <w:rPr>
      <w:lang w:val="en-US"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2B0B24"/>
    <w:rPr>
      <w:rFonts w:ascii="Aptos" w:eastAsia="Aptos" w:hAnsi="Aptos"/>
      <w:kern w:val="2"/>
      <w:sz w:val="24"/>
      <w:szCs w:val="24"/>
      <w:lang w:val="hr-HR"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2B0B24"/>
    <w:rPr>
      <w:rFonts w:ascii="Aptos" w:eastAsia="Aptos" w:hAnsi="Aptos"/>
      <w:kern w:val="2"/>
      <w:sz w:val="24"/>
      <w:szCs w:val="24"/>
      <w:lang w:val="hr-HR"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771C6"/>
    <w:rPr>
      <w:sz w:val="24"/>
      <w:lang w:val="fr-FR"/>
    </w:rPr>
  </w:style>
  <w:style w:type="character" w:styleId="FollowedHyperlink">
    <w:name w:val="FollowedHyperlink"/>
    <w:basedOn w:val="DefaultParagraphFont"/>
    <w:rsid w:val="00867F2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dir/1991/676/oj" TargetMode="External"/><Relationship Id="rId2" Type="http://schemas.openxmlformats.org/officeDocument/2006/relationships/hyperlink" Target="http://data.europa.eu/eli/reg/2021/2116/oj" TargetMode="External"/><Relationship Id="rId1" Type="http://schemas.openxmlformats.org/officeDocument/2006/relationships/hyperlink" Target="http://data.europa.eu/eli/reg/2021/2115/oj" TargetMode="External"/><Relationship Id="rId4" Type="http://schemas.openxmlformats.org/officeDocument/2006/relationships/hyperlink" Target="http://data.europa.eu/eli/reg/2024/2509/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9F885B-6A96-41F8-A793-CC19C50C50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2</TotalTime>
  <Pages>29</Pages>
  <Words>4310</Words>
  <Characters>24910</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29162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ZOVKO Jadranka</dc:creator>
  <cp:keywords/>
  <cp:lastModifiedBy>ZOVKO Jadranka</cp:lastModifiedBy>
  <cp:revision>2</cp:revision>
  <cp:lastPrinted>2014-08-07T13:15:00Z</cp:lastPrinted>
  <dcterms:created xsi:type="dcterms:W3CDTF">2026-07-07T10:24:00Z</dcterms:created>
  <dcterms:modified xsi:type="dcterms:W3CDTF">2026-07-07T10:24:00Z</dcterms:modified>
</cp:coreProperties>
</file>