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B1E02" w14:paraId="2C45044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9CBEF0" w14:textId="77777777" w:rsidR="00757DD5" w:rsidRPr="004B1E02" w:rsidRDefault="004B1E02" w:rsidP="00425111">
            <w:pPr>
              <w:pStyle w:val="EPName"/>
            </w:pPr>
            <w:r w:rsidRPr="004B1E02">
              <w:t>Parlament Ewropew</w:t>
            </w:r>
          </w:p>
          <w:p w14:paraId="1F55CD83" w14:textId="77777777" w:rsidR="00757DD5" w:rsidRPr="004B1E02" w:rsidRDefault="004B1E02" w:rsidP="00425111">
            <w:pPr>
              <w:pStyle w:val="EPTerm"/>
              <w:rPr>
                <w:rStyle w:val="HideTWBExt"/>
                <w:vanish w:val="0"/>
              </w:rPr>
            </w:pPr>
            <w:r w:rsidRPr="004B1E0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9B9E9A4" w14:textId="77777777" w:rsidR="00757DD5" w:rsidRPr="004B1E02" w:rsidRDefault="00172070" w:rsidP="00425111">
            <w:pPr>
              <w:pStyle w:val="EPLogo"/>
              <w:rPr>
                <w:lang w:val="mt-MT"/>
              </w:rPr>
            </w:pPr>
            <w:r w:rsidRPr="004B1E02">
              <w:rPr>
                <w:lang w:val="mt-MT"/>
              </w:rPr>
              <w:drawing>
                <wp:inline distT="0" distB="0" distL="0" distR="0" wp14:anchorId="7D20B183" wp14:editId="6A46E8C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C11CFC" w14:textId="77777777" w:rsidR="008E7632" w:rsidRPr="004B1E02" w:rsidRDefault="008E7632" w:rsidP="008E7632">
      <w:pPr>
        <w:pStyle w:val="LineTop"/>
      </w:pPr>
    </w:p>
    <w:p w14:paraId="0181D48E" w14:textId="77777777" w:rsidR="008E7632" w:rsidRPr="004B1E02" w:rsidRDefault="004B1E02" w:rsidP="008E7632">
      <w:pPr>
        <w:pStyle w:val="ZSessionDoc"/>
        <w:rPr>
          <w:b/>
          <w:i w:val="0"/>
          <w:lang w:val="mt-MT"/>
        </w:rPr>
      </w:pPr>
      <w:r w:rsidRPr="004B1E02">
        <w:rPr>
          <w:b/>
          <w:i w:val="0"/>
          <w:lang w:val="mt-MT"/>
        </w:rPr>
        <w:t>TESTI ADOTTATI</w:t>
      </w:r>
    </w:p>
    <w:p w14:paraId="6CC3F95D" w14:textId="77777777" w:rsidR="008E7632" w:rsidRPr="004B1E02" w:rsidRDefault="004B1E02" w:rsidP="008E7632">
      <w:pPr>
        <w:pStyle w:val="LineBottom"/>
        <w:rPr>
          <w:lang w:val="mt-MT"/>
        </w:rPr>
      </w:pPr>
      <w:r w:rsidRPr="004B1E02">
        <w:rPr>
          <w:rFonts w:cs="Arial"/>
          <w:i/>
          <w:sz w:val="20"/>
          <w:szCs w:val="22"/>
          <w:lang w:val="mt-MT"/>
        </w:rPr>
        <w:t xml:space="preserve"> </w:t>
      </w:r>
    </w:p>
    <w:p w14:paraId="35426451" w14:textId="17FD4F63" w:rsidR="009C4014" w:rsidRPr="004B1E02" w:rsidRDefault="004B1E02" w:rsidP="008E7632">
      <w:pPr>
        <w:pStyle w:val="ATHeading1"/>
        <w:spacing w:before="480"/>
      </w:pPr>
      <w:bookmarkStart w:id="0" w:name="TA_Heading"/>
      <w:r w:rsidRPr="004B1E02">
        <w:t>P10_TA(2026)</w:t>
      </w:r>
      <w:bookmarkStart w:id="1" w:name="TANumber"/>
      <w:bookmarkEnd w:id="0"/>
      <w:r w:rsidRPr="004B1E02">
        <w:t>0</w:t>
      </w:r>
      <w:r w:rsidR="003F14BA">
        <w:t>240</w:t>
      </w:r>
      <w:bookmarkEnd w:id="1"/>
    </w:p>
    <w:p w14:paraId="4F0F3C49" w14:textId="77777777" w:rsidR="009C4014" w:rsidRPr="004B1E02" w:rsidRDefault="004B1E02" w:rsidP="004B1E02">
      <w:pPr>
        <w:pStyle w:val="ATHeading2"/>
      </w:pPr>
      <w:bookmarkStart w:id="2" w:name="title"/>
      <w:r w:rsidRPr="004B1E02">
        <w:t>Appoġġ temporanju u pagamenti bil-quddiem rigward iż-żieda fil-prezzijiet tal-fertilizzanti minħabba l-kriżi tal-Lvant Nofsani</w:t>
      </w:r>
      <w:bookmarkEnd w:id="2"/>
      <w:r w:rsidR="009C4014" w:rsidRPr="004B1E02">
        <w:t xml:space="preserve"> </w:t>
      </w:r>
      <w:bookmarkStart w:id="3" w:name="Etoiles"/>
      <w:bookmarkEnd w:id="3"/>
    </w:p>
    <w:p w14:paraId="16889397" w14:textId="77777777" w:rsidR="009C4014" w:rsidRPr="004B1E02" w:rsidRDefault="009C4014" w:rsidP="009C4014">
      <w:pPr>
        <w:rPr>
          <w:i/>
          <w:vanish/>
        </w:rPr>
      </w:pPr>
      <w:r w:rsidRPr="004B1E02">
        <w:rPr>
          <w:i/>
        </w:rPr>
        <w:fldChar w:fldCharType="begin"/>
      </w:r>
      <w:r w:rsidRPr="004B1E02">
        <w:rPr>
          <w:i/>
        </w:rPr>
        <w:instrText xml:space="preserve"> TC"</w:instrText>
      </w:r>
      <w:bookmarkStart w:id="4" w:name="DocNumber"/>
      <w:r w:rsidR="004B1E02" w:rsidRPr="004B1E02">
        <w:rPr>
          <w:i/>
        </w:rPr>
        <w:instrText>(C10-0139/2026)</w:instrText>
      </w:r>
      <w:bookmarkEnd w:id="4"/>
      <w:r w:rsidRPr="004B1E02">
        <w:rPr>
          <w:i/>
        </w:rPr>
        <w:instrText xml:space="preserve">"\l3 \n&gt; \* MERGEFORMAT </w:instrText>
      </w:r>
      <w:r w:rsidRPr="004B1E02">
        <w:rPr>
          <w:i/>
        </w:rPr>
        <w:fldChar w:fldCharType="end"/>
      </w:r>
    </w:p>
    <w:p w14:paraId="1092BDE2" w14:textId="77777777" w:rsidR="004B1E02" w:rsidRPr="004B1E02" w:rsidRDefault="004B1E02" w:rsidP="009C4014">
      <w:pPr>
        <w:rPr>
          <w:vanish/>
        </w:rPr>
      </w:pPr>
      <w:bookmarkStart w:id="5" w:name="Commission"/>
      <w:r w:rsidRPr="004B1E02">
        <w:rPr>
          <w:vanish/>
        </w:rPr>
        <w:t>Kumitat għall-Agrikoltura u l-Iżvilupp Rurali</w:t>
      </w:r>
    </w:p>
    <w:p w14:paraId="688B3927" w14:textId="77777777" w:rsidR="009C4014" w:rsidRPr="004B1E02" w:rsidRDefault="004B1E02" w:rsidP="009C4014">
      <w:pPr>
        <w:rPr>
          <w:vanish/>
        </w:rPr>
      </w:pPr>
      <w:bookmarkStart w:id="6" w:name="PE"/>
      <w:bookmarkEnd w:id="5"/>
      <w:r w:rsidRPr="004B1E02">
        <w:rPr>
          <w:vanish/>
        </w:rPr>
        <w:t>PE789.799</w:t>
      </w:r>
      <w:bookmarkEnd w:id="6"/>
    </w:p>
    <w:p w14:paraId="60FFCFD1" w14:textId="77777777" w:rsidR="004B1E02" w:rsidRDefault="004B1E02" w:rsidP="004B1E02">
      <w:pPr>
        <w:pStyle w:val="ATHeading3"/>
      </w:pPr>
      <w:bookmarkStart w:id="7" w:name="Sujet"/>
      <w:r w:rsidRPr="004B1E02">
        <w:t xml:space="preserve">Riżoluzzjoni leġiżlattiva tal-Parlament Ewropew tas-7 ta' Lulju 2026 dwar il-proposta għal regolament tal-Parlament Ewropew u tal-Kunsill li jemenda r-Regolament (UE) 2021/2115 fir-rigward ta’ tip speċifiku ta’ intervent biex jiġi pprovdut appoġġ temporanju eċċezzjonali skont il-Fond Agrikolu Ewropew għall-Iżvilupp Rurali (FAEŻR) u l-possibbiltà li jiġu adattati l-allokazzjonijiet tal-pagamenti diretti għas-sena kalendarja 2027 u r-Regolament (UE) 2021/2116 fir-rigward ta’ regoli aktar flessibbli dwar il-pagamenti bil-quddiem b’reazzjoni għaż-żieda fil-prezzijiet tal-fertilizzanti minħabba l-kriżi tal-Lvant Nofsani </w:t>
      </w:r>
      <w:bookmarkEnd w:id="7"/>
      <w:r w:rsidRPr="003F14BA">
        <w:t>COM(2026)0282 – C10-0139/2026 – 2026/0150(COD))</w:t>
      </w:r>
      <w:bookmarkStart w:id="8" w:name="References"/>
    </w:p>
    <w:p w14:paraId="401C73E5" w14:textId="0BB2AF68" w:rsidR="009C4014" w:rsidRPr="004B1E02" w:rsidRDefault="004B1E02" w:rsidP="004B1E02">
      <w:pPr>
        <w:pStyle w:val="ATHeading3"/>
      </w:pPr>
      <w:r w:rsidRPr="004B1E02">
        <w:t>((Proċedura leġiżlattiva ordinarja: l-ewwel qari))</w:t>
      </w:r>
      <w:bookmarkEnd w:id="8"/>
    </w:p>
    <w:p w14:paraId="1E96F328" w14:textId="77777777" w:rsidR="006E5420" w:rsidRPr="004B1E02" w:rsidRDefault="004B1E02" w:rsidP="008B1C2E">
      <w:pPr>
        <w:pStyle w:val="Normal12"/>
        <w:spacing w:before="360"/>
        <w:rPr>
          <w:i/>
          <w:szCs w:val="24"/>
          <w:lang w:val="mt-MT"/>
        </w:rPr>
      </w:pPr>
      <w:bookmarkStart w:id="9" w:name="TextBodyBegin"/>
      <w:bookmarkEnd w:id="9"/>
      <w:r w:rsidRPr="004B1E02">
        <w:rPr>
          <w:i/>
          <w:szCs w:val="24"/>
          <w:lang w:val="mt-MT"/>
        </w:rPr>
        <w:t>Il-Parlament Ewropew,</w:t>
      </w:r>
    </w:p>
    <w:p w14:paraId="65EE2D95" w14:textId="77777777" w:rsidR="004B1E02" w:rsidRPr="003F14BA" w:rsidRDefault="004B1E02" w:rsidP="004B1E02">
      <w:pPr>
        <w:spacing w:after="240"/>
        <w:ind w:left="567" w:hanging="567"/>
        <w:rPr>
          <w:snapToGrid w:val="0"/>
          <w:lang w:val="sv-SE"/>
        </w:rPr>
      </w:pPr>
      <w:r w:rsidRPr="0057564B">
        <w:t>–</w:t>
      </w:r>
      <w:r w:rsidRPr="0057564B">
        <w:tab/>
      </w:r>
      <w:r w:rsidRPr="005A291C">
        <w:t xml:space="preserve">wara li kkunsidra l-proposta tal-Kummissjoni lill-Parlament Ewropew u lill-Kunsill </w:t>
      </w:r>
      <w:r w:rsidRPr="003F14BA">
        <w:rPr>
          <w:snapToGrid w:val="0"/>
          <w:lang w:val="sv-SE"/>
        </w:rPr>
        <w:t>(COM(2026)0282),</w:t>
      </w:r>
    </w:p>
    <w:p w14:paraId="1FFB0CA4" w14:textId="59480787" w:rsidR="009F28EF" w:rsidRPr="003F14BA" w:rsidRDefault="004B1E02" w:rsidP="004B1E02">
      <w:pPr>
        <w:pStyle w:val="Normal12"/>
        <w:ind w:left="567" w:hanging="567"/>
        <w:rPr>
          <w:lang w:val="sv-SE"/>
        </w:rPr>
      </w:pPr>
      <w:r w:rsidRPr="003F14BA">
        <w:rPr>
          <w:lang w:val="sv-SE"/>
        </w:rPr>
        <w:t>–</w:t>
      </w:r>
      <w:r w:rsidRPr="003F14BA">
        <w:rPr>
          <w:lang w:val="sv-SE"/>
        </w:rPr>
        <w:tab/>
        <w:t>wara li kkunsidra l-Artikolu 294(2) u l-Artikolu 43(2) tat-Trattat dwar il-Funzjonament tal-Unjoni Ewropea, skont liema artikoli l-Kummissjoni ppreżentat il-proposta lill-Parlament (C10-0139/2026),</w:t>
      </w:r>
    </w:p>
    <w:p w14:paraId="0ECED4E8" w14:textId="77777777" w:rsidR="004B1E02" w:rsidRPr="003F14BA" w:rsidRDefault="004B1E02" w:rsidP="004B1E02">
      <w:pPr>
        <w:pStyle w:val="Normal12"/>
        <w:ind w:left="567" w:hanging="567"/>
        <w:rPr>
          <w:szCs w:val="24"/>
          <w:lang w:val="sv-SE"/>
        </w:rPr>
      </w:pPr>
      <w:r w:rsidRPr="003F14BA">
        <w:rPr>
          <w:lang w:val="sv-SE"/>
        </w:rPr>
        <w:t>–</w:t>
      </w:r>
      <w:r w:rsidRPr="003F14BA">
        <w:rPr>
          <w:lang w:val="sv-SE"/>
        </w:rPr>
        <w:tab/>
      </w:r>
      <w:r w:rsidRPr="003F14BA">
        <w:rPr>
          <w:szCs w:val="24"/>
          <w:lang w:val="sv-SE"/>
        </w:rPr>
        <w:t>wara li kkunsidra l-Artikolu 294(3) tat-Trattat dwar il-Funzjonament tal-Unjoni Ewropea,</w:t>
      </w:r>
    </w:p>
    <w:p w14:paraId="1129738A" w14:textId="77777777" w:rsidR="004B1E02" w:rsidRPr="003F14BA" w:rsidRDefault="004B1E02" w:rsidP="004B1E02">
      <w:pPr>
        <w:pStyle w:val="Normal12"/>
        <w:ind w:left="567" w:hanging="567"/>
        <w:rPr>
          <w:lang w:val="sv-SE"/>
        </w:rPr>
      </w:pPr>
      <w:r w:rsidRPr="003F14BA">
        <w:rPr>
          <w:lang w:val="sv-SE"/>
        </w:rPr>
        <w:t>–</w:t>
      </w:r>
      <w:r w:rsidRPr="003F14BA">
        <w:rPr>
          <w:lang w:val="sv-SE"/>
        </w:rPr>
        <w:tab/>
      </w:r>
      <w:r w:rsidRPr="003F14BA">
        <w:rPr>
          <w:szCs w:val="24"/>
          <w:lang w:val="sv-SE"/>
        </w:rPr>
        <w:t>wara li kkonsulta</w:t>
      </w:r>
      <w:r w:rsidRPr="003F14BA">
        <w:rPr>
          <w:lang w:val="sv-SE"/>
        </w:rPr>
        <w:t xml:space="preserve"> l-Kumitat Ekonomiku u Soċjali Ewropew,</w:t>
      </w:r>
    </w:p>
    <w:p w14:paraId="60284428" w14:textId="3C38D23E" w:rsidR="004B1E02" w:rsidRPr="003F14BA" w:rsidRDefault="004B1E02" w:rsidP="004B1E02">
      <w:pPr>
        <w:pStyle w:val="Normal12"/>
        <w:ind w:left="567" w:hanging="567"/>
        <w:rPr>
          <w:szCs w:val="24"/>
          <w:lang w:val="sv-SE"/>
        </w:rPr>
      </w:pPr>
      <w:r w:rsidRPr="003F14BA">
        <w:rPr>
          <w:lang w:val="sv-SE"/>
        </w:rPr>
        <w:t>–</w:t>
      </w:r>
      <w:r w:rsidRPr="003F14BA">
        <w:rPr>
          <w:lang w:val="sv-SE"/>
        </w:rPr>
        <w:tab/>
      </w:r>
      <w:r w:rsidRPr="003F14BA">
        <w:rPr>
          <w:szCs w:val="24"/>
          <w:lang w:val="sv-SE"/>
        </w:rPr>
        <w:t>wara li kkunsidra l-impenn meħud mir-rappreżentant tal-Kunsill, permezz tal-ittra tas-17 ta' Ġunju 2026, li japprova l-pożizzjoni tal-Parlament, skont l-Artikolu 294(4) tat-Trattat dwar il-Funzjonament tal-Unjoni Ewropea,</w:t>
      </w:r>
    </w:p>
    <w:p w14:paraId="05968915" w14:textId="77777777" w:rsidR="004B1E02" w:rsidRPr="003F14BA" w:rsidRDefault="004B1E02" w:rsidP="004B1E02">
      <w:pPr>
        <w:pStyle w:val="Normal12"/>
        <w:ind w:left="567" w:hanging="567"/>
        <w:rPr>
          <w:szCs w:val="24"/>
          <w:lang w:val="sv-SE"/>
        </w:rPr>
      </w:pPr>
      <w:r w:rsidRPr="003F14BA">
        <w:rPr>
          <w:szCs w:val="24"/>
          <w:lang w:val="sv-SE"/>
        </w:rPr>
        <w:t>–</w:t>
      </w:r>
      <w:r w:rsidRPr="003F14BA">
        <w:rPr>
          <w:szCs w:val="24"/>
          <w:lang w:val="sv-SE"/>
        </w:rPr>
        <w:tab/>
        <w:t>wara li kkunsidra l-Artikoli 60 u 170 tar-Regoli ta’ Proċedura tiegħu,</w:t>
      </w:r>
    </w:p>
    <w:p w14:paraId="5C2E63A1" w14:textId="77777777" w:rsidR="004B1E02" w:rsidRPr="005A291C" w:rsidRDefault="004B1E02" w:rsidP="004B1E02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5A291C">
        <w:t>1.</w:t>
      </w:r>
      <w:r w:rsidRPr="005A291C">
        <w:tab/>
        <w:t>Jadotta l-pożizzjoni fl-ewwel qari li tidher hawn taħt;</w:t>
      </w:r>
    </w:p>
    <w:p w14:paraId="7AB0EF87" w14:textId="77777777" w:rsidR="004B1E02" w:rsidRPr="003F14BA" w:rsidRDefault="004B1E02" w:rsidP="004B1E02">
      <w:pPr>
        <w:pStyle w:val="Normal12"/>
        <w:ind w:left="567" w:hanging="567"/>
        <w:rPr>
          <w:szCs w:val="24"/>
          <w:lang w:val="mt-MT"/>
        </w:rPr>
      </w:pPr>
      <w:r w:rsidRPr="003F14BA">
        <w:rPr>
          <w:szCs w:val="24"/>
          <w:lang w:val="mt-MT"/>
        </w:rPr>
        <w:lastRenderedPageBreak/>
        <w:t>2.</w:t>
      </w:r>
      <w:r w:rsidRPr="003F14BA">
        <w:rPr>
          <w:szCs w:val="24"/>
          <w:lang w:val="mt-MT"/>
        </w:rPr>
        <w:tab/>
        <w:t>Jitlob lill-Kummissjoni terġa’ tirreferi l-kwistjoni lill-Parlament jekk tibdel il-proposta tagħha, temendaha b’mod sustanzjali jew ikollha l-ħsieb li temendaha b’mod sustanzjali;</w:t>
      </w:r>
    </w:p>
    <w:p w14:paraId="31BCAE9D" w14:textId="77777777" w:rsidR="004B1E02" w:rsidRPr="003F14BA" w:rsidRDefault="004B1E02" w:rsidP="004B1E02">
      <w:pPr>
        <w:pStyle w:val="Normal12"/>
        <w:ind w:left="567" w:hanging="567"/>
        <w:rPr>
          <w:lang w:val="mt-MT"/>
        </w:rPr>
        <w:sectPr w:rsidR="004B1E02" w:rsidRPr="003F14BA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3F14BA">
        <w:rPr>
          <w:szCs w:val="24"/>
          <w:lang w:val="mt-MT"/>
        </w:rPr>
        <w:t>3.</w:t>
      </w:r>
      <w:r w:rsidRPr="003F14BA">
        <w:rPr>
          <w:szCs w:val="24"/>
          <w:lang w:val="mt-MT"/>
        </w:rPr>
        <w:tab/>
      </w:r>
      <w:r w:rsidRPr="003F14BA">
        <w:rPr>
          <w:lang w:val="mt-MT"/>
        </w:rPr>
        <w:t>Jagħti istruzzjonijiet lill-President tiegħu biex tgħaddi l-pożizzjoni tal-Parlament lill-Kunsill u lill-Kummissjoni kif ukoll lill-parlamenti nazzjonali.</w:t>
      </w:r>
    </w:p>
    <w:p w14:paraId="17B339B2" w14:textId="77777777" w:rsidR="004B1E02" w:rsidRPr="003F14BA" w:rsidRDefault="004B1E02" w:rsidP="004B1E02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F14BA">
        <w:rPr>
          <w:rFonts w:eastAsia="Calibri"/>
          <w:b/>
          <w:bCs/>
          <w:color w:val="000000"/>
          <w:szCs w:val="24"/>
        </w:rPr>
        <w:lastRenderedPageBreak/>
        <w:t>P10_TC1-COD(2026)0150</w:t>
      </w:r>
    </w:p>
    <w:p w14:paraId="123B1216" w14:textId="0015E46D" w:rsidR="004B1E02" w:rsidRDefault="004B1E02" w:rsidP="004B1E02">
      <w:pPr>
        <w:spacing w:after="360"/>
        <w:rPr>
          <w:rFonts w:eastAsia="Calibri"/>
          <w:b/>
          <w:szCs w:val="22"/>
        </w:rPr>
      </w:pPr>
      <w:bookmarkStart w:id="10" w:name="_Hlk232437425"/>
      <w:r w:rsidRPr="00CE3598">
        <w:rPr>
          <w:rFonts w:eastAsia="Calibri"/>
          <w:b/>
          <w:bCs/>
        </w:rPr>
        <w:t xml:space="preserve">Pożizzjoni tal-Parlament Ewropew </w:t>
      </w:r>
      <w:r w:rsidRPr="004B1E02">
        <w:rPr>
          <w:rFonts w:eastAsia="Calibri"/>
          <w:b/>
          <w:bCs/>
        </w:rPr>
        <w:t>adottata fl-ewwel qari tas-7</w:t>
      </w:r>
      <w:r w:rsidRPr="004B1E02">
        <w:rPr>
          <w:b/>
        </w:rPr>
        <w:t xml:space="preserve"> </w:t>
      </w:r>
      <w:r w:rsidRPr="004B1E02">
        <w:rPr>
          <w:rFonts w:eastAsia="Calibri"/>
          <w:b/>
          <w:bCs/>
        </w:rPr>
        <w:t>ta’ Lulju 2026</w:t>
      </w:r>
      <w:r w:rsidRPr="00CE3598">
        <w:rPr>
          <w:rFonts w:eastAsia="Calibri"/>
          <w:b/>
          <w:bCs/>
        </w:rPr>
        <w:t xml:space="preserve"> bil-ħsieb tal-</w:t>
      </w:r>
      <w:r w:rsidRPr="004B1E02">
        <w:rPr>
          <w:rFonts w:eastAsia="Calibri"/>
          <w:b/>
          <w:bCs/>
        </w:rPr>
        <w:t>adozzjoni tar-Regolament (UE) 2026/...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4B1E02">
        <w:rPr>
          <w:rFonts w:eastAsia="Calibri"/>
          <w:b/>
          <w:szCs w:val="22"/>
        </w:rPr>
        <w:t>li jemenda r-Regolament (UE) 2021/2115 fir-rigward ta’ tip speċifiku ta’ intervent biex jiġi pprovdut appoġġ temporanju eċċezzjonali skont il-Fond Agrikolu Ewropew għall-Iżvilupp Rurali (FAEŻR) u l-possibbiltà li jiġu adattati l-allokazzjonijiet tal-pagamenti diretti għas-sena kalendarja 2027 u r-Regolament (UE) 2021/2116 fir-rigward ta’ regoli aktar flessibbli dwar il-pagamenti bil-quddiem b’reazzjoni għaż-żieda fil-prezzijiet tal-fertilizzanti minħabba l-kriżi tal-Lvant Nofsani</w:t>
      </w:r>
    </w:p>
    <w:bookmarkEnd w:id="10"/>
    <w:p w14:paraId="6D57DE80" w14:textId="77777777" w:rsidR="004B1E02" w:rsidRPr="004B1E02" w:rsidRDefault="004B1E02" w:rsidP="004B1E02">
      <w:pPr>
        <w:keepNext/>
        <w:spacing w:before="60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IL-PARLAMENT EWROPEW U L-KUNSILL TAL-UNJONI EWROPEA,</w:t>
      </w:r>
    </w:p>
    <w:p w14:paraId="5EFFD29A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Wara li kkunsidraw it-Trattat dwar il-Funzjonament tal-Unjoni Ewropea, u b'mod partikolari l-Artikolu 43(2) tiegħu,</w:t>
      </w:r>
    </w:p>
    <w:p w14:paraId="173F52C3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Wara li kkunsidraw il-proposta tal-Kummissjoni Ewropea,</w:t>
      </w:r>
    </w:p>
    <w:p w14:paraId="7356BD22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Wara li l-abbozz tal-att leġiżlattiv intbagħat lill-parlamenti nazzjonali,</w:t>
      </w:r>
    </w:p>
    <w:p w14:paraId="61A2A754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Wara li kkonsultaw il-Kunsill Ekonomiku u Soċjali Ewropew, </w:t>
      </w:r>
    </w:p>
    <w:p w14:paraId="37FA2399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Filwaqt li jaġixxu f’konformità mal-proċedura leġiżlattiva ordinarja</w:t>
      </w:r>
      <w:r w:rsidRPr="004B1E02">
        <w:rPr>
          <w:rFonts w:eastAsia="Calibri"/>
          <w:noProof w:val="0"/>
          <w:color w:val="000000"/>
          <w:szCs w:val="22"/>
          <w:vertAlign w:val="superscript"/>
          <w:lang w:eastAsia="en-US"/>
        </w:rPr>
        <w:footnoteReference w:id="1"/>
      </w:r>
      <w:r w:rsidRPr="004B1E02">
        <w:rPr>
          <w:rFonts w:eastAsia="Calibri"/>
          <w:noProof w:val="0"/>
          <w:color w:val="000000"/>
          <w:szCs w:val="22"/>
          <w:lang w:eastAsia="en-US"/>
        </w:rPr>
        <w:t>,</w:t>
      </w:r>
    </w:p>
    <w:p w14:paraId="12347582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018CB64D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Billi:</w:t>
      </w:r>
    </w:p>
    <w:p w14:paraId="06FED901" w14:textId="77777777" w:rsidR="00860ABC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Il-kriżi reċenti tal-Lvant Nofsani u l-għeluq </w:t>
      </w: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 xml:space="preserve">de </w:t>
      </w:r>
      <w:proofErr w:type="spellStart"/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facto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tal-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Istrett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Hormuz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wasslu għal żidiet sinifikanti fil-prezzijiet globali taż-żejt, tal-gass u tal-fertilizzanti. In-natura globali tas-swieq affettwati għandha effetti sinifikanti fuq il-prezzijiet fuq diversi setturi tal-ekonomija tal-Unjoni madwar l-Istati Membri.</w:t>
      </w:r>
    </w:p>
    <w:p w14:paraId="0E3A52AF" w14:textId="75D1A6F4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(2)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Is-settur agrikolu huwa affettwat direttament miż-żieda qawwija fil-prezzijiet tal-fertilizzanti peress li l-fertilizzanti huma essenzjali għall-produttività agrikola, għall-vijabbiltà tal-azjendi agrikoli u għas-sigurtà tal-ikel. Ix-xiri ta’ fertilizzanti jikkostitwixxi wieħed mill-ogħla kostijiet tal-input għall-bdiewa. Minbarra l-livell tal-prezzijiet, il-volatilità tas-suq twassal biex il-bdiewa tal-Unjoni jkunu partikolarment esposti. Iż-żieda fil-kostijiet tal-fertilizzanti tista’ ġġiegħel lill-bdiewa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jnaqqsuhom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, u dan jirriżulta f’riskju ċar għall-kwalità u fir-rendimenti. Il-bdiewa jistgħu wkoll inaqqsu ż-żona li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jikkultivaw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, li jaffettwa l-produzzjoni agrikola tal-Unjoni. </w:t>
      </w:r>
    </w:p>
    <w:p w14:paraId="6E82CB94" w14:textId="77777777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2AC8E776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(3)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Sabiex jiġu indirizzati malajr il-vulnerabbiltajiet tas-sistema tal-ikel tal-Unjoni li jirriżultaw minn din il-kriżi u sabiex il-bdiewa jiġu megħjuna jiffaċċjaw problemi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likwidità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>, huwa jixraq li jiġi permess appoġġ eċċezzjonali u temporanju billi jiġi introdott tip ġdid ta’ intervent għall-appoġġ għall-kriżijiet fir-Regolament (UE) 2021/2115 tal-Parlament Ewropew u tal-Kunsill</w:t>
      </w:r>
      <w:r w:rsidRPr="004B1E02">
        <w:rPr>
          <w:rFonts w:eastAsia="Calibri"/>
          <w:noProof w:val="0"/>
          <w:color w:val="000000"/>
          <w:szCs w:val="22"/>
          <w:vertAlign w:val="superscript"/>
          <w:lang w:eastAsia="en-US"/>
        </w:rPr>
        <w:footnoteReference w:id="2"/>
      </w: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previst permezz tal-Fond Agrikolu Ewropew għall-Iżvilupp Rurali (FAEŻR) u billi tingħata aktar flessibbiltà lill-Istati Membri dwar il-pagament bil-quddiem fil-każ tal-pagamenti diretti fir-Regolament (UE) 2021/2116 tal-Parlament Ewropew u tal-Kunsill</w:t>
      </w:r>
      <w:r w:rsidRPr="004B1E02">
        <w:rPr>
          <w:rFonts w:eastAsia="Calibri"/>
          <w:noProof w:val="0"/>
          <w:color w:val="000000"/>
          <w:szCs w:val="22"/>
          <w:vertAlign w:val="superscript"/>
          <w:lang w:eastAsia="en-US"/>
        </w:rPr>
        <w:footnoteReference w:id="3"/>
      </w:r>
      <w:r w:rsidRPr="004B1E02">
        <w:rPr>
          <w:rFonts w:eastAsia="Calibri"/>
          <w:noProof w:val="0"/>
          <w:color w:val="000000"/>
          <w:szCs w:val="22"/>
          <w:lang w:eastAsia="en-US"/>
        </w:rPr>
        <w:t>. Jenħtieġ li l-introduzzjoni ta’ dan it-tip ġdid ta’ intervent ma tirriżultax f’żieda fil-limiti tal-applikazzjoni fuq l-art tal-fertilizzanti kif determinat fil-programmi ta’ azzjoni skont id-Direttiva tal-Kunsill 91/676/KEE</w:t>
      </w:r>
      <w:r w:rsidRPr="004B1E02">
        <w:rPr>
          <w:rFonts w:eastAsia="Calibri"/>
          <w:noProof w:val="0"/>
          <w:color w:val="000000"/>
          <w:szCs w:val="22"/>
          <w:vertAlign w:val="superscript"/>
          <w:lang w:eastAsia="en-US"/>
        </w:rPr>
        <w:footnoteReference w:id="4"/>
      </w:r>
      <w:r w:rsidRPr="004B1E02">
        <w:rPr>
          <w:rFonts w:eastAsia="Calibri"/>
          <w:noProof w:val="0"/>
          <w:color w:val="000000"/>
          <w:szCs w:val="22"/>
          <w:lang w:eastAsia="en-US"/>
        </w:rPr>
        <w:t>.</w:t>
      </w:r>
    </w:p>
    <w:p w14:paraId="7864714E" w14:textId="77777777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405BBC91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(4)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L-appoġġ disponibbli skont it-tip il-ġdid ta’ intervent jenħtieġ li jkun ikkonċentrat fuq il-bdiewa attivi li huma l-aktar affettwati mill-prezzijiet għoljin tal-fertilizzanti u jenħtieġ li jingħata għall-kostijiet addizzjonali għall-fertilizzanti mġarrba mill-bdiewa bħala riżultat taż-żidiet fil-prezzijiet li bdew iseħħu mill-1 ta’ Marzu 2026. Dik id-data sservi biss bħala d-data ta’ referenza biex jiġi ddeterminat il-prezz ogħla tal-fertilizzanti u ma tkunx marbuta mal-eliġibbiltà tal-pagamenti lill-benefiċjarji. Jenħtieġ li jkun possibbli li l-bdiewa li diġà għandhom impenji bbażati fuq iż-żona biex inaqqsu tal-użu tagħhom ta' fertilizzanti jiġu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ppremjati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b'rati ta' appoġġ ogħla. Barra minn hekk, jenħtieġ li l-benefiċjarji ta' appoġġ skont dak it-tip ta' intervent jingħataw l-aċċess għall-għarfien rilevanti, kif ukoll informazzjoni dwar kif jitnaqqas l-użu tal-fertilizzanti. Sabiex jiġu żgurati l-użu effiċjenti tal-appoġġ pubbliku u distribuzzjoni aktar ġusta ta’ dak l-appoġġ fost il-bdiewa eliġibbli, jenħtieġ li l-Istati Membri jillimitaw l-appoġġ massimu għal kull benefiċjarju jew l-għadd massimu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ettari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li għalihom jingħata appoġġ. Minħabba n-natura urġenti, temporanja u eċċezzjonali ta’ dak l-appoġġ u l-ħtieġa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żborż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rapidu tal-pagamenti korrispondenti, jenħtieġ li tiġi stabbilita data tat-tmiem għall-pagamenti lill-benefiċjarji. </w:t>
      </w:r>
    </w:p>
    <w:p w14:paraId="1A5DCAA3" w14:textId="77777777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1B339F64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(5)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Sabiex tiġi żgurata ġestjoni finanzjarja tajba tal-fondi tal-Unjoni, jenħtieġ li l-Istati Membri jiżguraw li l-appoġġ totali li jirċievi l-bidwi skont it-tip il-ġdid ta’ intervent, flimkien ma’ strumenti oħra ta’ appoġġ nazzjonali jew tal-Unjoni mfassla biex jindirizzaw l-impatt tal-prezzijiet għoljin tal-fertilizzanti, ma jwassalx għal kumpens żejjed jew għal finanzjament doppju.</w:t>
      </w:r>
    </w:p>
    <w:p w14:paraId="26768071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(6)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Sabiex jiġi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inċentivat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l-użu ta’ strumenti finanzjarji għall-appoġġ previst skont it-tip il-ġdid ta’ intervent, jenħtieġ li r-rati massimi ta’ appoġġ ma japplikawx meta l-appoġġ jingħata fil-forma ta’ kapital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operatorju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awtonomu.</w:t>
      </w:r>
    </w:p>
    <w:p w14:paraId="132A676E" w14:textId="77777777" w:rsidR="00860ABC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(7)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Sabiex jiġi evitat dewmien għall-pagamenti lill-bdiewa li jiffaċċjaw problemi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likwidità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,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jenħtieġ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li jiġi previst li n-nefqa ffinanzjata mill-FAEŻR tkun eliġibbli għat-tip il-ġdid ta’ intervent mid-data tad-dħul fis-seħħ ta’ dan ir-Regolament, u qabel ma l-Istati Membri jissottomettu lill-Kummissjoni talba għal emenda strateġika tal-Pjan Strateġiku tal-PAK li tintroduċi dak l-intervent.</w:t>
      </w:r>
    </w:p>
    <w:p w14:paraId="2B2A42F9" w14:textId="658DFCDC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(8)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Jenħtieġ li l-finanzjament tal-appoġġ skont it-tip il-ġdid ta’ intervent jiġi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pprogrammat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b’rata ta’ kontribuzzjoni tal-FAEŻR sa 65 % tan-nefqa pubblika eliġibbli.</w:t>
      </w:r>
    </w:p>
    <w:p w14:paraId="0F580EB8" w14:textId="77777777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40396E87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(9)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Sabiex jiġi żgurat finanzjament adegwat għat-tip il-ġdid ta’ intervent previst f’dan ir-Regolament mingħajr ma jiġu kompromessi objettivi oħra tal-Pjanijiet Strateġiċi tal-PAK u l-ammonti riżervati għall-pagamenti f’każ ta’ kriżi, jenħtieġ li jiġi stabbilit sehem massimu tal-kontribuzzjoni tal-Unjoni għat-tip il-ġdid ta’ intervent.</w:t>
      </w:r>
    </w:p>
    <w:p w14:paraId="76520808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(10)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Minħabba n-natura speċjali tat-tip il-ġdid ta’ intervent, jenħtieġ li l-obbligu li jikkontribwixxi għall-indikaturi tar-riżultat elenkati fl-Anness I tar-Regolament (UE) 2021/2115 ma japplikax fir-rigward tat-tip il-ġdid ta’ intervent.</w:t>
      </w:r>
    </w:p>
    <w:p w14:paraId="440B16B0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(11)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Meta jiġi introdott dan it-tip ġdid ta’ intervent fil-Pjanijiet Strateġiċi tal-PAK, jenħtieġ li tali talba għal emenda strateġika ma titqiesx mal-ammont massimu possibbli ta' talbiet għal emendi strateġiċi fis-sena.</w:t>
      </w:r>
    </w:p>
    <w:p w14:paraId="78723A79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(12)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Sabiex jiġu żgurati kundizzjonijiet ekwi, jenħtieġ li l-finanzjament nazzjonali addizzjonali massimu għall-interventi skont it-tip il-ġdid ta’ intervent jkun limitat għal 200 % tal-finanzjament tal-FAEŻR għal dan it-tip ta’ intervent.</w:t>
      </w:r>
    </w:p>
    <w:p w14:paraId="513A1A4F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(13)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Fl-Anness I tar-Regolament (UE) 2021/2115, jenħtieġ li jiżdied indikatur tal-output addizzjonali għat-tip il-ġdid ta’ intervent.</w:t>
      </w:r>
    </w:p>
    <w:p w14:paraId="3D102756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(14)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Jenħtieġ li t-Titolu tal-Anness XV tar-Regolament (UE) 2021/2115 jiġi emendat biex jirrifletti l-fatt li l-limiti finanzjarji tal-appoġġ jinkludu l-finanzjament għat-tip il-ġdid ta’ intervent.</w:t>
      </w:r>
    </w:p>
    <w:p w14:paraId="2FC1D187" w14:textId="77777777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26DBDEFB" w14:textId="15487585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(15)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L-Artikolu 103(1) tar-Regolament (UE) 2021/2115 jagħti lill-Istati Membri l-flessibbiltà li jaġġustaw l-allokazzjonijiet tagħhom għall-pagamenti diretti billi jittrasferixxu fondi lejn u mill-allokazzjonijiet tagħhom għall-FAEŻR għas-snin kalendarji mill-2023 sal-2026. Sabiex jiġi żgurat li l-Istati Membri jkunu jistgħu jkomplu jimplimentaw b’suċċess l-istrateġiji nazzjonali rispettivi li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jirfdu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l-Pjanijiet Strateġiċi tal-PAK tagħhom, inkluż strateġiji biex ilaħħqu ma’ kriżijiet mhux mistennija, bħall-impatt tal-prezzijiet għoljin tal-fertilizzanti, jenħtieġ li l-Istati Membri jitħallew ukoll jaġġustaw l-allokazzjonijiet għall-pagamenti diretti għas-sena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2027 sa limitu massimu partikolari, abbażi tal-limiti ta’ trasferiment applikabbli għas-snin kalendarji mill-2023 sal-2026, kif ukoll jitħallew jemendaw il-Pjanijiet Strateġiċi tal-PAK tagħhom kif xieraq. Għalhekk, huwa xieraq li tiġi prevista dik il-possibbiltà billi tiddaħħal dispożizzjoni ġdida fit-Titolu IV tar-Regolament (UE) 2021/2115 u Anness ġdid korrispondenti li jistabbilixxi l-ammonti massimi ta’ żieda u l-ammonti massimi ta’ tnaqqis għal kull Stat Membru. Huwa meħtieġ ukoll li jiġi emendat l-Artikolu 87(2) tar-Regolament (UE) 2021/2115 sabiex il-Kummissjoni tingħata s-setgħa li tadotta att delegat li jemenda l-allokazzjonijiet tal-Istati Membri stabbiliti fl-Annessi V u IX ta’ dak ir-Regolament sabiex jitqiesu dawk l-aġġustamenti tal-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allokazzjonijijet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għall-pagament diretti. Barra minn hekk, huwa meħtieġ li jiġi emendat l-Artikolu 112(2), il-punt (b), tar-Regolament (UE) 2021/2115 sabiex l-aġġustamenti jiġu inklużi fit-tabella ġenerali tal-pjan finanzjarju msemmija fl-Artikolu 107(1), il-punt (e), ta’ dak ir-Regolament, u li jiġi emendat l-Artikolu 119(2), il-punt (c), ta’ dak ir-Regolament sabiex l-aġġustamenti jiġu inklużi fil-lista tal-emendi strateġiċi għall-Pjanijiet Strateġiċi tal-PAK. Barra minn hekk, huwa meħtieġ li jiġi emendat l-Artikolu 119(7), it-tieni subparagrafu, tar-Regolament (UE) 2021/2115 sabiex jiġi previst li t-talba għal emenda strateġika li tirriżulta minn dawk l-aġġustamenti ma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tingħaddx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mal-għadd massimu ta’ talbiet għal emendi strateġiċi li jistgħu jitressqu kull sena. Barra minn hekk, huwa meħtieġ li jiġi emendat l-Artikolu 121, it-tieni paragrafu, il-punt (b), tar-Regolament (UE) 2021/2115 sabiex dawk l-aġġustamenti jiġu inklużi fil-lista tal-emendi ta’ dispożizzjonijiet speċifiċi li għalihom il-perjodu għall-adozzjoni tal-att delegat imsemmi fl-Artikolu 87(2) ta’ dak ir-Regolament ma jitqiesx fil-kalkolu tal-limitu ta’ żmien għall-azzjoni tal-Kummissjoni msemmi fl-ewwel subparagrafu tal-Artikolu 121 ta’ dak ir-Regolament.</w:t>
      </w:r>
    </w:p>
    <w:p w14:paraId="5C0600C6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6D58919B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(16)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Minħabba l-kriżi tal-Lvant Nofsani u ż-żieda konsegwenti fil-prezzijiet tal-fertilizzanti u l-esponiment tal-bdiewa għal riskju finanzjarju, il-livell attwali ta’ pagament bil-quddiem ma għadux biżżejjed. Sabiex jiġu appoġġati l-bdiewa li qed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jesperjenzaw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problemi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likwidità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, u peress li l-effetti ta’ din il-kriżi x’aktarx li jippersistu matul is-sena 2026, jixraq li jinbidlu r-rati massimi għall-pagamenti bil-quddiem fil-każ tal-pagamenti diretti fir-Regolament (UE) 2021/2116, sabiex tkun tista’ titħallas rata ogħla għal dik is-sena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>. Huwa xieraq li r-rata massima tal-pagamenti bil-quddiem fil-każ tal-pagamenti diretti tiżdied minn 70 % għal 75 %, fil-limitu stabbilit fl-Artikolu 11 tar-Regolament (UE, Euratom) 2024/2509 tal-Parlament Ewropew u tal-Kunsill</w:t>
      </w:r>
      <w:r w:rsidRPr="004B1E02">
        <w:rPr>
          <w:rFonts w:eastAsia="Calibri"/>
          <w:noProof w:val="0"/>
          <w:color w:val="000000"/>
          <w:szCs w:val="22"/>
          <w:vertAlign w:val="superscript"/>
          <w:lang w:eastAsia="en-US"/>
        </w:rPr>
        <w:footnoteReference w:id="5"/>
      </w: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. </w:t>
      </w:r>
    </w:p>
    <w:p w14:paraId="79D6D3CD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(17)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Bħalissa l-Istati Membri jistgħu jħallsu pagamenti bil-quddiem lill-bdiewa fil-perjodu mis-16 ta’ Ottubru sat-30 ta’ Novembru tas-sena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. Sabiex jiġu appoġġati l-bdiewa li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jesperjenzaw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problemi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likwidità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kkawżati minn prezzijiet għoljin tal-fertilizzanti, jixraq li l-Istati Membri jingħataw aktar flessibbiltà fir-rigward taż-żmien tal-pagamenti bil-quddiem fil-każ tal-pagamenti diretti u li tali pagamenti jkunu jistgħu jsiru aktar kmieni fis-sena, direttament wara l-applikazzjoni għall-appoġġ. Madankollu, meta jitqies li l-pagamenti bil-quddiem fil-każ tal-pagamenti diretti mħallsa mill-Istati Membri lill-bdiewa f’sena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waħda għandhom jiġu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rimborżati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mill-Kummissjoni lill-Istati Membri biss mill-baġit tas-sena ta’ wara, jenħtieġ li l-pagamenti bil-quddiem fil-każ tal-pagamenti diretti mħallsa lill-benefiċjarji qabel is-16 ta’ Ottubru 2026 jitqiesu bħala li jkunu saru matul ix-xahar ta’ Novembru 2026 u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jenħtieġ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li jkunu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ddikjarati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mill-Istati Membri għar-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rimborż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mad-dikjarazzjoni relatata ma’ dak ix-xahar sabiex jiġu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rimborżati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mill-Kummissjoni fil-bidu tas-sena 2027.</w:t>
      </w:r>
    </w:p>
    <w:p w14:paraId="41886046" w14:textId="77777777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27E24090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(18)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</w:r>
      <w:bookmarkStart w:id="11" w:name="_Hlk230972467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L-Artikolu 59 tar-Regolament (UE) 2021/2116 jagħti lill-Istati Membri flessibbiltà fl-istabbiliment tas-sistemi ta’ ġestjoni u ta’ kontroll tagħhom. L-Istati Membri huma mħeġġa jaġġustaw is-sistemi ta’ ġestjoni u ta’ kontroll tagħhom biex jiżguraw li l-flessibbiltà addizzjonali dwar iż-żmien u d-daqs tal-pagamenti bil-quddiem prevista minn dan ir-Regolament tippermetti appoġġ f’waqtu u effettiv lill-bdiewa. B’mod partikolari, jenħtieġ li l-Istati Membri jiddeċiedu liema verifiki jridu jiffinalizzaw qabel ma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jiżborżaw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pagamenti bil-quddiem biex jindirizzaw il-ħtiġijiet urġenti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likwidità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>. F’dan il-kuntest, jenħtieġ li l-Istati Membri jqisu wkoll il-possibbiltà li jkunu jistgħu jirkupraw kwalunkwe pagament bil-quddiem mhux dovut u jipproteġu l-interessi finanzjarji tal-Unjoni qabel ma jsir il-pagament finali. Meta jsiru l-pagamenti finali, jenħtieġ li l-Istat Membru jivvaluta r-riskju ta’ nuqqas ta’ konformità billi juża għażliet bħal kontrolli fuq l-eliġibbiltà u fuq nuqqasijiet ta’ konformità possibbli u l-irkupru ta’ ammonti li tħallsu meta ma kinux dovuti. Meta jkun hemm fis-seħħ sistema effiċjenti ta’ ġestjoni u ta’ kontroll, inkluż dwar il-ġestjoni tad-dejn, x’aktarx li ma jinħolqux nuqqasijiet serji.</w:t>
      </w:r>
    </w:p>
    <w:bookmarkEnd w:id="11"/>
    <w:p w14:paraId="2DD393B4" w14:textId="77777777" w:rsidR="004B1E02" w:rsidRPr="004B1E02" w:rsidRDefault="004B1E02" w:rsidP="004B1E02">
      <w:pPr>
        <w:spacing w:after="160" w:line="278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28D62D7E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(19)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Għalhekk jenħtieġ li r-Regolamenti (UE) 2021/2115 u (UE) 2021/2116 jiġu emendati kif xieraq.</w:t>
      </w:r>
    </w:p>
    <w:p w14:paraId="3B9C1117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Aptos"/>
          <w:noProof w:val="0"/>
          <w:szCs w:val="22"/>
          <w:lang w:eastAsia="en-US"/>
        </w:rPr>
      </w:pPr>
      <w:r w:rsidRPr="004B1E02">
        <w:rPr>
          <w:rFonts w:eastAsia="Aptos"/>
          <w:noProof w:val="0"/>
          <w:szCs w:val="22"/>
          <w:lang w:eastAsia="en-US"/>
        </w:rPr>
        <w:t>(20)</w:t>
      </w:r>
      <w:r w:rsidRPr="004B1E02">
        <w:rPr>
          <w:rFonts w:eastAsia="Aptos"/>
          <w:noProof w:val="0"/>
          <w:szCs w:val="22"/>
          <w:lang w:eastAsia="en-US"/>
        </w:rPr>
        <w:tab/>
        <w:t xml:space="preserve">Minħabba li l-objettivi ta’ dan ir-Regolament, jiġifieri li jiġu indirizzati malajr il-vulnerabbiltajiet tas-sistema alimentari tal-Unjoni li jirriżultaw mill-kriżi reċenti fil-Lvant Nofsani u li tingħata assistenza lill-bdiewa li qed jiffaċċjaw problemi ta’ </w:t>
      </w:r>
      <w:proofErr w:type="spellStart"/>
      <w:r w:rsidRPr="004B1E02">
        <w:rPr>
          <w:rFonts w:eastAsia="Aptos"/>
          <w:noProof w:val="0"/>
          <w:szCs w:val="22"/>
          <w:lang w:eastAsia="en-US"/>
        </w:rPr>
        <w:t>likwidità</w:t>
      </w:r>
      <w:proofErr w:type="spellEnd"/>
      <w:r w:rsidRPr="004B1E02">
        <w:rPr>
          <w:rFonts w:eastAsia="Aptos"/>
          <w:noProof w:val="0"/>
          <w:szCs w:val="22"/>
          <w:lang w:eastAsia="en-US"/>
        </w:rPr>
        <w:t>, ma jistgħux jinkisbu b’mod suffiċjenti mill-Istati Membri, iżda jistgħu pjuttost, minħabba r-rabtiet bejn dan ir-Regolament u l-istrumenti l-oħra tal-PAK u l-mod kif dan ir-Regolament huwa marbut b’mod inseparabbli mal-kisba tal-prijoritajiet ewlenin tal-Unjoni, jinkisbu aħjar fil-livell tal-Unjoni, l-Unjoni tista’ tadotta miżuri, f’konformità mal-prinċipju tas-sussidjarjetà kif stabbilit fl-Artikolu 5 tat-Trattat dwar l-Unjoni Ewropea. F’konformità mal-prinċipju tal-proporzjonalità kif stabbilit f’dak l-Artikolu, dan ir-Regolament ma jmurx lil hinn minn dak li huwa meħtieġ sabiex jinkisbu dawk l-objettivi.</w:t>
      </w:r>
    </w:p>
    <w:p w14:paraId="212D3B8A" w14:textId="77777777" w:rsidR="00860ABC" w:rsidRDefault="004B1E02" w:rsidP="004B1E02">
      <w:pPr>
        <w:spacing w:before="120" w:after="120" w:line="360" w:lineRule="auto"/>
        <w:ind w:left="851" w:hanging="851"/>
        <w:rPr>
          <w:rFonts w:eastAsia="Aptos"/>
          <w:noProof w:val="0"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noProof w:val="0"/>
          <w:kern w:val="2"/>
          <w:szCs w:val="24"/>
          <w:lang w:eastAsia="en-US"/>
          <w14:ligatures w14:val="standardContextual"/>
        </w:rPr>
        <w:t>(21)</w:t>
      </w:r>
      <w:r w:rsidRPr="004B1E02">
        <w:rPr>
          <w:rFonts w:eastAsia="Aptos"/>
          <w:noProof w:val="0"/>
          <w:kern w:val="2"/>
          <w:szCs w:val="24"/>
          <w:lang w:eastAsia="en-US"/>
          <w14:ligatures w14:val="standardContextual"/>
        </w:rPr>
        <w:tab/>
        <w:t>Minħabba l-urġenza tal-ħtieġa li l-bdiewa jitħallew jieħdu deċiżjonijiet ta’ investiment f’waqthom u b’hekk jitnaqqas kemm jista’ jkun ir-riskju ta’ tnaqqis fil-produzzjoni tal-ikel, jitqies li huwa xieraq li tiġi invokata l-eċċezzjoni għall-perjodu ta’ tmien ġimgħat previst fl-Artikolu 4 tal-Protokoll Nru 1 dwar ir-rwol tal-Parlamenti nazzjonali fl-Unjoni Ewropea, anness mat-Trattat dwar l-Unjoni Ewropea, mat-Trattat dwar il-Funzjonament tal-Unjoni Ewropea u mat-Trattat li jistabbilixxi l-Komunità Ewropea tal-Enerġija Atomika.</w:t>
      </w:r>
    </w:p>
    <w:p w14:paraId="6D4882C8" w14:textId="401282B5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(22)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Minħabba l-ħtieġa li tittieħed azzjoni immedjata, jenħtieġ li dan ir-Regolament jidħol fis-seħħ fil-jum wara dak tal-pubblikazzjoni tiegħu f’</w:t>
      </w: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Il-Ġurnal Uffiċjali tal-Unjoni Ewropea,</w:t>
      </w:r>
    </w:p>
    <w:p w14:paraId="11CE3449" w14:textId="77777777" w:rsidR="004B1E02" w:rsidRPr="004B1E02" w:rsidRDefault="004B1E02" w:rsidP="004B1E02">
      <w:pPr>
        <w:keepNext/>
        <w:spacing w:before="120" w:after="120" w:line="360" w:lineRule="auto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ADOTTAW DAN IR-REGOLAMENT:</w:t>
      </w:r>
    </w:p>
    <w:p w14:paraId="2EB8914A" w14:textId="77777777" w:rsidR="004B1E02" w:rsidRPr="004B1E02" w:rsidRDefault="004B1E02" w:rsidP="004B1E02">
      <w:pPr>
        <w:spacing w:after="160" w:line="278" w:lineRule="auto"/>
        <w:rPr>
          <w:rFonts w:eastAsia="Calibri"/>
          <w:i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br w:type="page"/>
      </w:r>
    </w:p>
    <w:p w14:paraId="79AA8345" w14:textId="77777777" w:rsidR="004B1E02" w:rsidRPr="004B1E02" w:rsidRDefault="004B1E02" w:rsidP="004B1E02">
      <w:pPr>
        <w:keepNext/>
        <w:spacing w:before="360" w:after="120" w:line="360" w:lineRule="auto"/>
        <w:jc w:val="center"/>
        <w:rPr>
          <w:rFonts w:eastAsia="Calibri"/>
          <w:i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lastRenderedPageBreak/>
        <w:t>Artikolu 1</w:t>
      </w:r>
    </w:p>
    <w:p w14:paraId="1D7AE189" w14:textId="77777777" w:rsidR="004B1E02" w:rsidRPr="004B1E02" w:rsidRDefault="004B1E02" w:rsidP="004B1E02">
      <w:pPr>
        <w:spacing w:before="120" w:after="120" w:line="360" w:lineRule="auto"/>
        <w:jc w:val="center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b/>
          <w:noProof w:val="0"/>
          <w:color w:val="000000"/>
          <w:szCs w:val="22"/>
          <w:lang w:eastAsia="en-US"/>
        </w:rPr>
        <w:t>Emendi tar-Regolament (UE) 2021/2115</w:t>
      </w:r>
    </w:p>
    <w:p w14:paraId="0E2AF4CD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Ir-Regolament (UE) 2021/2115 huwa emendat kif ġej:</w:t>
      </w:r>
    </w:p>
    <w:p w14:paraId="20FE2083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69, jiżdied il-punt li ġej:</w:t>
      </w:r>
    </w:p>
    <w:p w14:paraId="5031F25E" w14:textId="77777777" w:rsidR="004B1E02" w:rsidRPr="004B1E02" w:rsidRDefault="004B1E02" w:rsidP="004B1E02">
      <w:pPr>
        <w:spacing w:before="120" w:after="120" w:line="360" w:lineRule="auto"/>
        <w:ind w:left="1435" w:hanging="585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“(j)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appoġġ lill-bdiewa affettwati miż-żieda qawwija fil-prezzijiet tal-fertilizzanti minħabba l-kriżi tal-Lvant Nofsani</w:t>
      </w:r>
      <w:r w:rsidRPr="004B1E02">
        <w:rPr>
          <w:rFonts w:eastAsia="Aptos"/>
          <w:noProof w:val="0"/>
          <w:kern w:val="2"/>
          <w:szCs w:val="24"/>
          <w:lang w:eastAsia="en-US"/>
          <w14:ligatures w14:val="standardContextual"/>
        </w:rPr>
        <w:t>.’’;</w:t>
      </w:r>
    </w:p>
    <w:p w14:paraId="272BE381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(2)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fit-Titolu III, fil-Kapitolu IV, it-Taqsima 1, jiżdied l-Artikolu li ġej:</w:t>
      </w:r>
    </w:p>
    <w:p w14:paraId="59C3A028" w14:textId="77777777" w:rsidR="004B1E02" w:rsidRPr="004B1E02" w:rsidRDefault="004B1E02" w:rsidP="004B1E02">
      <w:pPr>
        <w:spacing w:before="120" w:after="120" w:line="360" w:lineRule="auto"/>
        <w:ind w:left="851"/>
        <w:rPr>
          <w:rFonts w:eastAsia="Calibri"/>
          <w:i/>
          <w:iCs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 xml:space="preserve">“Artikolu 78b </w:t>
      </w:r>
    </w:p>
    <w:p w14:paraId="40E405A2" w14:textId="77777777" w:rsidR="004B1E02" w:rsidRPr="004B1E02" w:rsidRDefault="004B1E02" w:rsidP="004B1E02">
      <w:pPr>
        <w:spacing w:before="120" w:after="120" w:line="360" w:lineRule="auto"/>
        <w:ind w:left="851"/>
        <w:rPr>
          <w:b/>
          <w:bCs/>
          <w:noProof w:val="0"/>
          <w:color w:val="000000"/>
          <w:szCs w:val="22"/>
        </w:rPr>
      </w:pPr>
      <w:r w:rsidRPr="004B1E02">
        <w:rPr>
          <w:b/>
          <w:noProof w:val="0"/>
          <w:color w:val="000000"/>
          <w:szCs w:val="22"/>
        </w:rPr>
        <w:t>Appoġġ lill-bdiewa affettwati miż-żieda qawwija fil-prezzijiet tal-fertilizzanti minħabba l-kriżi tal-Lvant Nofsani</w:t>
      </w:r>
    </w:p>
    <w:p w14:paraId="06B8EF4C" w14:textId="77777777" w:rsidR="004B1E02" w:rsidRPr="004B1E02" w:rsidRDefault="004B1E02" w:rsidP="004B1E02">
      <w:pPr>
        <w:spacing w:before="120" w:after="120" w:line="360" w:lineRule="auto"/>
        <w:ind w:left="1435" w:hanging="584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1.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L-Istati Membri jistgħu jipprovdu appoġġ temporanju eċċezzjonali lill-bdiewa attivi li huma affettwati miż-żieda qawwija fil-prezzijiet tal-fertilizzanti. Kwalunkwe appoġġ ipprovdut għandu jkun soġġett għall-kundizzjonijiet stabbiliti f’dan l-Artikolu u speċifikati aktar mill-Istati Membri fil-Pjanijiet Strateġiċi tal-PAK tagħhom.</w:t>
      </w:r>
    </w:p>
    <w:p w14:paraId="7FC0E91C" w14:textId="77777777" w:rsidR="004B1E02" w:rsidRPr="004B1E02" w:rsidRDefault="004B1E02" w:rsidP="004B1E02">
      <w:pPr>
        <w:spacing w:before="120" w:after="120" w:line="360" w:lineRule="auto"/>
        <w:ind w:left="1440" w:hanging="589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2.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L-Istati Membri għandhom jiżguraw li l-appoġġ skont dan l-Artikolu jkun immirat lejn dawk il-bdiewa li huma l-aktar affettwati miż-żieda qawwija fil-prezzijiet tal-fertilizzanti. Huma għandhom jagħmlu dan billi jiddeterminaw il-kundizzjonijiet tal-eliġibbiltà abbażi tal-evidenza disponibbli. </w:t>
      </w:r>
    </w:p>
    <w:p w14:paraId="26BBC159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0BF535A6" w14:textId="77777777" w:rsidR="004B1E02" w:rsidRPr="004B1E02" w:rsidRDefault="004B1E02" w:rsidP="004B1E02">
      <w:pPr>
        <w:spacing w:before="120" w:after="120" w:line="360" w:lineRule="auto"/>
        <w:ind w:left="850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3.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L-appoġġ skont dan l-Artikolu għandu jkopri parti mill-kostijiet addizzjonali tal-fertilizzanti kkawżati mill-iżviluppi tas-suq li jirriżultaw mill-kriżi tal-Lvant Nofsani fil-perjodu li jibda fl-1 ta’ Marzu 2026. Il-kostijiet addizzjonali għandhom jiġu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kkalkulati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bħala d-differenza bejn prezz rappreżentattiv għall-fertilizzanti u prezz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referenzjarju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għall-fertilizzanti. L-istati Membri għandhom, abbażi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suppożizzjonijiet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raġonevoli, jiddefinixxu l-prezz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referenzjarju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abbażi tal-prezz medju għall-fertilizzanti matul mill-inqas 3 xhur konsekuttivi fil-perjodu bejn l-1 ta’ Jannar 2025 u t-28 ta’ Frar 2026, u l-prezz rappreżentattiv abbażi tal-prezz għall-fertilizzanti matul perjodu determinat mill-Istat Membru, li ma għandux jibda qabel l-1 ta’ Marzu 2026.L-appoġġ skont dan l-Artikolu għandu jieħu l-forma ta’ kost ta’ unità għal kull ettaru kkalkulat abbażi tal-konsum annwali medju ta’ fertilizzanti għal kull żona,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differenzjat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skont is-setturi jew is-sistemi ta’ produzzjoni. Inkella, l-Istati Membri jistgħu jibbażaw l-appoġġ skont dan l-Artikolu fuq il-kostijiet reali mġarrba minn kull benefiċjarju billi jużaw l-istess prezz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referenzjarju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kif deskritt f’dan il-paragrafu. </w:t>
      </w:r>
    </w:p>
    <w:p w14:paraId="5917CB43" w14:textId="77777777" w:rsidR="004B1E02" w:rsidRPr="004B1E02" w:rsidRDefault="004B1E02" w:rsidP="004B1E02">
      <w:pPr>
        <w:spacing w:before="120" w:after="120" w:line="360" w:lineRule="auto"/>
        <w:ind w:left="850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4.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L-Istati Membri għandhom jistabbilixxu r-rati ta’ appoġġ applikabbli li jkopru sa 50 % tal-kostijiet addizzjonali għall-fertilizzanti. Dawk ir-rati jistgħu jiżdiedu sa massimu ta’ 80 % għall-bdiewa li huma soġġetti għall-impenji msemmija fl-Artikoli 31 u 70, jew ir-rekwiżiti msemmija fl-Artikolu 72, biex inaqqsu l-użu ta’ fertilizzanti. Għal strumenti finanzjarji fil-forma ta’ kapital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operatorju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awtonomu, għandu japplika l-Artikolu 80(4).</w:t>
      </w:r>
    </w:p>
    <w:p w14:paraId="00DDBEC2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55EBBDCA" w14:textId="77777777" w:rsidR="004B1E02" w:rsidRPr="004B1E02" w:rsidRDefault="004B1E02" w:rsidP="004B1E02">
      <w:pPr>
        <w:spacing w:before="120" w:after="120" w:line="360" w:lineRule="auto"/>
        <w:ind w:left="1418" w:hanging="567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5.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L-Istati Membri għandhom jistabbilixxu ammont massimu ta’ appoġġ għal kull benefiċjarju jew numru massimu ta’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ettari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li għalihom kull benefiċjarju jista’ jirċievi appoġġ.</w:t>
      </w:r>
    </w:p>
    <w:p w14:paraId="4FDCD9C1" w14:textId="77777777" w:rsidR="004B1E02" w:rsidRPr="004B1E02" w:rsidRDefault="004B1E02" w:rsidP="004B1E02">
      <w:pPr>
        <w:spacing w:before="120" w:after="120" w:line="360" w:lineRule="auto"/>
        <w:ind w:left="1418" w:hanging="567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6.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L-appoġġ skont dan l-Artikolu għandu jitħallas lill-bidwi sat-30 ta’ Ġunju 2027. </w:t>
      </w:r>
    </w:p>
    <w:p w14:paraId="669AB194" w14:textId="77777777" w:rsidR="004B1E02" w:rsidRPr="004B1E02" w:rsidRDefault="004B1E02" w:rsidP="004B1E02">
      <w:pPr>
        <w:spacing w:before="120" w:after="120" w:line="360" w:lineRule="auto"/>
        <w:ind w:left="1418" w:hanging="567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7.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L-Istati Membri għandhom jiżguraw li l-bdiewa li jirċievu appoġġ skont dan l-Artikolu jkollhom aċċess għall-għarfien u għall-informazzjoni rilevanti biex ikunu jistgħu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jottimizzaw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l-użu sostenibbli tal-fertilizzanti.</w:t>
      </w:r>
    </w:p>
    <w:p w14:paraId="579B6D41" w14:textId="77777777" w:rsidR="004B1E02" w:rsidRPr="004B1E02" w:rsidRDefault="004B1E02" w:rsidP="004B1E02">
      <w:pPr>
        <w:spacing w:before="120" w:after="120" w:line="360" w:lineRule="auto"/>
        <w:ind w:left="1418" w:hanging="567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8.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Meta jagħtu appoġġ skont dan l-Artikolu, l-Istati Membri għandhom jiżguraw li jiġi evitat kumpens żejjed bħala riżultat tal-kombinazzjoni tal-intervent skont dan l-Artikolu ma’ strumenti oħra ta’ appoġġ nazzjonali jew tal-Unjoni.”;</w:t>
      </w:r>
    </w:p>
    <w:p w14:paraId="00BB4570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2B637F9A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(3)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L-Artikolu 80 huwa emendat kif ġej:</w:t>
      </w:r>
    </w:p>
    <w:p w14:paraId="23230D57" w14:textId="77777777" w:rsidR="004B1E02" w:rsidRPr="004B1E02" w:rsidRDefault="004B1E02" w:rsidP="004B1E02">
      <w:pPr>
        <w:tabs>
          <w:tab w:val="left" w:pos="1418"/>
        </w:tabs>
        <w:spacing w:before="120" w:after="120" w:line="360" w:lineRule="auto"/>
        <w:ind w:left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(a)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il-paragrafu 1 huwa sostitwit b’dan li ġej:</w:t>
      </w:r>
    </w:p>
    <w:p w14:paraId="12C39225" w14:textId="77777777" w:rsidR="004B1E02" w:rsidRPr="004B1E02" w:rsidRDefault="004B1E02" w:rsidP="004B1E02">
      <w:pPr>
        <w:spacing w:before="120" w:after="120" w:line="360" w:lineRule="auto"/>
        <w:ind w:left="1985" w:hanging="545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“1.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L-appoġġ fil-forma ta’ strumenti finanzjarji msemmi fl-Artikolu 58 tar-Regolament (UE) 2021/1060 jista’ jingħata skont it-tipi ta’ intervent imsemmija fl-Artikoli minn 73 sa 78 u 78b ta’ dan ir-Regolament.”; </w:t>
      </w:r>
    </w:p>
    <w:p w14:paraId="73CA54DE" w14:textId="77777777" w:rsidR="004B1E02" w:rsidRPr="004B1E02" w:rsidRDefault="004B1E02" w:rsidP="004B1E02">
      <w:pPr>
        <w:spacing w:before="120" w:after="120" w:line="360" w:lineRule="auto"/>
        <w:ind w:left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(b)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fil-paragrafu 3, l-ewwel subparagrafu huwa sostitwit b’dan li ġej:</w:t>
      </w:r>
    </w:p>
    <w:p w14:paraId="3426AC6B" w14:textId="77777777" w:rsidR="004B1E02" w:rsidRPr="004B1E02" w:rsidRDefault="004B1E02" w:rsidP="004B1E02">
      <w:pPr>
        <w:spacing w:before="120" w:after="120" w:line="360" w:lineRule="auto"/>
        <w:ind w:left="1418"/>
        <w:rPr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“3.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F’konformità mal-Artikolu 58(2) tar-Regolament (UE) 2021/1060, il-kapital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operatorju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, inkluż il-kapital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operatorju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awtonomu, jista’ jkun nefqa eliġibbli skont l-Artikoli 73, 74, 76, 77, 78 u 78b ta’ dan ir-Regolament, jekk ikun jikkontribwixxi għall-kisba ta’ mill-inqas objettiv speċifiku wieħed rilevanti għall-intervent ikkonċernat. L-appoġġ għall-finanzjament tal-kapital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operatorju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awtonomu skont kwalunkwe wieħed minn dawk l-Artikoli jista’ jiġi pprovdut mingħajr ma jkun soġġett għar-rekwiżit li r-riċevitur finali jirċievi appoġġ għal nefqa oħra skont l-istess Artikolu.”;</w:t>
      </w:r>
    </w:p>
    <w:p w14:paraId="4AB145FC" w14:textId="77777777" w:rsidR="004B1E02" w:rsidRPr="004B1E02" w:rsidRDefault="004B1E02" w:rsidP="004B1E02">
      <w:pPr>
        <w:spacing w:before="120" w:after="120" w:line="360" w:lineRule="auto"/>
        <w:ind w:left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(c)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il-paragrafu 4 huwa sostitwit b’dan li ġej:</w:t>
      </w:r>
    </w:p>
    <w:p w14:paraId="0DD6A878" w14:textId="77777777" w:rsidR="004B1E02" w:rsidRPr="004B1E02" w:rsidRDefault="004B1E02" w:rsidP="004B1E02">
      <w:pPr>
        <w:spacing w:before="120" w:after="120" w:line="360" w:lineRule="auto"/>
        <w:ind w:left="1985" w:hanging="545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“4.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B’deroga mill-Artikoli 73, 74, 76, 77, 78 u 78b, ir-rati ta’ appoġġ stabbiliti f’dawk l-Artikoli ma għandhomx japplikaw għall-finanzjament tal-kapital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operatorju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awtonomu.”;</w:t>
      </w:r>
    </w:p>
    <w:p w14:paraId="7F09C7DA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3544E23E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(4)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86(3), jiżdied is-subparagrafu li ġej:</w:t>
      </w:r>
    </w:p>
    <w:p w14:paraId="2EA83BAB" w14:textId="77777777" w:rsidR="004B1E02" w:rsidRPr="004B1E02" w:rsidRDefault="004B1E02" w:rsidP="004B1E02">
      <w:pPr>
        <w:spacing w:before="120" w:after="120" w:line="360" w:lineRule="auto"/>
        <w:ind w:left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“B’deroga mill-ewwel subparagrafu ta’ dan il-paragrafu, il-Pjan Strateġiku tal-PAK jista’ jipprevedi li, fil-każ ta’ tip ta’ intervent skont l-Artikolu 78b, l-eliġibbiltà tan-nefqa ffinanzjata mill-FAEŻR relatata mal-emendi tal-Pjan Strateġiku tal-PAK tista’ tibda qabel id-data tal-preżentazzjoni lill-Kummissjoni tat-talba għal emenda iżda mhux qabel… [id-data tad-dħul fis-seħħ ta’ dan ir-Regolament emendatorju].”;</w:t>
      </w:r>
    </w:p>
    <w:p w14:paraId="0705CC1E" w14:textId="77777777" w:rsidR="004B1E02" w:rsidRPr="004B1E02" w:rsidRDefault="004B1E02" w:rsidP="004B1E02">
      <w:pPr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(5)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fl-Artikolu 87(2), l-ewwel subparagrafu huwa sostitwit b’dan li ġej: </w:t>
      </w:r>
    </w:p>
    <w:p w14:paraId="047448D5" w14:textId="77777777" w:rsidR="004B1E02" w:rsidRPr="004B1E02" w:rsidRDefault="004B1E02" w:rsidP="004B1E02">
      <w:pPr>
        <w:spacing w:before="120" w:after="120" w:line="360" w:lineRule="auto"/>
        <w:ind w:left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“2.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Il-Kummissjoni għandha s-setgħa li tadotta atti delegati f’konformità mal-Artikolu 152 li jemendaw l-allokazzjonijiet tal-Istati Membri stabbiliti fl-Annessi V u IX biex jitqiesu l-iżviluppi relatati mal-ammont massimu totali tal-pagamenti diretti li jistgħu jingħataw, inkluż it-trasferimenti msemmija fl-Artikoli 17 u 103, l-aġġustament tal-allokazzjonijiet tal-pagamenti diretti msemmi fl-Artikolu 103a, it-trasferimenti tal-allokazzjonijiet finanzjarji msemmija fl-Artikolu 88(5) u kwalunkwe tnaqqis meħtieġ biex jiġu ffinanzjati t-tipi ta’ intervent f’setturi oħra msemmija fl-Artikolu 88(6).”;</w:t>
      </w:r>
    </w:p>
    <w:p w14:paraId="7C1AD41D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2C485A57" w14:textId="77777777" w:rsidR="004B1E02" w:rsidRPr="004B1E02" w:rsidRDefault="004B1E02" w:rsidP="004B1E02">
      <w:pPr>
        <w:spacing w:before="120" w:after="120" w:line="360" w:lineRule="auto"/>
        <w:ind w:left="851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(6)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fl-Artikolu 91(3), il-punt (a) huwa sostitwit b’dan li ġej: </w:t>
      </w:r>
    </w:p>
    <w:p w14:paraId="6EBE948B" w14:textId="77777777" w:rsidR="004B1E02" w:rsidRPr="004B1E02" w:rsidRDefault="004B1E02" w:rsidP="004B1E02">
      <w:pPr>
        <w:spacing w:before="120" w:line="360" w:lineRule="auto"/>
        <w:ind w:left="1436" w:hanging="585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“(a)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65 % tan-nefqa pubblika eliġibbli għal pagamenti għal restrizzjonijiet naturali jew restrizzjonijiet oħra speċifiċi għaż-żona skont l-Artikolu 71 u għall-appoġġ skont l-Artikolu 78b”;</w:t>
      </w:r>
    </w:p>
    <w:p w14:paraId="205589A4" w14:textId="77777777" w:rsidR="004B1E02" w:rsidRPr="004B1E02" w:rsidRDefault="004B1E02" w:rsidP="004B1E02">
      <w:pPr>
        <w:spacing w:before="120" w:after="120" w:line="360" w:lineRule="auto"/>
        <w:ind w:left="851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(7)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l-Artikolu 96a huwa sostitwit b’dan li ġej:</w:t>
      </w:r>
    </w:p>
    <w:p w14:paraId="0C8E16D9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i/>
          <w:iCs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“Artikolu 96a</w:t>
      </w:r>
    </w:p>
    <w:p w14:paraId="420F3423" w14:textId="77777777" w:rsidR="004B1E02" w:rsidRPr="004B1E02" w:rsidRDefault="004B1E02" w:rsidP="004B1E02">
      <w:pPr>
        <w:spacing w:before="120" w:after="120" w:line="360" w:lineRule="auto"/>
        <w:ind w:left="851"/>
        <w:rPr>
          <w:b/>
          <w:bCs/>
          <w:noProof w:val="0"/>
          <w:color w:val="000000"/>
          <w:szCs w:val="22"/>
        </w:rPr>
      </w:pPr>
      <w:r w:rsidRPr="004B1E02">
        <w:rPr>
          <w:b/>
          <w:noProof w:val="0"/>
          <w:color w:val="000000"/>
          <w:szCs w:val="22"/>
        </w:rPr>
        <w:t xml:space="preserve">Allokazzjonijiet finanzjarji massimi għall-pagamenti f’każ ta’ kriżi lill-bdiewa msemmija fl-Artikolu 78a u appoġġ lill-bdiewa msemmi fl-Artikolu 78b </w:t>
      </w:r>
    </w:p>
    <w:p w14:paraId="5C4FEA1F" w14:textId="77777777" w:rsidR="004B1E02" w:rsidRPr="004B1E02" w:rsidRDefault="004B1E02" w:rsidP="004B1E02">
      <w:pPr>
        <w:spacing w:before="120" w:after="120" w:line="360" w:lineRule="auto"/>
        <w:ind w:left="1418" w:hanging="567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1.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L-ammont massimu għal kull Stat Membru li jista’ jiġi riżervat għall-pagamenti f’każ ta’ kriżi lill-bdiewa wara diżastri naturali, eventi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klimatiċi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avversi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jew eventi katastrofiċi msemmija fl-Artikolu 78a u għall-appoġġ lill-bdiewa affettwati miż-żieda qawwija fil-prezzijiet tal-fertilizzanti minħabba l-kriżi tal-Lvant Nofsani msemmi fl-Artikolu 78b għandu jkun limitat għall-ammonti annwali stabbiliti fl-Anness XV.</w:t>
      </w:r>
    </w:p>
    <w:p w14:paraId="00D58513" w14:textId="77777777" w:rsidR="004B1E02" w:rsidRPr="004B1E02" w:rsidRDefault="004B1E02" w:rsidP="004B1E02">
      <w:pPr>
        <w:spacing w:before="120" w:after="120" w:line="360" w:lineRule="auto"/>
        <w:ind w:left="1418" w:hanging="567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2.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Massimu ta’ 25 % tal-ammonti annwali stabbiliti fl-Anness XV jista’ jiġi riżervat għall-finanzjament tal-appoġġ lill-bdiewa msemmi fl-Artikolu 78b. </w:t>
      </w:r>
    </w:p>
    <w:p w14:paraId="1A5EED44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46C1087E" w14:textId="77777777" w:rsidR="004B1E02" w:rsidRPr="004B1E02" w:rsidRDefault="004B1E02" w:rsidP="004B1E02">
      <w:pPr>
        <w:spacing w:before="120" w:after="120" w:line="360" w:lineRule="auto"/>
        <w:ind w:left="850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3.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In-nefqa totali tal-FAEŻR għall-pagamenti f’każ ta’ kriżi msemmija fl-Artikolu 78a u l-appoġġ imsemmi fl-Artikolu 78b ma għandhiex taqbeż is-somma tal-allokazzjonijiet finanzjarji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indikattivi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għal dawn it-tipi ta’ intervent għas-snin finanzjarji 2026 u 2027, kif stabbilit mill-Istati Membri fil-pjanijiet finanzjarji tagħhom f’konformità mal-Artikolu 112(2), il-punt (a), u kif approvat mill-Kummissjoni f’konformità mal-Artikolu 119. Dak il-limitu massimu finanzjarju għandu jikkostitwixxi limitu massimu finanzjarju stabbilit mid-dritt tal-Unjoni.”; </w:t>
      </w:r>
    </w:p>
    <w:p w14:paraId="766FB75A" w14:textId="77777777" w:rsidR="004B1E02" w:rsidRPr="004B1E02" w:rsidRDefault="004B1E02" w:rsidP="004B1E02">
      <w:pPr>
        <w:spacing w:before="120" w:after="120" w:line="360" w:lineRule="auto"/>
        <w:ind w:left="993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(8)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fit-Titolu IV, jiżdied l-Artikolu li ġej:</w:t>
      </w:r>
    </w:p>
    <w:p w14:paraId="36D9FDAB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</w:t>
      </w: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Artikolu 103a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</w:t>
      </w:r>
    </w:p>
    <w:p w14:paraId="63E55A44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b/>
          <w:noProof w:val="0"/>
          <w:color w:val="000000"/>
          <w:szCs w:val="22"/>
          <w:lang w:eastAsia="en-US"/>
        </w:rPr>
        <w:t xml:space="preserve">Allokazzjonijiet ta’ pagamenti diretti għas-sena </w:t>
      </w:r>
      <w:proofErr w:type="spellStart"/>
      <w:r w:rsidRPr="004B1E02">
        <w:rPr>
          <w:rFonts w:eastAsia="Calibri"/>
          <w:b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b/>
          <w:noProof w:val="0"/>
          <w:color w:val="000000"/>
          <w:szCs w:val="22"/>
          <w:lang w:eastAsia="en-US"/>
        </w:rPr>
        <w:t xml:space="preserve"> 2027</w:t>
      </w:r>
    </w:p>
    <w:p w14:paraId="70C4D80A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Sal-31 ta’ Awwissu 2026, l-Istati Membri jistgħu jiddeċiedu li jżidu jew inaqqsu l-allokazzjonijiet tagħhom għall-pagamenti diretti stabbiliti fl-Annessi V u IX għas-sena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2027 b’ammont li ma jaqbiżx iż-żieda massima jew t-tnaqqis massimu stabbiliti fl-Anness XVI għal kull Stat Membru, bħala parti minn talba għal emenda strateġika tal-Pjanijiet Strateġiċi tal-PAK rispettivi tagħhom imsemmija fl-Artikolu 119.”;</w:t>
      </w:r>
    </w:p>
    <w:p w14:paraId="4AA0E2B4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192602F6" w14:textId="77777777" w:rsidR="004B1E02" w:rsidRPr="004B1E02" w:rsidRDefault="004B1E02" w:rsidP="004B1E02">
      <w:pPr>
        <w:tabs>
          <w:tab w:val="num" w:pos="3119"/>
        </w:tabs>
        <w:spacing w:before="120" w:after="120" w:line="360" w:lineRule="auto"/>
        <w:ind w:left="993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(9)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111, it-tieni paragrafu huwa sostitwit b’dan li ġej:</w:t>
      </w:r>
    </w:p>
    <w:p w14:paraId="624C5C99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“Il-punt (e) tal-ewwel paragrafu ma għandux japplika għat-tip ta’ intervent fis-settur tal-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apikultura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msemmi fl-Artikolu 55(1), il-punt (a) u l-punti (c) sa (g), l-interventi skont it-tip ta’ intervent fis-settur tal-inbid imsemmi fl-Artikolu 58(1), il-punti minn (h) sa (k), l-azzjonijiet ta’ informazzjoni u ta’ promozzjoni għal skemi tal-kwalità skont it-tip ta’ intervent għall-kooperazzjoni msemmi fl-Artikolu 77, l-interventi skont it-tip ta’ intervent għall-pagamenti f’każ ta’ kriżi lill-bdiewa wara diżastri naturali, avvenimenti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klimatiċi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avversi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jew avvenimenti katastrofiċi msemmija fl-Artikolu 78a, u l-interventi skont it-tip ta’ intervent għall-appoġġ lill-bdiewa affettwati miż-żieda qawwija fil-prezzijiet tal-fertilizzanti msemmija fl-Artikolu 78b.”;</w:t>
      </w:r>
    </w:p>
    <w:p w14:paraId="2689537E" w14:textId="77777777" w:rsidR="004B1E02" w:rsidRPr="004B1E02" w:rsidRDefault="004B1E02" w:rsidP="004B1E02">
      <w:pPr>
        <w:spacing w:before="120" w:after="120" w:line="360" w:lineRule="auto"/>
        <w:ind w:left="993" w:hanging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(10)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112(2), il-punt (b) huwa sostitwit b’dan li ġej:</w:t>
      </w:r>
    </w:p>
    <w:p w14:paraId="7D54D08D" w14:textId="77777777" w:rsidR="004B1E02" w:rsidRPr="004B1E02" w:rsidRDefault="004B1E02" w:rsidP="004B1E02">
      <w:pPr>
        <w:spacing w:before="120" w:after="120" w:line="360" w:lineRule="auto"/>
        <w:ind w:left="1435" w:hanging="585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“(b)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it-trasferimenti tal-ammonti msemmija fil-punt (a) bejn it-tipi ta’ intervent fil-forma ta’ pagamenti diretti u t-tipi ta’ intervent għall-iżvilupp rurali f’konformità mal-Artikolu 103, kwalunkwe tnaqqis tal-allokazzjonijiet tal-Istat Membru għat-tipi ta’ intervent fil-forma ta’ pagamenti diretti biex jitqiegħdu għad-dispożizzjoni ammonti għat-tipi ta’ intervent f’setturi oħra msemmija fit-Titolu III, il-Kapitolu III, it-Taqsima 7, f’konformità mal-Artikolu 88(6), u kwalunkwe aġġustament tal-allokazzjonijiet tal-pagamenti diretti f’konformità mal-Artikolu 103a;”;</w:t>
      </w:r>
    </w:p>
    <w:p w14:paraId="39D1B1E0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3CA1B392" w14:textId="77777777" w:rsidR="004B1E02" w:rsidRPr="004B1E02" w:rsidRDefault="004B1E02" w:rsidP="004B1E02">
      <w:pPr>
        <w:spacing w:before="120" w:after="120" w:line="360" w:lineRule="auto"/>
        <w:ind w:left="851" w:hanging="851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(11)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L-Artikolu 119 huwa emendat kif ġej:</w:t>
      </w:r>
    </w:p>
    <w:p w14:paraId="2272AFAC" w14:textId="77777777" w:rsidR="004B1E02" w:rsidRPr="004B1E02" w:rsidRDefault="004B1E02" w:rsidP="004B1E02">
      <w:pPr>
        <w:spacing w:before="120" w:after="120" w:line="360" w:lineRule="auto"/>
        <w:ind w:left="1417" w:hanging="567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(a)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fil-paragrafu 2, l-ewwel subparagrafu, il-punt (c) huwa sostitwit b’dan li ġej:</w:t>
      </w:r>
    </w:p>
    <w:p w14:paraId="24CA25D7" w14:textId="77777777" w:rsidR="004B1E02" w:rsidRPr="004B1E02" w:rsidRDefault="004B1E02" w:rsidP="004B1E02">
      <w:pPr>
        <w:spacing w:before="120" w:after="120" w:line="360" w:lineRule="auto"/>
        <w:ind w:left="2160" w:hanging="743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“(c)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emendi relatati mal-Artikolu 17(5), l-Artikolu 88(7), l-Artikoli minn 92 sa 98, l-Artikolu 103(1), (5) u (6) jew l-Artikolu 103a;”;</w:t>
      </w:r>
    </w:p>
    <w:p w14:paraId="7A1A601A" w14:textId="77777777" w:rsidR="004B1E02" w:rsidRPr="004B1E02" w:rsidRDefault="004B1E02" w:rsidP="004B1E02">
      <w:pPr>
        <w:spacing w:before="120" w:after="120" w:line="360" w:lineRule="auto"/>
        <w:ind w:left="1417" w:hanging="567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(b)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fil-paragrafu 7, it-tieni subparagrafu huwa sostitwit b’dan li ġej:</w:t>
      </w:r>
    </w:p>
    <w:p w14:paraId="60E5ABB9" w14:textId="77777777" w:rsidR="004B1E02" w:rsidRPr="004B1E02" w:rsidRDefault="004B1E02" w:rsidP="004B1E02">
      <w:pPr>
        <w:spacing w:before="120" w:after="120" w:line="360" w:lineRule="auto"/>
        <w:ind w:left="1417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“Talba għal emenda strateġika relatata mal-Artikolu 17(5), l-Artikolu 78b, l-Artikolu 88(7), l-Artikolu 103(5) jew (6) jew l-Artikolu 103a ma għandhiex titqies bħala parti mil-limitu stabbilit fl-ewwel subparagrafu ta’ dan il-paragrafu.”;</w:t>
      </w:r>
    </w:p>
    <w:p w14:paraId="65F9AFCC" w14:textId="77777777" w:rsidR="004B1E02" w:rsidRPr="004B1E02" w:rsidRDefault="004B1E02" w:rsidP="004B1E02">
      <w:pPr>
        <w:spacing w:before="120" w:after="120" w:line="360" w:lineRule="auto"/>
        <w:ind w:left="851" w:hanging="851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(12)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121, it-tieni subparagrafu, il-punt (b) huwa sostitwit b’dan li ġej:</w:t>
      </w:r>
    </w:p>
    <w:p w14:paraId="36DA0BE9" w14:textId="77777777" w:rsidR="004B1E02" w:rsidRPr="004B1E02" w:rsidRDefault="004B1E02" w:rsidP="004B1E02">
      <w:pPr>
        <w:spacing w:before="120" w:after="120" w:line="360" w:lineRule="auto"/>
        <w:ind w:left="1418" w:hanging="567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“(b)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għall-emendi relatati mal-Artikolu 17(5), l-Artikolu 88(7), l-Artikolu 103(5) u l-Artikolu 103a, il-perijodu għall-adozzjoni tal-att delegat għall-emendar tal-allokazzjonijiet f’konformità mal-Artikolu 87(2).”;</w:t>
      </w:r>
    </w:p>
    <w:p w14:paraId="6607CB93" w14:textId="77777777" w:rsidR="004B1E02" w:rsidRPr="004B1E02" w:rsidRDefault="004B1E02" w:rsidP="004B1E02">
      <w:pPr>
        <w:tabs>
          <w:tab w:val="num" w:pos="3119"/>
        </w:tabs>
        <w:spacing w:before="120" w:after="120" w:line="360" w:lineRule="auto"/>
        <w:ind w:left="851" w:hanging="850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(13)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146, jiżdied is-subparagrafu li ġej:</w:t>
      </w:r>
    </w:p>
    <w:p w14:paraId="5419AFC0" w14:textId="77777777" w:rsidR="004B1E02" w:rsidRPr="004B1E02" w:rsidRDefault="004B1E02" w:rsidP="004B1E02">
      <w:pPr>
        <w:spacing w:before="120" w:after="120" w:line="360" w:lineRule="auto"/>
        <w:ind w:left="850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“L-Istati Membri jistgħu jipprovdu finanzjament nazzjonali addizzjonali sa 200 % tal-finanzjament tal-FAEŻR allokat fil-Pjan Strateġiku tal-PAK għall-appoġġ skont l-Artikolu 78b.”;</w:t>
      </w:r>
    </w:p>
    <w:p w14:paraId="7878416C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3872C2EC" w14:textId="77777777" w:rsidR="004B1E02" w:rsidRPr="004B1E02" w:rsidRDefault="004B1E02" w:rsidP="004B1E02">
      <w:pPr>
        <w:tabs>
          <w:tab w:val="num" w:pos="3119"/>
        </w:tabs>
        <w:spacing w:before="120" w:after="120" w:line="360" w:lineRule="auto"/>
        <w:ind w:left="851" w:hanging="850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(14)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l-Annessi I u XV huma emendati f’konformità mal-Anness I ta’ dan ir-Regolament;</w:t>
      </w:r>
    </w:p>
    <w:p w14:paraId="25ACA6C9" w14:textId="77777777" w:rsidR="004B1E02" w:rsidRPr="004B1E02" w:rsidRDefault="004B1E02" w:rsidP="004B1E02">
      <w:pPr>
        <w:tabs>
          <w:tab w:val="num" w:pos="3119"/>
        </w:tabs>
        <w:spacing w:before="120" w:after="120" w:line="360" w:lineRule="auto"/>
        <w:ind w:left="851" w:hanging="850"/>
        <w:jc w:val="both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(15)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it-test stabbilit fl-Anness II ta’ dan ir-Regolament jiżdied bħala l-Anness XVI.</w:t>
      </w:r>
    </w:p>
    <w:p w14:paraId="6B8738B2" w14:textId="77777777" w:rsidR="004B1E02" w:rsidRPr="004B1E02" w:rsidRDefault="004B1E02" w:rsidP="004B1E02">
      <w:pPr>
        <w:keepNext/>
        <w:spacing w:before="360" w:after="120" w:line="360" w:lineRule="auto"/>
        <w:jc w:val="center"/>
        <w:rPr>
          <w:rFonts w:eastAsia="Calibri"/>
          <w:i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Artikolu 2</w:t>
      </w:r>
    </w:p>
    <w:p w14:paraId="3D96F009" w14:textId="77777777" w:rsidR="004B1E02" w:rsidRPr="004B1E02" w:rsidRDefault="004B1E02" w:rsidP="004B1E02">
      <w:pPr>
        <w:spacing w:before="120" w:after="120" w:line="360" w:lineRule="auto"/>
        <w:jc w:val="center"/>
        <w:rPr>
          <w:rFonts w:eastAsia="Calibri"/>
          <w:b/>
          <w:bCs/>
          <w:noProof w:val="0"/>
          <w:color w:val="000000"/>
          <w:szCs w:val="22"/>
          <w:lang w:eastAsia="en-US"/>
        </w:rPr>
      </w:pPr>
      <w:r w:rsidRPr="004B1E02">
        <w:rPr>
          <w:rFonts w:eastAsia="Calibri"/>
          <w:b/>
          <w:noProof w:val="0"/>
          <w:color w:val="000000"/>
          <w:szCs w:val="22"/>
          <w:lang w:eastAsia="en-US"/>
        </w:rPr>
        <w:t>Emendi tar-Regolament (UE) 2021/2116</w:t>
      </w:r>
    </w:p>
    <w:p w14:paraId="62836E59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Ir-Regolament (UE) 2021/2116 huwa emendat kif ġej:</w:t>
      </w:r>
    </w:p>
    <w:p w14:paraId="672D2771" w14:textId="77777777" w:rsidR="004B1E02" w:rsidRPr="004B1E02" w:rsidRDefault="004B1E02" w:rsidP="004B1E02">
      <w:pPr>
        <w:tabs>
          <w:tab w:val="num" w:pos="3119"/>
        </w:tabs>
        <w:spacing w:before="120" w:after="120" w:line="360" w:lineRule="auto"/>
        <w:ind w:left="851" w:hanging="851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(1)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21(2), l-ewwel subparagrafu huwa sostitwit b'dan li ġej:</w:t>
      </w:r>
    </w:p>
    <w:p w14:paraId="4A4F1575" w14:textId="77777777" w:rsidR="004B1E02" w:rsidRPr="004B1E02" w:rsidRDefault="004B1E02" w:rsidP="004B1E02">
      <w:pPr>
        <w:spacing w:before="120" w:after="120" w:line="360" w:lineRule="auto"/>
        <w:ind w:left="1435" w:hanging="585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“2.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 xml:space="preserve">Il-pagamenti ta’ kull xahar għandhom isiru lil kull Stat Membru fit-tielet jum tax-xogħol tat-tieni xahar wara dak li fih issir in-nefqa jew qabel dak il-jum, filwaqt li jitqiesu t-tnaqqis jew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is-sospensjonijiet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li jsiru skont l-Artikoli 39 sa 42 u kull korrezzjoni oħra. In-nefqa li tkun saret mill-Istati Membri bejn l-1 u l-15 ta’ Ottubru għandha titqies bħala nefqa li tkun saret fix-xahar ta’ Ottubru. In-nefqa li tkun saret bejn is-16 u l-31 ta’ Ottubru għandha titqies bħala nefqa li tkun saret fix-xahar ta’ Novembru. In-nefqa li tkun saret mill-Istati Membri biex iħallsu pagamenti bil-quddiem qabel is-16 ta’ Ottubru fis-sena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2026 skont l-Artikolu 44(2), it-tieni subparagrafu, il-punt (a), għandha titqies bħala nefqa li tkun saret fix-xahar ta’ Novembru u għandha tiġi ddikjarata fid-dikjarazzjoni relatata ma’ dak ix-xahar.”;</w:t>
      </w:r>
    </w:p>
    <w:p w14:paraId="56F70990" w14:textId="77777777" w:rsidR="004B1E02" w:rsidRPr="004B1E02" w:rsidRDefault="004B1E02" w:rsidP="004B1E02">
      <w:pPr>
        <w:spacing w:after="160" w:line="278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br w:type="page"/>
      </w:r>
    </w:p>
    <w:p w14:paraId="5E36ADE8" w14:textId="77777777" w:rsidR="004B1E02" w:rsidRPr="004B1E02" w:rsidRDefault="004B1E02" w:rsidP="004B1E02">
      <w:pPr>
        <w:tabs>
          <w:tab w:val="num" w:pos="3119"/>
        </w:tabs>
        <w:spacing w:before="120" w:after="120" w:line="360" w:lineRule="auto"/>
        <w:ind w:left="851" w:hanging="708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lastRenderedPageBreak/>
        <w:t>(2)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L-Artikolu 35 huwa sostitwit b'dan li ġej:</w:t>
      </w:r>
    </w:p>
    <w:p w14:paraId="72BA79E4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i/>
          <w:iCs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“</w:t>
      </w: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 xml:space="preserve">Artikolu 35 </w:t>
      </w:r>
    </w:p>
    <w:p w14:paraId="76E30D25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b/>
          <w:bCs/>
          <w:noProof w:val="0"/>
          <w:color w:val="000000"/>
          <w:szCs w:val="22"/>
          <w:lang w:eastAsia="en-US"/>
        </w:rPr>
      </w:pPr>
      <w:r w:rsidRPr="004B1E02">
        <w:rPr>
          <w:rFonts w:eastAsia="Calibri"/>
          <w:b/>
          <w:noProof w:val="0"/>
          <w:color w:val="000000"/>
          <w:szCs w:val="22"/>
          <w:lang w:eastAsia="en-US"/>
        </w:rPr>
        <w:t>Sena finanzjarja agrikola</w:t>
      </w:r>
    </w:p>
    <w:p w14:paraId="7F7C453D" w14:textId="77777777" w:rsidR="004B1E02" w:rsidRPr="004B1E02" w:rsidRDefault="004B1E02" w:rsidP="004B1E02">
      <w:pPr>
        <w:spacing w:before="120" w:after="120" w:line="360" w:lineRule="auto"/>
        <w:ind w:left="850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Mingħajr preġudizzju għad-dispożizzjonijiet speċjali dwar id-dikjarazzjonijiet tan-nefqa u tad-dħul relatati mal-intervent pubbliku stabbiliti mill-Kummissjoni skont l-Artikolu 47(2), l-ewwel subparagrafu, il-punt (a), u dwar id-dikjarazzjonijiet tan-nefqa relatati mal-pagamenti mħallsa bil-quddiem qabel is-16 ta’ Ottubru fis-sena </w:t>
      </w:r>
      <w:proofErr w:type="spellStart"/>
      <w:r w:rsidRPr="004B1E02">
        <w:rPr>
          <w:rFonts w:eastAsia="Calibri"/>
          <w:noProof w:val="0"/>
          <w:color w:val="000000"/>
          <w:szCs w:val="22"/>
          <w:lang w:eastAsia="en-US"/>
        </w:rPr>
        <w:t>kalendarja</w:t>
      </w:r>
      <w:proofErr w:type="spellEnd"/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 2026 skont l-Artikolu 44(2), it-tieni subparagrafu, il-punt (a), is-sena finanzjarja għandha tkopri n-nefqa mħallsa u d-dħul riċevut u mdaħħal fil-kontijiet tal-FAEG u tal-FAEŻR mill-aġenziji tal-pagamenti fir-rigward tas-sena finanzjarja N li tibda fis-16 ta’ Ottubru tas-sena N – 1 u li tintemm fil-15 ta’ Ottubru tas-sena N.”; </w:t>
      </w:r>
    </w:p>
    <w:p w14:paraId="5D793EA7" w14:textId="77777777" w:rsidR="004B1E02" w:rsidRPr="004B1E02" w:rsidRDefault="004B1E02" w:rsidP="004B1E02">
      <w:pPr>
        <w:tabs>
          <w:tab w:val="num" w:pos="3119"/>
        </w:tabs>
        <w:spacing w:before="120" w:after="120" w:line="360" w:lineRule="auto"/>
        <w:ind w:left="851" w:hanging="708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(3)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fl-Artikolu 44(2), it-tieni subparagrafu, il-punt (a) huwa sostitwit b’dan li ġej:</w:t>
      </w:r>
    </w:p>
    <w:p w14:paraId="0F657280" w14:textId="77777777" w:rsidR="004B1E02" w:rsidRPr="004B1E02" w:rsidRDefault="004B1E02" w:rsidP="004B1E02">
      <w:pPr>
        <w:spacing w:before="120" w:after="120" w:line="360" w:lineRule="auto"/>
        <w:ind w:left="1435" w:hanging="585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 xml:space="preserve">“(a) 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ab/>
        <w:t>qabel l-1 ta’ Diċembru, iżda mhux qabel is-16 ta’ Ottubru, jagħmlu pagamenti bil-quddiem sa 70 % għal interventi fil-forma ta’ pagamenti diretti u għall-għajnuna li tikkostitwixxi pagamenti diretti skont il-miżuri msemmija fil-Kapitolu IV tar-Regolament (UE) Nru 228/2013 u fil-Kapitolu IV tar-Regolament (UE) Nru 229/2013, u, fir-rigward tas-sena tat-talba 2026, iħallsu bil-quddiem sa 75 % għal l-interventi u l-għajnuna msemmija f’dan il-punt, inkluż qabel is-16 ta’ Ottubru 2026</w:t>
      </w:r>
      <w:r w:rsidRPr="004B1E02">
        <w:rPr>
          <w:rFonts w:eastAsia="Aptos"/>
          <w:noProof w:val="0"/>
          <w:kern w:val="2"/>
          <w:szCs w:val="24"/>
          <w:lang w:eastAsia="en-US"/>
          <w14:ligatures w14:val="standardContextual"/>
        </w:rPr>
        <w:t>;”.</w:t>
      </w:r>
    </w:p>
    <w:p w14:paraId="41E64635" w14:textId="77777777" w:rsidR="004B1E02" w:rsidRPr="004B1E02" w:rsidRDefault="004B1E02" w:rsidP="004B1E02">
      <w:pPr>
        <w:spacing w:after="160" w:line="278" w:lineRule="auto"/>
        <w:rPr>
          <w:rFonts w:eastAsia="Calibri"/>
          <w:i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br w:type="page"/>
      </w:r>
    </w:p>
    <w:p w14:paraId="3A203173" w14:textId="77777777" w:rsidR="004B1E02" w:rsidRPr="004B1E02" w:rsidRDefault="004B1E02" w:rsidP="004B1E02">
      <w:pPr>
        <w:keepNext/>
        <w:spacing w:before="360" w:after="120" w:line="360" w:lineRule="auto"/>
        <w:jc w:val="center"/>
        <w:rPr>
          <w:rFonts w:eastAsia="Calibri"/>
          <w:i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lastRenderedPageBreak/>
        <w:t>Artikolu 3</w:t>
      </w:r>
    </w:p>
    <w:p w14:paraId="0015EC96" w14:textId="77777777" w:rsidR="004B1E02" w:rsidRPr="004B1E02" w:rsidRDefault="004B1E02" w:rsidP="004B1E02">
      <w:pPr>
        <w:spacing w:before="120" w:after="120" w:line="360" w:lineRule="auto"/>
        <w:jc w:val="center"/>
        <w:rPr>
          <w:rFonts w:eastAsia="Calibri"/>
          <w:b/>
          <w:bCs/>
          <w:noProof w:val="0"/>
          <w:color w:val="000000"/>
          <w:szCs w:val="22"/>
          <w:lang w:eastAsia="en-US"/>
        </w:rPr>
      </w:pPr>
      <w:r w:rsidRPr="004B1E02">
        <w:rPr>
          <w:rFonts w:eastAsia="Calibri"/>
          <w:b/>
          <w:noProof w:val="0"/>
          <w:color w:val="000000"/>
          <w:szCs w:val="22"/>
          <w:lang w:eastAsia="en-US"/>
        </w:rPr>
        <w:t>Dħul fis-seħħ</w:t>
      </w:r>
    </w:p>
    <w:p w14:paraId="6421E7DE" w14:textId="77777777" w:rsidR="004B1E02" w:rsidRPr="004B1E02" w:rsidRDefault="004B1E02" w:rsidP="004B1E02">
      <w:pPr>
        <w:spacing w:before="12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Dan ir-Regolament għandu jidħol fis-seħħ fil-jum wara dak tal-pubblikazzjoni tiegħu f’</w:t>
      </w: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Il-Ġurnal Uffiċjali tal-Unjoni Ewropea</w:t>
      </w:r>
      <w:r w:rsidRPr="004B1E02">
        <w:rPr>
          <w:rFonts w:eastAsia="Calibri"/>
          <w:noProof w:val="0"/>
          <w:color w:val="000000"/>
          <w:szCs w:val="22"/>
          <w:lang w:eastAsia="en-US"/>
        </w:rPr>
        <w:t>.</w:t>
      </w:r>
    </w:p>
    <w:p w14:paraId="03C92464" w14:textId="77777777" w:rsidR="004B1E02" w:rsidRPr="004B1E02" w:rsidRDefault="004B1E02" w:rsidP="004B1E02">
      <w:pPr>
        <w:spacing w:before="480" w:after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Dan ir-Regolament għandu jorbot fl-intier tiegħu u japplika direttament fl-Istati Membri kollha.</w:t>
      </w:r>
    </w:p>
    <w:p w14:paraId="5685D14A" w14:textId="77777777" w:rsidR="004B1E02" w:rsidRPr="004B1E02" w:rsidRDefault="004B1E02" w:rsidP="004B1E02">
      <w:pPr>
        <w:keepNext/>
        <w:spacing w:before="120" w:line="360" w:lineRule="auto"/>
        <w:rPr>
          <w:rFonts w:eastAsia="Calibri"/>
          <w:noProof w:val="0"/>
          <w:color w:val="000000"/>
          <w:szCs w:val="22"/>
          <w:lang w:eastAsia="en-US"/>
        </w:rPr>
      </w:pPr>
      <w:r w:rsidRPr="004B1E02">
        <w:rPr>
          <w:rFonts w:eastAsia="Calibri"/>
          <w:noProof w:val="0"/>
          <w:color w:val="000000"/>
          <w:szCs w:val="22"/>
          <w:lang w:eastAsia="en-US"/>
        </w:rPr>
        <w:t>Magħmul fi ..., ...</w:t>
      </w:r>
    </w:p>
    <w:p w14:paraId="66BAF03A" w14:textId="77777777" w:rsidR="004B1E02" w:rsidRPr="004B1E02" w:rsidRDefault="004B1E02" w:rsidP="004B1E02">
      <w:pPr>
        <w:keepNext/>
        <w:tabs>
          <w:tab w:val="left" w:pos="4252"/>
        </w:tabs>
        <w:spacing w:before="720" w:line="360" w:lineRule="auto"/>
        <w:jc w:val="both"/>
        <w:rPr>
          <w:rFonts w:eastAsia="Calibri"/>
          <w:i/>
          <w:noProof w:val="0"/>
          <w:color w:val="000000"/>
          <w:szCs w:val="22"/>
          <w:lang w:eastAsia="en-US"/>
        </w:r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Għall-Parlament Ewropew</w:t>
      </w: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ab/>
        <w:t>Għall-Kunsill</w:t>
      </w:r>
    </w:p>
    <w:p w14:paraId="2C9ED3F0" w14:textId="77777777" w:rsidR="004B1E02" w:rsidRPr="004B1E02" w:rsidRDefault="004B1E02" w:rsidP="004B1E02">
      <w:pPr>
        <w:tabs>
          <w:tab w:val="left" w:pos="4252"/>
        </w:tabs>
        <w:spacing w:line="360" w:lineRule="auto"/>
        <w:rPr>
          <w:rFonts w:eastAsia="Calibri"/>
          <w:i/>
          <w:noProof w:val="0"/>
          <w:color w:val="000000"/>
          <w:szCs w:val="22"/>
          <w:lang w:eastAsia="en-US"/>
        </w:rPr>
        <w:sectPr w:rsidR="004B1E02" w:rsidRPr="004B1E02" w:rsidSect="004B1E02">
          <w:headerReference w:type="default" r:id="rId10"/>
          <w:footerReference w:type="default" r:id="rId11"/>
          <w:pgSz w:w="11907" w:h="16840" w:code="9"/>
          <w:pgMar w:top="1134" w:right="1418" w:bottom="1134" w:left="1418" w:header="709" w:footer="709" w:gutter="0"/>
          <w:pgNumType w:start="1"/>
          <w:cols w:space="720"/>
          <w:docGrid w:linePitch="360"/>
        </w:sectPr>
      </w:pP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Il-President</w:t>
      </w:r>
      <w:r w:rsidRPr="004B1E02">
        <w:rPr>
          <w:rFonts w:eastAsia="Calibri"/>
          <w:i/>
          <w:noProof w:val="0"/>
          <w:color w:val="000000"/>
          <w:szCs w:val="22"/>
          <w:lang w:eastAsia="en-US"/>
        </w:rPr>
        <w:tab/>
      </w:r>
      <w:proofErr w:type="spellStart"/>
      <w:r w:rsidRPr="004B1E02">
        <w:rPr>
          <w:rFonts w:eastAsia="Calibri"/>
          <w:i/>
          <w:noProof w:val="0"/>
          <w:color w:val="000000"/>
          <w:szCs w:val="22"/>
          <w:lang w:eastAsia="en-US"/>
        </w:rPr>
        <w:t>Il-President</w:t>
      </w:r>
      <w:proofErr w:type="spellEnd"/>
    </w:p>
    <w:p w14:paraId="6435631F" w14:textId="77777777" w:rsidR="004B1E02" w:rsidRPr="004B1E02" w:rsidRDefault="004B1E02" w:rsidP="004B1E02">
      <w:pPr>
        <w:spacing w:after="160" w:line="278" w:lineRule="auto"/>
        <w:jc w:val="center"/>
        <w:rPr>
          <w:rFonts w:eastAsia="Aptos"/>
          <w:i/>
          <w:iCs/>
          <w:kern w:val="2"/>
          <w:szCs w:val="24"/>
          <w:lang w:val="it-IT"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val="it-IT" w:eastAsia="en-US"/>
          <w14:ligatures w14:val="standardContextual"/>
        </w:rPr>
        <w:lastRenderedPageBreak/>
        <w:t>ANNESS I</w:t>
      </w:r>
    </w:p>
    <w:p w14:paraId="6F287A4B" w14:textId="77777777" w:rsidR="004B1E02" w:rsidRPr="004B1E02" w:rsidRDefault="004B1E02" w:rsidP="004B1E02">
      <w:pPr>
        <w:spacing w:before="120" w:after="120" w:line="360" w:lineRule="auto"/>
        <w:rPr>
          <w:rFonts w:eastAsia="Aptos"/>
          <w:kern w:val="2"/>
          <w:szCs w:val="24"/>
          <w:lang w:val="it-IT" w:eastAsia="en-US"/>
          <w14:ligatures w14:val="standardContextual"/>
        </w:rPr>
      </w:pPr>
      <w:r w:rsidRPr="004B1E02">
        <w:rPr>
          <w:rFonts w:eastAsia="Aptos"/>
          <w:kern w:val="2"/>
          <w:szCs w:val="24"/>
          <w:lang w:val="it-IT" w:eastAsia="en-US"/>
          <w14:ligatures w14:val="standardContextual"/>
        </w:rPr>
        <w:t>L-Annessi I u XV tar-Regolament (UE) 2021/2115 huma emendati kif ġej:</w:t>
      </w:r>
    </w:p>
    <w:p w14:paraId="7EE88DDF" w14:textId="77777777" w:rsidR="004B1E02" w:rsidRDefault="004B1E02" w:rsidP="004B1E02">
      <w:pPr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Aptos"/>
          <w:szCs w:val="22"/>
          <w:lang w:val="it-IT" w:eastAsia="en-US"/>
        </w:rPr>
      </w:pPr>
      <w:r w:rsidRPr="004B1E02">
        <w:rPr>
          <w:rFonts w:eastAsia="Aptos"/>
          <w:szCs w:val="22"/>
          <w:lang w:eastAsia="en-US"/>
        </w:rPr>
        <w:t>(1)</w:t>
      </w:r>
      <w:r w:rsidRPr="004B1E02">
        <w:rPr>
          <w:rFonts w:eastAsia="Aptos"/>
          <w:szCs w:val="22"/>
          <w:lang w:eastAsia="en-US"/>
        </w:rPr>
        <w:tab/>
        <w:t xml:space="preserve">fl-Anness I, fit-tabella “Monitoraġġ — OUTPUT — Tipi ta’ intervent u l-indikaturi tal-output tagħhom”, </w:t>
      </w:r>
      <w:r w:rsidRPr="004B1E02">
        <w:rPr>
          <w:rFonts w:eastAsia="Aptos"/>
          <w:szCs w:val="22"/>
          <w:lang w:val="it-IT" w:eastAsia="en-US"/>
        </w:rPr>
        <w:t>tiddaħħal</w:t>
      </w:r>
      <w:r w:rsidRPr="004B1E02">
        <w:rPr>
          <w:rFonts w:eastAsia="Aptos"/>
          <w:szCs w:val="22"/>
          <w:lang w:eastAsia="en-US"/>
        </w:rPr>
        <w:t xml:space="preserve"> l-entrata li ġejja </w:t>
      </w:r>
      <w:r w:rsidRPr="004B1E02">
        <w:rPr>
          <w:rFonts w:eastAsia="Aptos"/>
          <w:szCs w:val="22"/>
          <w:lang w:val="it-IT" w:eastAsia="en-US"/>
        </w:rPr>
        <w:t>wara r-ringiela “Pagamenti f’każ ta’ kriżi lill-bdiewa wara diżastri naturali, avvenimenti klimatiċi avversi jew avvenimenti katastrofiċi (Artikolu 78a)”:</w:t>
      </w:r>
    </w:p>
    <w:p w14:paraId="4B913044" w14:textId="7D91262D" w:rsidR="00672082" w:rsidRPr="004B1E02" w:rsidRDefault="00672082" w:rsidP="004B1E02">
      <w:pPr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Aptos"/>
          <w:szCs w:val="22"/>
          <w:lang w:val="it-IT" w:eastAsia="en-US"/>
        </w:rPr>
      </w:pPr>
      <w:r>
        <w:rPr>
          <w:rFonts w:eastAsia="Aptos"/>
          <w:szCs w:val="22"/>
          <w:lang w:val="it-IT" w:eastAsia="en-US"/>
        </w:rPr>
        <w:t>“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342"/>
        <w:gridCol w:w="4291"/>
      </w:tblGrid>
      <w:tr w:rsidR="004B1E02" w:rsidRPr="004B1E02" w14:paraId="37E0003E" w14:textId="77777777" w:rsidTr="002D7B0B">
        <w:tc>
          <w:tcPr>
            <w:tcW w:w="4344" w:type="dxa"/>
          </w:tcPr>
          <w:p w14:paraId="3A97A351" w14:textId="77777777" w:rsidR="004B1E02" w:rsidRPr="004B1E02" w:rsidRDefault="004B1E02" w:rsidP="004B1E02">
            <w:pPr>
              <w:spacing w:line="360" w:lineRule="auto"/>
              <w:rPr>
                <w:szCs w:val="24"/>
              </w:rPr>
            </w:pPr>
            <w:r w:rsidRPr="004B1E02">
              <w:rPr>
                <w:sz w:val="20"/>
              </w:rPr>
              <w:t>“Appoġġ lill-bdiewa affettwati miż-żieda qawwija fil-prezzijiet tal-fertilizzanti minħabba l-</w:t>
            </w:r>
            <w:r w:rsidRPr="004B1E02">
              <w:rPr>
                <w:szCs w:val="24"/>
              </w:rPr>
              <w:t>k</w:t>
            </w:r>
            <w:r w:rsidRPr="004B1E02">
              <w:rPr>
                <w:sz w:val="20"/>
              </w:rPr>
              <w:t>riżi tal-Lvant Nofsani (Artikolu 78b)</w:t>
            </w:r>
          </w:p>
        </w:tc>
        <w:tc>
          <w:tcPr>
            <w:tcW w:w="4292" w:type="dxa"/>
          </w:tcPr>
          <w:p w14:paraId="66612547" w14:textId="77777777" w:rsidR="004B1E02" w:rsidRPr="004B1E02" w:rsidRDefault="004B1E02" w:rsidP="004B1E02">
            <w:pPr>
              <w:spacing w:line="360" w:lineRule="auto"/>
              <w:rPr>
                <w:szCs w:val="24"/>
              </w:rPr>
            </w:pPr>
            <w:r w:rsidRPr="004B1E02">
              <w:rPr>
                <w:sz w:val="20"/>
              </w:rPr>
              <w:t>O.9b L-għadd tal-bdiewa li bbenefikaw mill-appoġġ wara ż-żieda qawwija fil-prezzijiet tal-fertilizzanti</w:t>
            </w:r>
          </w:p>
        </w:tc>
      </w:tr>
    </w:tbl>
    <w:p w14:paraId="27761022" w14:textId="17D11F46" w:rsidR="004B1E02" w:rsidRPr="004B1E02" w:rsidRDefault="00672082" w:rsidP="004B1E02">
      <w:pPr>
        <w:spacing w:before="120" w:after="120" w:line="360" w:lineRule="auto"/>
        <w:rPr>
          <w:rFonts w:eastAsia="Aptos"/>
          <w:noProof w:val="0"/>
          <w:szCs w:val="22"/>
          <w:lang w:eastAsia="en-US"/>
        </w:rPr>
      </w:pPr>
      <w:r>
        <w:rPr>
          <w:rFonts w:eastAsia="Aptos"/>
          <w:noProof w:val="0"/>
          <w:szCs w:val="22"/>
          <w:lang w:eastAsia="en-US"/>
        </w:rPr>
        <w:t>”</w:t>
      </w:r>
      <w:r w:rsidR="004B1E02" w:rsidRPr="004B1E02">
        <w:rPr>
          <w:rFonts w:eastAsia="Aptos"/>
          <w:noProof w:val="0"/>
          <w:szCs w:val="22"/>
          <w:lang w:eastAsia="en-US"/>
        </w:rPr>
        <w:t>;</w:t>
      </w:r>
    </w:p>
    <w:p w14:paraId="7755B85F" w14:textId="77777777" w:rsidR="004B1E02" w:rsidRPr="004B1E02" w:rsidRDefault="004B1E02" w:rsidP="004B1E02">
      <w:pPr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Aptos"/>
          <w:szCs w:val="22"/>
          <w:lang w:eastAsia="en-US"/>
        </w:rPr>
      </w:pPr>
      <w:r w:rsidRPr="004B1E02">
        <w:rPr>
          <w:rFonts w:eastAsia="Aptos"/>
          <w:szCs w:val="22"/>
          <w:lang w:eastAsia="en-US"/>
        </w:rPr>
        <w:t>(2)</w:t>
      </w:r>
      <w:r w:rsidRPr="004B1E02">
        <w:rPr>
          <w:rFonts w:eastAsia="Aptos"/>
          <w:szCs w:val="22"/>
          <w:lang w:eastAsia="en-US"/>
        </w:rPr>
        <w:tab/>
        <w:t>it-titolu tal-Anness XV huwa sostitwit b’dan li ġej:</w:t>
      </w:r>
    </w:p>
    <w:p w14:paraId="2E8F146A" w14:textId="77777777" w:rsidR="004B1E02" w:rsidRPr="004B1E02" w:rsidRDefault="004B1E02" w:rsidP="004B1E02">
      <w:pPr>
        <w:spacing w:before="120" w:after="120" w:line="360" w:lineRule="auto"/>
        <w:ind w:left="426" w:firstLine="294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eastAsia="en-US"/>
          <w14:ligatures w14:val="standardContextual"/>
        </w:rPr>
        <w:t>‘‘Anness XV</w:t>
      </w:r>
    </w:p>
    <w:p w14:paraId="420F02BF" w14:textId="77777777" w:rsidR="004B1E02" w:rsidRPr="004B1E02" w:rsidRDefault="004B1E02" w:rsidP="004B1E02">
      <w:pPr>
        <w:spacing w:before="120" w:after="120" w:line="360" w:lineRule="auto"/>
        <w:ind w:left="851"/>
        <w:rPr>
          <w:rFonts w:eastAsia="Aptos"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kern w:val="2"/>
          <w:szCs w:val="24"/>
          <w:lang w:eastAsia="en-US"/>
          <w14:ligatures w14:val="standardContextual"/>
        </w:rPr>
        <w:t>L-ammont massimu għal kull Stat Membru li jista’ jiġi riżervat għall-pagamenti f’każ ta’ kriżi lill-bdiewa msemmija fl-Artikolu 78a u għall-appoġġ lill-bdiewa msemmi fl-Artikolu 78b”.</w:t>
      </w:r>
    </w:p>
    <w:p w14:paraId="54E923DD" w14:textId="77777777" w:rsidR="004B1E02" w:rsidRPr="004B1E02" w:rsidRDefault="004B1E02" w:rsidP="004B1E02">
      <w:pPr>
        <w:spacing w:after="160" w:line="278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eastAsia="en-US"/>
          <w14:ligatures w14:val="standardContextual"/>
        </w:rPr>
        <w:br w:type="page"/>
      </w:r>
    </w:p>
    <w:p w14:paraId="0F11C442" w14:textId="77777777" w:rsidR="004B1E02" w:rsidRPr="004B1E02" w:rsidRDefault="004B1E02" w:rsidP="004B1E02">
      <w:pPr>
        <w:spacing w:after="160" w:line="278" w:lineRule="auto"/>
        <w:jc w:val="center"/>
        <w:rPr>
          <w:rFonts w:eastAsia="Aptos"/>
          <w:i/>
          <w:iCs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eastAsia="en-US"/>
          <w14:ligatures w14:val="standardContextual"/>
        </w:rPr>
        <w:lastRenderedPageBreak/>
        <w:t xml:space="preserve">ANNESS II </w:t>
      </w:r>
    </w:p>
    <w:p w14:paraId="37A2CBD4" w14:textId="77777777" w:rsidR="004B1E02" w:rsidRPr="004B1E02" w:rsidRDefault="004B1E02" w:rsidP="004B1E02">
      <w:pPr>
        <w:spacing w:after="160" w:line="278" w:lineRule="auto"/>
        <w:jc w:val="center"/>
        <w:rPr>
          <w:rFonts w:eastAsia="Aptos"/>
          <w:i/>
          <w:iCs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‘‘Anness XVI </w:t>
      </w:r>
    </w:p>
    <w:p w14:paraId="7B72522A" w14:textId="77777777" w:rsidR="004B1E02" w:rsidRPr="004B1E02" w:rsidRDefault="004B1E02" w:rsidP="004B1E02">
      <w:pPr>
        <w:spacing w:after="160" w:line="278" w:lineRule="auto"/>
        <w:jc w:val="center"/>
        <w:rPr>
          <w:rFonts w:eastAsia="Aptos"/>
          <w:b/>
          <w:bCs/>
          <w:i/>
          <w:iCs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b/>
          <w:i/>
          <w:kern w:val="2"/>
          <w:szCs w:val="24"/>
          <w:lang w:eastAsia="en-US"/>
          <w14:ligatures w14:val="standardContextual"/>
        </w:rPr>
        <w:t xml:space="preserve">L-AMMONTI MASSIMI MSEMMIJIN FL-ARTIKOLU 103A </w:t>
      </w:r>
    </w:p>
    <w:p w14:paraId="6BC70067" w14:textId="77777777" w:rsidR="004B1E02" w:rsidRPr="004B1E02" w:rsidRDefault="004B1E02" w:rsidP="004B1E02">
      <w:pPr>
        <w:spacing w:after="160" w:line="278" w:lineRule="auto"/>
        <w:jc w:val="center"/>
        <w:rPr>
          <w:rFonts w:eastAsia="Aptos"/>
          <w:i/>
          <w:iCs/>
          <w:kern w:val="2"/>
          <w:szCs w:val="24"/>
          <w:lang w:eastAsia="en-US"/>
          <w14:ligatures w14:val="standardContextual"/>
        </w:rPr>
      </w:pPr>
    </w:p>
    <w:p w14:paraId="4C676607" w14:textId="77777777" w:rsidR="004B1E02" w:rsidRPr="004B1E02" w:rsidRDefault="004B1E02" w:rsidP="004B1E02">
      <w:pPr>
        <w:spacing w:after="160" w:line="278" w:lineRule="auto"/>
        <w:rPr>
          <w:rFonts w:eastAsia="Aptos"/>
          <w:i/>
          <w:iCs/>
          <w:kern w:val="2"/>
          <w:szCs w:val="24"/>
          <w:lang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L-ammont massimu ta’ żieda għall-allokazzjonijiet għall-pagamenti diretti għas-sena kalendarja 2027 għal kull Stat Membru </w:t>
      </w:r>
    </w:p>
    <w:tbl>
      <w:tblPr>
        <w:tblStyle w:val="TableGrid1"/>
        <w:tblW w:w="0" w:type="auto"/>
        <w:tblInd w:w="1696" w:type="dxa"/>
        <w:tblLook w:val="04A0" w:firstRow="1" w:lastRow="0" w:firstColumn="1" w:lastColumn="0" w:noHBand="0" w:noVBand="1"/>
      </w:tblPr>
      <w:tblGrid>
        <w:gridCol w:w="2417"/>
        <w:gridCol w:w="2374"/>
      </w:tblGrid>
      <w:tr w:rsidR="004B1E02" w:rsidRPr="004B1E02" w14:paraId="5F91F1A4" w14:textId="77777777" w:rsidTr="002D7B0B">
        <w:trPr>
          <w:trHeight w:val="300"/>
        </w:trPr>
        <w:tc>
          <w:tcPr>
            <w:tcW w:w="2417" w:type="dxa"/>
            <w:noWrap/>
          </w:tcPr>
          <w:p w14:paraId="35C20910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74" w:type="dxa"/>
            <w:noWrap/>
          </w:tcPr>
          <w:p w14:paraId="6FE28194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EUR (prezzijiet attwali)</w:t>
            </w:r>
          </w:p>
        </w:tc>
      </w:tr>
      <w:tr w:rsidR="004B1E02" w:rsidRPr="004B1E02" w14:paraId="0A85B7CE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7CF0098D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Il-Belġju</w:t>
            </w:r>
          </w:p>
        </w:tc>
        <w:tc>
          <w:tcPr>
            <w:tcW w:w="2374" w:type="dxa"/>
            <w:noWrap/>
            <w:hideMark/>
          </w:tcPr>
          <w:p w14:paraId="1FAB526C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20 700 224</w:t>
            </w:r>
          </w:p>
        </w:tc>
      </w:tr>
      <w:tr w:rsidR="004B1E02" w:rsidRPr="004B1E02" w14:paraId="43D8292A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46E900A6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Il-Bulgarija</w:t>
            </w:r>
          </w:p>
        </w:tc>
        <w:tc>
          <w:tcPr>
            <w:tcW w:w="2374" w:type="dxa"/>
            <w:noWrap/>
            <w:hideMark/>
          </w:tcPr>
          <w:p w14:paraId="73CABD96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84 648 793</w:t>
            </w:r>
          </w:p>
        </w:tc>
      </w:tr>
      <w:tr w:rsidR="004B1E02" w:rsidRPr="004B1E02" w14:paraId="39C1DCE1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56B00BE5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Iċ-Ċekja</w:t>
            </w:r>
          </w:p>
        </w:tc>
        <w:tc>
          <w:tcPr>
            <w:tcW w:w="2374" w:type="dxa"/>
            <w:noWrap/>
            <w:hideMark/>
          </w:tcPr>
          <w:p w14:paraId="3AC52FA7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64 796 927</w:t>
            </w:r>
          </w:p>
        </w:tc>
      </w:tr>
      <w:tr w:rsidR="004B1E02" w:rsidRPr="004B1E02" w14:paraId="6553EFE7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5D437AF4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Id-Danimarka</w:t>
            </w:r>
          </w:p>
        </w:tc>
        <w:tc>
          <w:tcPr>
            <w:tcW w:w="2374" w:type="dxa"/>
            <w:noWrap/>
            <w:hideMark/>
          </w:tcPr>
          <w:p w14:paraId="00D0CCF8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18 983 515</w:t>
            </w:r>
          </w:p>
        </w:tc>
      </w:tr>
      <w:tr w:rsidR="004B1E02" w:rsidRPr="004B1E02" w14:paraId="4F648D82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60275865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Il-Ġermanja</w:t>
            </w:r>
          </w:p>
        </w:tc>
        <w:tc>
          <w:tcPr>
            <w:tcW w:w="2374" w:type="dxa"/>
            <w:noWrap/>
            <w:hideMark/>
          </w:tcPr>
          <w:p w14:paraId="6076FA13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273 089 935</w:t>
            </w:r>
          </w:p>
        </w:tc>
      </w:tr>
      <w:tr w:rsidR="004B1E02" w:rsidRPr="004B1E02" w14:paraId="3D52EB09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5F958F90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L-Estonja</w:t>
            </w:r>
          </w:p>
        </w:tc>
        <w:tc>
          <w:tcPr>
            <w:tcW w:w="2374" w:type="dxa"/>
            <w:noWrap/>
            <w:hideMark/>
          </w:tcPr>
          <w:p w14:paraId="07B17144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26 404 994</w:t>
            </w:r>
          </w:p>
        </w:tc>
      </w:tr>
      <w:tr w:rsidR="004B1E02" w:rsidRPr="004B1E02" w14:paraId="37B030DF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310F8DFD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L-Irlanda</w:t>
            </w:r>
          </w:p>
        </w:tc>
        <w:tc>
          <w:tcPr>
            <w:tcW w:w="2374" w:type="dxa"/>
            <w:noWrap/>
            <w:hideMark/>
          </w:tcPr>
          <w:p w14:paraId="3CC6F4F5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77 910 157</w:t>
            </w:r>
          </w:p>
        </w:tc>
      </w:tr>
      <w:tr w:rsidR="004B1E02" w:rsidRPr="004B1E02" w14:paraId="15226913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7D4FBAFE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Il-Greċja</w:t>
            </w:r>
          </w:p>
        </w:tc>
        <w:tc>
          <w:tcPr>
            <w:tcW w:w="2374" w:type="dxa"/>
            <w:noWrap/>
            <w:hideMark/>
          </w:tcPr>
          <w:p w14:paraId="76C59642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139 238 400</w:t>
            </w:r>
          </w:p>
        </w:tc>
      </w:tr>
      <w:tr w:rsidR="004B1E02" w:rsidRPr="004B1E02" w14:paraId="4E2A530B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6425C48F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Spanja</w:t>
            </w:r>
          </w:p>
        </w:tc>
        <w:tc>
          <w:tcPr>
            <w:tcW w:w="2374" w:type="dxa"/>
            <w:noWrap/>
            <w:hideMark/>
          </w:tcPr>
          <w:p w14:paraId="17F286CE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324 114 848</w:t>
            </w:r>
          </w:p>
        </w:tc>
      </w:tr>
      <w:tr w:rsidR="004B1E02" w:rsidRPr="004B1E02" w14:paraId="59B54FDA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48C0AE67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Franza</w:t>
            </w:r>
          </w:p>
        </w:tc>
        <w:tc>
          <w:tcPr>
            <w:tcW w:w="2374" w:type="dxa"/>
            <w:noWrap/>
            <w:hideMark/>
          </w:tcPr>
          <w:p w14:paraId="22EF845B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364 860 018</w:t>
            </w:r>
          </w:p>
        </w:tc>
      </w:tr>
      <w:tr w:rsidR="004B1E02" w:rsidRPr="004B1E02" w14:paraId="7E07F6AB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1BC55243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Il-Kroazja</w:t>
            </w:r>
          </w:p>
        </w:tc>
        <w:tc>
          <w:tcPr>
            <w:tcW w:w="2374" w:type="dxa"/>
            <w:noWrap/>
            <w:hideMark/>
          </w:tcPr>
          <w:p w14:paraId="7BF195AD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74 326 850</w:t>
            </w:r>
          </w:p>
        </w:tc>
      </w:tr>
      <w:tr w:rsidR="004B1E02" w:rsidRPr="004B1E02" w14:paraId="314E345A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128F02D2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L-Italja</w:t>
            </w:r>
          </w:p>
        </w:tc>
        <w:tc>
          <w:tcPr>
            <w:tcW w:w="2374" w:type="dxa"/>
            <w:noWrap/>
            <w:hideMark/>
          </w:tcPr>
          <w:p w14:paraId="136C0025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337 480 344</w:t>
            </w:r>
          </w:p>
        </w:tc>
      </w:tr>
    </w:tbl>
    <w:p w14:paraId="203B4148" w14:textId="77777777" w:rsidR="004B1E02" w:rsidRPr="004B1E02" w:rsidRDefault="004B1E02" w:rsidP="004B1E02">
      <w:pPr>
        <w:spacing w:after="160" w:line="278" w:lineRule="auto"/>
        <w:rPr>
          <w:rFonts w:eastAsia="Aptos"/>
          <w:noProof w:val="0"/>
          <w:kern w:val="2"/>
          <w:szCs w:val="24"/>
          <w:lang w:val="en-GB" w:eastAsia="en-US"/>
          <w14:ligatures w14:val="standardContextual"/>
        </w:rPr>
      </w:pPr>
      <w:r w:rsidRPr="004B1E02">
        <w:rPr>
          <w:rFonts w:eastAsia="Aptos"/>
          <w:noProof w:val="0"/>
          <w:kern w:val="2"/>
          <w:szCs w:val="24"/>
          <w:lang w:val="en-GB" w:eastAsia="en-US"/>
          <w14:ligatures w14:val="standardContextual"/>
        </w:rPr>
        <w:br w:type="page"/>
      </w:r>
    </w:p>
    <w:tbl>
      <w:tblPr>
        <w:tblStyle w:val="TableGrid1"/>
        <w:tblW w:w="0" w:type="auto"/>
        <w:tblInd w:w="1696" w:type="dxa"/>
        <w:tblLook w:val="04A0" w:firstRow="1" w:lastRow="0" w:firstColumn="1" w:lastColumn="0" w:noHBand="0" w:noVBand="1"/>
      </w:tblPr>
      <w:tblGrid>
        <w:gridCol w:w="2417"/>
        <w:gridCol w:w="2374"/>
      </w:tblGrid>
      <w:tr w:rsidR="004B1E02" w:rsidRPr="004B1E02" w14:paraId="10CF9A87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1C441FCE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lastRenderedPageBreak/>
              <w:t>Ċipru</w:t>
            </w:r>
          </w:p>
        </w:tc>
        <w:tc>
          <w:tcPr>
            <w:tcW w:w="2374" w:type="dxa"/>
            <w:noWrap/>
            <w:hideMark/>
          </w:tcPr>
          <w:p w14:paraId="7C84E199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5 942 629</w:t>
            </w:r>
          </w:p>
        </w:tc>
      </w:tr>
      <w:tr w:rsidR="004B1E02" w:rsidRPr="004B1E02" w14:paraId="2830714F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0767EEE9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Il-Latvja</w:t>
            </w:r>
          </w:p>
        </w:tc>
        <w:tc>
          <w:tcPr>
            <w:tcW w:w="2374" w:type="dxa"/>
            <w:noWrap/>
            <w:hideMark/>
          </w:tcPr>
          <w:p w14:paraId="39450729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35 248 552</w:t>
            </w:r>
          </w:p>
        </w:tc>
      </w:tr>
      <w:tr w:rsidR="004B1E02" w:rsidRPr="004B1E02" w14:paraId="2D80AA2C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6577AD21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Il-Litwanja</w:t>
            </w:r>
          </w:p>
        </w:tc>
        <w:tc>
          <w:tcPr>
            <w:tcW w:w="2374" w:type="dxa"/>
            <w:noWrap/>
            <w:hideMark/>
          </w:tcPr>
          <w:p w14:paraId="3B39A521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58 648 549</w:t>
            </w:r>
          </w:p>
        </w:tc>
      </w:tr>
      <w:tr w:rsidR="004B1E02" w:rsidRPr="004B1E02" w14:paraId="2AB88941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3C0D22E4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Il-Lussemburgu</w:t>
            </w:r>
          </w:p>
        </w:tc>
        <w:tc>
          <w:tcPr>
            <w:tcW w:w="2374" w:type="dxa"/>
            <w:noWrap/>
            <w:hideMark/>
          </w:tcPr>
          <w:p w14:paraId="5F00548D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3 077 661</w:t>
            </w:r>
          </w:p>
        </w:tc>
      </w:tr>
      <w:tr w:rsidR="004B1E02" w:rsidRPr="004B1E02" w14:paraId="09C6D27E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047648E6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L-Ungerija</w:t>
            </w:r>
          </w:p>
        </w:tc>
        <w:tc>
          <w:tcPr>
            <w:tcW w:w="2374" w:type="dxa"/>
            <w:noWrap/>
            <w:hideMark/>
          </w:tcPr>
          <w:p w14:paraId="48D76191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104 217 287</w:t>
            </w:r>
          </w:p>
        </w:tc>
      </w:tr>
      <w:tr w:rsidR="004B1E02" w:rsidRPr="004B1E02" w14:paraId="656A85D0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2B85E4F2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Malta</w:t>
            </w:r>
          </w:p>
        </w:tc>
        <w:tc>
          <w:tcPr>
            <w:tcW w:w="2374" w:type="dxa"/>
            <w:noWrap/>
            <w:hideMark/>
          </w:tcPr>
          <w:p w14:paraId="4AACE218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4 996 124</w:t>
            </w:r>
          </w:p>
        </w:tc>
      </w:tr>
      <w:tr w:rsidR="004B1E02" w:rsidRPr="004B1E02" w14:paraId="741A8024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429C6743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In-Netherlands</w:t>
            </w:r>
          </w:p>
        </w:tc>
        <w:tc>
          <w:tcPr>
            <w:tcW w:w="2374" w:type="dxa"/>
            <w:noWrap/>
            <w:hideMark/>
          </w:tcPr>
          <w:p w14:paraId="053241FF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18 317 092</w:t>
            </w:r>
          </w:p>
        </w:tc>
      </w:tr>
      <w:tr w:rsidR="004B1E02" w:rsidRPr="004B1E02" w14:paraId="5A71442E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37B2E13C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L-Awstrija</w:t>
            </w:r>
          </w:p>
        </w:tc>
        <w:tc>
          <w:tcPr>
            <w:tcW w:w="2374" w:type="dxa"/>
            <w:noWrap/>
            <w:hideMark/>
          </w:tcPr>
          <w:p w14:paraId="647793E2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130 006 188</w:t>
            </w:r>
          </w:p>
        </w:tc>
      </w:tr>
      <w:tr w:rsidR="004B1E02" w:rsidRPr="004B1E02" w14:paraId="2E59D315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465174F3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Il-Polonja</w:t>
            </w:r>
          </w:p>
        </w:tc>
        <w:tc>
          <w:tcPr>
            <w:tcW w:w="2374" w:type="dxa"/>
            <w:noWrap/>
            <w:hideMark/>
          </w:tcPr>
          <w:p w14:paraId="3E0058C2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396 000 462</w:t>
            </w:r>
          </w:p>
        </w:tc>
      </w:tr>
      <w:tr w:rsidR="004B1E02" w:rsidRPr="004B1E02" w14:paraId="7C80EA8B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4703A6D8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Il-Portugall</w:t>
            </w:r>
          </w:p>
        </w:tc>
        <w:tc>
          <w:tcPr>
            <w:tcW w:w="2374" w:type="dxa"/>
            <w:noWrap/>
            <w:hideMark/>
          </w:tcPr>
          <w:p w14:paraId="72247A9E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162 165 186</w:t>
            </w:r>
          </w:p>
        </w:tc>
      </w:tr>
      <w:tr w:rsidR="004B1E02" w:rsidRPr="004B1E02" w14:paraId="2E1C345C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78B2CD1B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Ir-Rumanija</w:t>
            </w:r>
          </w:p>
        </w:tc>
        <w:tc>
          <w:tcPr>
            <w:tcW w:w="2374" w:type="dxa"/>
            <w:noWrap/>
            <w:hideMark/>
          </w:tcPr>
          <w:p w14:paraId="7E737353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290 114 968</w:t>
            </w:r>
          </w:p>
        </w:tc>
      </w:tr>
      <w:tr w:rsidR="004B1E02" w:rsidRPr="004B1E02" w14:paraId="16544A29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0B1174FB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Is-Slovenja</w:t>
            </w:r>
          </w:p>
        </w:tc>
        <w:tc>
          <w:tcPr>
            <w:tcW w:w="2374" w:type="dxa"/>
            <w:noWrap/>
            <w:hideMark/>
          </w:tcPr>
          <w:p w14:paraId="37C18691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27 542 548</w:t>
            </w:r>
          </w:p>
        </w:tc>
      </w:tr>
      <w:tr w:rsidR="004B1E02" w:rsidRPr="004B1E02" w14:paraId="6CFD9CDC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3AADC66F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Is-Slovakkja</w:t>
            </w:r>
          </w:p>
        </w:tc>
        <w:tc>
          <w:tcPr>
            <w:tcW w:w="2374" w:type="dxa"/>
            <w:noWrap/>
            <w:hideMark/>
          </w:tcPr>
          <w:p w14:paraId="37A26B5D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77 723 373</w:t>
            </w:r>
          </w:p>
        </w:tc>
      </w:tr>
      <w:tr w:rsidR="004B1E02" w:rsidRPr="004B1E02" w14:paraId="18F436C4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5877881A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Il-Finlandja</w:t>
            </w:r>
          </w:p>
        </w:tc>
        <w:tc>
          <w:tcPr>
            <w:tcW w:w="2374" w:type="dxa"/>
            <w:noWrap/>
            <w:hideMark/>
          </w:tcPr>
          <w:p w14:paraId="7CAD21BC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106 364 987</w:t>
            </w:r>
          </w:p>
        </w:tc>
      </w:tr>
      <w:tr w:rsidR="004B1E02" w:rsidRPr="004B1E02" w14:paraId="0FA17F25" w14:textId="77777777" w:rsidTr="002D7B0B">
        <w:trPr>
          <w:trHeight w:val="300"/>
        </w:trPr>
        <w:tc>
          <w:tcPr>
            <w:tcW w:w="2417" w:type="dxa"/>
            <w:noWrap/>
            <w:hideMark/>
          </w:tcPr>
          <w:p w14:paraId="6BE5AE47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L-Iżvezja</w:t>
            </w:r>
          </w:p>
        </w:tc>
        <w:tc>
          <w:tcPr>
            <w:tcW w:w="2374" w:type="dxa"/>
            <w:noWrap/>
            <w:hideMark/>
          </w:tcPr>
          <w:p w14:paraId="655BD905" w14:textId="77777777" w:rsidR="004B1E02" w:rsidRPr="004B1E02" w:rsidRDefault="004B1E02" w:rsidP="004B1E02">
            <w:pPr>
              <w:spacing w:before="120" w:after="120"/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63 566 922</w:t>
            </w:r>
          </w:p>
        </w:tc>
      </w:tr>
    </w:tbl>
    <w:p w14:paraId="41975840" w14:textId="77777777" w:rsidR="004B1E02" w:rsidRPr="004B1E02" w:rsidRDefault="004B1E02" w:rsidP="004B1E02">
      <w:pPr>
        <w:spacing w:after="160" w:line="278" w:lineRule="auto"/>
        <w:rPr>
          <w:rFonts w:eastAsia="Aptos"/>
          <w:i/>
          <w:iCs/>
          <w:kern w:val="2"/>
          <w:szCs w:val="24"/>
          <w:lang w:val="en-GB" w:eastAsia="en-US"/>
          <w14:ligatures w14:val="standardContextual"/>
        </w:rPr>
      </w:pPr>
    </w:p>
    <w:p w14:paraId="662176B9" w14:textId="77777777" w:rsidR="004B1E02" w:rsidRPr="004B1E02" w:rsidRDefault="004B1E02" w:rsidP="004B1E02">
      <w:pPr>
        <w:spacing w:after="160" w:line="278" w:lineRule="auto"/>
        <w:rPr>
          <w:rFonts w:eastAsia="Aptos"/>
          <w:i/>
          <w:kern w:val="2"/>
          <w:szCs w:val="24"/>
          <w:lang w:val="en-GB"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val="en-GB" w:eastAsia="en-US"/>
          <w14:ligatures w14:val="standardContextual"/>
        </w:rPr>
        <w:br w:type="page"/>
      </w:r>
    </w:p>
    <w:p w14:paraId="2CD4917E" w14:textId="77777777" w:rsidR="004B1E02" w:rsidRPr="004B1E02" w:rsidRDefault="004B1E02" w:rsidP="004B1E02">
      <w:pPr>
        <w:spacing w:after="160" w:line="278" w:lineRule="auto"/>
        <w:rPr>
          <w:rFonts w:eastAsia="Aptos"/>
          <w:i/>
          <w:iCs/>
          <w:kern w:val="2"/>
          <w:szCs w:val="24"/>
          <w:lang w:val="en-GB" w:eastAsia="en-US"/>
          <w14:ligatures w14:val="standardContextual"/>
        </w:rPr>
      </w:pPr>
      <w:r w:rsidRPr="004B1E02">
        <w:rPr>
          <w:rFonts w:eastAsia="Aptos"/>
          <w:i/>
          <w:kern w:val="2"/>
          <w:szCs w:val="24"/>
          <w:lang w:val="en-GB" w:eastAsia="en-US"/>
          <w14:ligatures w14:val="standardContextual"/>
        </w:rPr>
        <w:lastRenderedPageBreak/>
        <w:t xml:space="preserve">L-ammont massimu ta’ tnaqqis għall-allokazzjonijiet għall-pagamenti diretti għas-sena kalendarja 2027 għal kull Stat Membru </w:t>
      </w:r>
    </w:p>
    <w:tbl>
      <w:tblPr>
        <w:tblStyle w:val="TableGrid2"/>
        <w:tblW w:w="0" w:type="auto"/>
        <w:tblInd w:w="1696" w:type="dxa"/>
        <w:tblLook w:val="04A0" w:firstRow="1" w:lastRow="0" w:firstColumn="1" w:lastColumn="0" w:noHBand="0" w:noVBand="1"/>
      </w:tblPr>
      <w:tblGrid>
        <w:gridCol w:w="2417"/>
        <w:gridCol w:w="2374"/>
      </w:tblGrid>
      <w:tr w:rsidR="004B1E02" w:rsidRPr="004B1E02" w14:paraId="30D27416" w14:textId="77777777" w:rsidTr="002D7B0B">
        <w:trPr>
          <w:trHeight w:val="300"/>
        </w:trPr>
        <w:tc>
          <w:tcPr>
            <w:tcW w:w="2417" w:type="dxa"/>
            <w:noWrap/>
            <w:vAlign w:val="center"/>
          </w:tcPr>
          <w:p w14:paraId="71DE5308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74" w:type="dxa"/>
            <w:noWrap/>
            <w:vAlign w:val="center"/>
          </w:tcPr>
          <w:p w14:paraId="792445F3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EUR (</w:t>
            </w:r>
          </w:p>
          <w:p w14:paraId="7F9C78C7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prezzijiet attwali)</w:t>
            </w:r>
          </w:p>
        </w:tc>
      </w:tr>
      <w:tr w:rsidR="004B1E02" w:rsidRPr="004B1E02" w14:paraId="7C980BEC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14BC4B55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Il-Belġju</w:t>
            </w:r>
          </w:p>
        </w:tc>
        <w:tc>
          <w:tcPr>
            <w:tcW w:w="2374" w:type="dxa"/>
            <w:noWrap/>
            <w:vAlign w:val="center"/>
            <w:hideMark/>
          </w:tcPr>
          <w:p w14:paraId="16A2BF78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123 731 481</w:t>
            </w:r>
          </w:p>
        </w:tc>
      </w:tr>
      <w:tr w:rsidR="004B1E02" w:rsidRPr="004B1E02" w14:paraId="41A7F566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700E58D0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Il-Bulgarija</w:t>
            </w:r>
          </w:p>
        </w:tc>
        <w:tc>
          <w:tcPr>
            <w:tcW w:w="2374" w:type="dxa"/>
            <w:noWrap/>
            <w:vAlign w:val="center"/>
            <w:hideMark/>
          </w:tcPr>
          <w:p w14:paraId="71721BF8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207 943 425</w:t>
            </w:r>
          </w:p>
        </w:tc>
      </w:tr>
      <w:tr w:rsidR="004B1E02" w:rsidRPr="004B1E02" w14:paraId="25A2996F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637E3114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Iċ-Ċekja</w:t>
            </w:r>
          </w:p>
        </w:tc>
        <w:tc>
          <w:tcPr>
            <w:tcW w:w="2374" w:type="dxa"/>
            <w:noWrap/>
            <w:vAlign w:val="center"/>
            <w:hideMark/>
          </w:tcPr>
          <w:p w14:paraId="7B2DC319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213 736 824</w:t>
            </w:r>
          </w:p>
        </w:tc>
      </w:tr>
      <w:tr w:rsidR="004B1E02" w:rsidRPr="004B1E02" w14:paraId="5AB9C56E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69E4FAD5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Id-Danimarka</w:t>
            </w:r>
          </w:p>
        </w:tc>
        <w:tc>
          <w:tcPr>
            <w:tcW w:w="2374" w:type="dxa"/>
            <w:noWrap/>
            <w:vAlign w:val="center"/>
            <w:hideMark/>
          </w:tcPr>
          <w:p w14:paraId="1077B079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215 591 819</w:t>
            </w:r>
          </w:p>
        </w:tc>
      </w:tr>
      <w:tr w:rsidR="004B1E02" w:rsidRPr="004B1E02" w14:paraId="2C89CEC5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23D80500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Il-Ġermanja</w:t>
            </w:r>
          </w:p>
        </w:tc>
        <w:tc>
          <w:tcPr>
            <w:tcW w:w="2374" w:type="dxa"/>
            <w:noWrap/>
            <w:vAlign w:val="center"/>
            <w:hideMark/>
          </w:tcPr>
          <w:p w14:paraId="31448407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1 228 923 865</w:t>
            </w:r>
          </w:p>
        </w:tc>
      </w:tr>
      <w:tr w:rsidR="004B1E02" w:rsidRPr="004B1E02" w14:paraId="7F0C8015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3DCE2752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L-Estonja</w:t>
            </w:r>
          </w:p>
        </w:tc>
        <w:tc>
          <w:tcPr>
            <w:tcW w:w="2374" w:type="dxa"/>
            <w:noWrap/>
            <w:vAlign w:val="center"/>
            <w:hideMark/>
          </w:tcPr>
          <w:p w14:paraId="28C740C5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51 254 687</w:t>
            </w:r>
          </w:p>
        </w:tc>
      </w:tr>
      <w:tr w:rsidR="004B1E02" w:rsidRPr="004B1E02" w14:paraId="0E12A3E1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1D9AA084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L-Irlanda</w:t>
            </w:r>
          </w:p>
        </w:tc>
        <w:tc>
          <w:tcPr>
            <w:tcW w:w="2374" w:type="dxa"/>
            <w:noWrap/>
            <w:vAlign w:val="center"/>
            <w:hideMark/>
          </w:tcPr>
          <w:p w14:paraId="500C973B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296 570 499</w:t>
            </w:r>
          </w:p>
        </w:tc>
      </w:tr>
      <w:tr w:rsidR="004B1E02" w:rsidRPr="004B1E02" w14:paraId="0EB958D8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7C25A25C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Il-Greċja</w:t>
            </w:r>
          </w:p>
        </w:tc>
        <w:tc>
          <w:tcPr>
            <w:tcW w:w="2374" w:type="dxa"/>
            <w:noWrap/>
            <w:vAlign w:val="center"/>
            <w:hideMark/>
          </w:tcPr>
          <w:p w14:paraId="4AD2A965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472 915 011</w:t>
            </w:r>
          </w:p>
        </w:tc>
      </w:tr>
      <w:tr w:rsidR="004B1E02" w:rsidRPr="004B1E02" w14:paraId="38820BD0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7791FF14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Spanja</w:t>
            </w:r>
          </w:p>
        </w:tc>
        <w:tc>
          <w:tcPr>
            <w:tcW w:w="2374" w:type="dxa"/>
            <w:noWrap/>
            <w:vAlign w:val="center"/>
            <w:hideMark/>
          </w:tcPr>
          <w:p w14:paraId="36F38D57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1 209 271 990</w:t>
            </w:r>
          </w:p>
        </w:tc>
      </w:tr>
      <w:tr w:rsidR="004B1E02" w:rsidRPr="004B1E02" w14:paraId="04B94CE4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700BEFCB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Franza</w:t>
            </w:r>
          </w:p>
        </w:tc>
        <w:tc>
          <w:tcPr>
            <w:tcW w:w="2374" w:type="dxa"/>
            <w:noWrap/>
            <w:vAlign w:val="center"/>
            <w:hideMark/>
          </w:tcPr>
          <w:p w14:paraId="14FB38A8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1 821 250 134</w:t>
            </w:r>
          </w:p>
        </w:tc>
      </w:tr>
      <w:tr w:rsidR="004B1E02" w:rsidRPr="004B1E02" w14:paraId="4E2C1D4B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53C781B9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Il-Kroazja</w:t>
            </w:r>
          </w:p>
        </w:tc>
        <w:tc>
          <w:tcPr>
            <w:tcW w:w="2374" w:type="dxa"/>
            <w:noWrap/>
            <w:vAlign w:val="center"/>
            <w:hideMark/>
          </w:tcPr>
          <w:p w14:paraId="27C86735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93 692 559</w:t>
            </w:r>
          </w:p>
        </w:tc>
      </w:tr>
      <w:tr w:rsidR="004B1E02" w:rsidRPr="004B1E02" w14:paraId="596956F4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0D6C9333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L-Italja</w:t>
            </w:r>
          </w:p>
        </w:tc>
        <w:tc>
          <w:tcPr>
            <w:tcW w:w="2374" w:type="dxa"/>
            <w:noWrap/>
            <w:vAlign w:val="center"/>
            <w:hideMark/>
          </w:tcPr>
          <w:p w14:paraId="1957D3E9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907 132 289</w:t>
            </w:r>
          </w:p>
        </w:tc>
      </w:tr>
      <w:tr w:rsidR="004B1E02" w:rsidRPr="004B1E02" w14:paraId="50BB5D77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3939A928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Ċipru</w:t>
            </w:r>
          </w:p>
        </w:tc>
        <w:tc>
          <w:tcPr>
            <w:tcW w:w="2374" w:type="dxa"/>
            <w:noWrap/>
            <w:vAlign w:val="center"/>
            <w:hideMark/>
          </w:tcPr>
          <w:p w14:paraId="741B2730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11 911 885</w:t>
            </w:r>
          </w:p>
        </w:tc>
      </w:tr>
      <w:tr w:rsidR="004B1E02" w:rsidRPr="004B1E02" w14:paraId="563670D0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3EFD6FFA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Il-Latvja</w:t>
            </w:r>
          </w:p>
        </w:tc>
        <w:tc>
          <w:tcPr>
            <w:tcW w:w="2374" w:type="dxa"/>
            <w:noWrap/>
            <w:vAlign w:val="center"/>
            <w:hideMark/>
          </w:tcPr>
          <w:p w14:paraId="1BBDAA2E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91 120 936</w:t>
            </w:r>
          </w:p>
        </w:tc>
      </w:tr>
      <w:tr w:rsidR="004B1E02" w:rsidRPr="004B1E02" w14:paraId="75491BC5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0192CE0F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Il-Litwanja</w:t>
            </w:r>
          </w:p>
        </w:tc>
        <w:tc>
          <w:tcPr>
            <w:tcW w:w="2374" w:type="dxa"/>
            <w:noWrap/>
            <w:vAlign w:val="center"/>
            <w:hideMark/>
          </w:tcPr>
          <w:p w14:paraId="77F7B78A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153 178 204</w:t>
            </w:r>
          </w:p>
        </w:tc>
      </w:tr>
    </w:tbl>
    <w:p w14:paraId="10BB5CDD" w14:textId="77777777" w:rsidR="004B1E02" w:rsidRPr="004B1E02" w:rsidRDefault="004B1E02" w:rsidP="004B1E02">
      <w:pPr>
        <w:spacing w:after="160" w:line="278" w:lineRule="auto"/>
        <w:rPr>
          <w:rFonts w:eastAsia="Aptos"/>
          <w:noProof w:val="0"/>
          <w:kern w:val="2"/>
          <w:szCs w:val="24"/>
          <w:lang w:val="en-GB" w:eastAsia="en-US"/>
          <w14:ligatures w14:val="standardContextual"/>
        </w:rPr>
      </w:pPr>
      <w:r w:rsidRPr="004B1E02">
        <w:rPr>
          <w:rFonts w:eastAsia="Aptos"/>
          <w:noProof w:val="0"/>
          <w:kern w:val="2"/>
          <w:szCs w:val="24"/>
          <w:lang w:val="en-GB" w:eastAsia="en-US"/>
          <w14:ligatures w14:val="standardContextual"/>
        </w:rPr>
        <w:br w:type="page"/>
      </w:r>
    </w:p>
    <w:tbl>
      <w:tblPr>
        <w:tblStyle w:val="TableGrid2"/>
        <w:tblW w:w="0" w:type="auto"/>
        <w:tblInd w:w="1696" w:type="dxa"/>
        <w:tblLook w:val="04A0" w:firstRow="1" w:lastRow="0" w:firstColumn="1" w:lastColumn="0" w:noHBand="0" w:noVBand="1"/>
      </w:tblPr>
      <w:tblGrid>
        <w:gridCol w:w="2417"/>
        <w:gridCol w:w="2374"/>
      </w:tblGrid>
      <w:tr w:rsidR="004B1E02" w:rsidRPr="004B1E02" w14:paraId="70E70B62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7EE64D58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lastRenderedPageBreak/>
              <w:t>Il-Lussemburgu</w:t>
            </w:r>
          </w:p>
        </w:tc>
        <w:tc>
          <w:tcPr>
            <w:tcW w:w="2374" w:type="dxa"/>
            <w:noWrap/>
            <w:vAlign w:val="center"/>
            <w:hideMark/>
          </w:tcPr>
          <w:p w14:paraId="6432189C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8 186 957</w:t>
            </w:r>
          </w:p>
        </w:tc>
      </w:tr>
      <w:tr w:rsidR="004B1E02" w:rsidRPr="004B1E02" w14:paraId="451D1338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6AACB253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L-Ungerija</w:t>
            </w:r>
          </w:p>
        </w:tc>
        <w:tc>
          <w:tcPr>
            <w:tcW w:w="2374" w:type="dxa"/>
            <w:noWrap/>
            <w:vAlign w:val="center"/>
            <w:hideMark/>
          </w:tcPr>
          <w:p w14:paraId="7E420093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310 796 291</w:t>
            </w:r>
          </w:p>
        </w:tc>
      </w:tr>
      <w:tr w:rsidR="004B1E02" w:rsidRPr="004B1E02" w14:paraId="4231DCD6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07772317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Malta</w:t>
            </w:r>
          </w:p>
        </w:tc>
        <w:tc>
          <w:tcPr>
            <w:tcW w:w="2374" w:type="dxa"/>
            <w:noWrap/>
            <w:vAlign w:val="center"/>
            <w:hideMark/>
          </w:tcPr>
          <w:p w14:paraId="0089D15F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1 148 505</w:t>
            </w:r>
          </w:p>
        </w:tc>
      </w:tr>
      <w:tr w:rsidR="004B1E02" w:rsidRPr="004B1E02" w14:paraId="1172605A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0DF1E7D8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In-Netherlands</w:t>
            </w:r>
          </w:p>
        </w:tc>
        <w:tc>
          <w:tcPr>
            <w:tcW w:w="2374" w:type="dxa"/>
            <w:noWrap/>
            <w:vAlign w:val="center"/>
            <w:hideMark/>
          </w:tcPr>
          <w:p w14:paraId="14581034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179 345 582</w:t>
            </w:r>
          </w:p>
        </w:tc>
      </w:tr>
      <w:tr w:rsidR="004B1E02" w:rsidRPr="004B1E02" w14:paraId="11A7642E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6BE71EC8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L-Awstrija</w:t>
            </w:r>
          </w:p>
        </w:tc>
        <w:tc>
          <w:tcPr>
            <w:tcW w:w="2374" w:type="dxa"/>
            <w:noWrap/>
            <w:vAlign w:val="center"/>
            <w:hideMark/>
          </w:tcPr>
          <w:p w14:paraId="1C94C071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169 395 462</w:t>
            </w:r>
          </w:p>
        </w:tc>
      </w:tr>
      <w:tr w:rsidR="004B1E02" w:rsidRPr="004B1E02" w14:paraId="453F84B3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5DBAE3DE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Il-Polonja</w:t>
            </w:r>
          </w:p>
        </w:tc>
        <w:tc>
          <w:tcPr>
            <w:tcW w:w="2374" w:type="dxa"/>
            <w:noWrap/>
            <w:vAlign w:val="center"/>
            <w:hideMark/>
          </w:tcPr>
          <w:p w14:paraId="65C4AD76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796 492 035</w:t>
            </w:r>
          </w:p>
        </w:tc>
      </w:tr>
      <w:tr w:rsidR="004B1E02" w:rsidRPr="004B1E02" w14:paraId="3D24DAD4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30D29208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Il-Portugall</w:t>
            </w:r>
          </w:p>
        </w:tc>
        <w:tc>
          <w:tcPr>
            <w:tcW w:w="2374" w:type="dxa"/>
            <w:noWrap/>
            <w:vAlign w:val="center"/>
            <w:hideMark/>
          </w:tcPr>
          <w:p w14:paraId="19390FEE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159 948 413</w:t>
            </w:r>
          </w:p>
        </w:tc>
      </w:tr>
      <w:tr w:rsidR="004B1E02" w:rsidRPr="004B1E02" w14:paraId="744A2B0D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49EBC7CA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Ir-Rumanija</w:t>
            </w:r>
          </w:p>
        </w:tc>
        <w:tc>
          <w:tcPr>
            <w:tcW w:w="2374" w:type="dxa"/>
            <w:noWrap/>
            <w:vAlign w:val="center"/>
            <w:hideMark/>
          </w:tcPr>
          <w:p w14:paraId="755C62E0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507 398 799</w:t>
            </w:r>
          </w:p>
        </w:tc>
      </w:tr>
      <w:tr w:rsidR="004B1E02" w:rsidRPr="004B1E02" w14:paraId="519463F1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5C627F57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Is-Slovenja</w:t>
            </w:r>
          </w:p>
        </w:tc>
        <w:tc>
          <w:tcPr>
            <w:tcW w:w="2374" w:type="dxa"/>
            <w:noWrap/>
            <w:vAlign w:val="center"/>
            <w:hideMark/>
          </w:tcPr>
          <w:p w14:paraId="49BC22EB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32 882 513</w:t>
            </w:r>
          </w:p>
        </w:tc>
      </w:tr>
      <w:tr w:rsidR="004B1E02" w:rsidRPr="004B1E02" w14:paraId="076D1FFE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44CAF4D5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Is-Slovakkja</w:t>
            </w:r>
          </w:p>
        </w:tc>
        <w:tc>
          <w:tcPr>
            <w:tcW w:w="2374" w:type="dxa"/>
            <w:noWrap/>
            <w:vAlign w:val="center"/>
            <w:hideMark/>
          </w:tcPr>
          <w:p w14:paraId="391F78E1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103 868 686</w:t>
            </w:r>
          </w:p>
        </w:tc>
      </w:tr>
      <w:tr w:rsidR="004B1E02" w:rsidRPr="004B1E02" w14:paraId="529E9189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0070F4FF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Il-Finlandja</w:t>
            </w:r>
          </w:p>
        </w:tc>
        <w:tc>
          <w:tcPr>
            <w:tcW w:w="2374" w:type="dxa"/>
            <w:noWrap/>
            <w:vAlign w:val="center"/>
            <w:hideMark/>
          </w:tcPr>
          <w:p w14:paraId="08738413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131 201 466</w:t>
            </w:r>
          </w:p>
        </w:tc>
      </w:tr>
      <w:tr w:rsidR="004B1E02" w:rsidRPr="004B1E02" w14:paraId="36023215" w14:textId="77777777" w:rsidTr="002D7B0B">
        <w:trPr>
          <w:trHeight w:val="300"/>
        </w:trPr>
        <w:tc>
          <w:tcPr>
            <w:tcW w:w="2417" w:type="dxa"/>
            <w:noWrap/>
            <w:vAlign w:val="center"/>
            <w:hideMark/>
          </w:tcPr>
          <w:p w14:paraId="284228CC" w14:textId="77777777" w:rsidR="004B1E02" w:rsidRPr="004B1E02" w:rsidRDefault="004B1E02" w:rsidP="004B1E02">
            <w:pPr>
              <w:spacing w:before="120" w:after="120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L-Iżvezja</w:t>
            </w:r>
          </w:p>
        </w:tc>
        <w:tc>
          <w:tcPr>
            <w:tcW w:w="2374" w:type="dxa"/>
            <w:noWrap/>
            <w:vAlign w:val="center"/>
            <w:hideMark/>
          </w:tcPr>
          <w:p w14:paraId="0D23EB2F" w14:textId="77777777" w:rsidR="004B1E02" w:rsidRPr="004B1E02" w:rsidRDefault="004B1E02" w:rsidP="004B1E02">
            <w:pPr>
              <w:jc w:val="right"/>
              <w:rPr>
                <w:rFonts w:ascii="Times New Roman" w:hAnsi="Times New Roman"/>
              </w:rPr>
            </w:pPr>
            <w:r w:rsidRPr="004B1E02">
              <w:rPr>
                <w:rFonts w:ascii="Times New Roman" w:hAnsi="Times New Roman"/>
              </w:rPr>
              <w:t>171 704 104</w:t>
            </w:r>
          </w:p>
        </w:tc>
      </w:tr>
    </w:tbl>
    <w:p w14:paraId="0D481876" w14:textId="77777777" w:rsidR="004B1E02" w:rsidRPr="004B1E02" w:rsidRDefault="004B1E02" w:rsidP="004B1E02">
      <w:pPr>
        <w:spacing w:after="160" w:line="278" w:lineRule="auto"/>
        <w:rPr>
          <w:rFonts w:eastAsia="Aptos"/>
          <w:noProof w:val="0"/>
          <w:szCs w:val="22"/>
          <w:lang w:val="en-GB" w:eastAsia="en-US"/>
        </w:rPr>
      </w:pPr>
      <w:r w:rsidRPr="004B1E02">
        <w:rPr>
          <w:rFonts w:eastAsia="Aptos"/>
          <w:noProof w:val="0"/>
          <w:szCs w:val="22"/>
          <w:lang w:val="en-GB" w:eastAsia="en-US"/>
        </w:rPr>
        <w:t>”</w:t>
      </w:r>
    </w:p>
    <w:p w14:paraId="0E833FAC" w14:textId="179B0933" w:rsidR="004B1E02" w:rsidRPr="009F28EF" w:rsidRDefault="004B1E02" w:rsidP="004B1E02">
      <w:pPr>
        <w:pStyle w:val="Normal12"/>
        <w:rPr>
          <w:szCs w:val="24"/>
        </w:rPr>
      </w:pPr>
    </w:p>
    <w:sectPr w:rsidR="004B1E02" w:rsidRPr="009F28EF" w:rsidSect="004B1E02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5B33" w14:textId="77777777" w:rsidR="004B1E02" w:rsidRPr="004B1E02" w:rsidRDefault="004B1E02" w:rsidP="009C4014">
      <w:r w:rsidRPr="004B1E02">
        <w:separator/>
      </w:r>
    </w:p>
  </w:endnote>
  <w:endnote w:type="continuationSeparator" w:id="0">
    <w:p w14:paraId="4A3C1CAE" w14:textId="77777777" w:rsidR="004B1E02" w:rsidRPr="004B1E02" w:rsidRDefault="004B1E02" w:rsidP="009C4014">
      <w:r w:rsidRPr="004B1E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B2565" w14:textId="77777777" w:rsidR="00185E15" w:rsidRPr="004B1E02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D5EAE" w14:textId="77777777" w:rsidR="004B1E02" w:rsidRPr="000C3A96" w:rsidRDefault="004B1E02" w:rsidP="000C3A96">
    <w:pPr>
      <w:pStyle w:val="Footer"/>
      <w:tabs>
        <w:tab w:val="center" w:pos="4535"/>
        <w:tab w:val="right" w:pos="8504"/>
        <w:tab w:val="right" w:pos="90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E3EF3" w14:textId="77777777" w:rsidR="004B1E02" w:rsidRPr="004B1E02" w:rsidRDefault="004B1E02" w:rsidP="009C4014">
      <w:r w:rsidRPr="004B1E02">
        <w:separator/>
      </w:r>
    </w:p>
  </w:footnote>
  <w:footnote w:type="continuationSeparator" w:id="0">
    <w:p w14:paraId="30E85E99" w14:textId="77777777" w:rsidR="004B1E02" w:rsidRPr="004B1E02" w:rsidRDefault="004B1E02" w:rsidP="009C4014">
      <w:r w:rsidRPr="004B1E02">
        <w:continuationSeparator/>
      </w:r>
    </w:p>
  </w:footnote>
  <w:footnote w:id="1">
    <w:p w14:paraId="4B4E78E7" w14:textId="65B9F655" w:rsidR="004B1E02" w:rsidRPr="003F14BA" w:rsidRDefault="004B1E02" w:rsidP="004B1E02">
      <w:pPr>
        <w:pStyle w:val="FootnoteText"/>
        <w:ind w:left="851" w:hanging="851"/>
        <w:rPr>
          <w:sz w:val="24"/>
          <w:szCs w:val="24"/>
          <w:lang w:val="sv-SE"/>
        </w:rPr>
      </w:pPr>
      <w:r w:rsidRPr="00672082">
        <w:rPr>
          <w:rStyle w:val="FootnoteReference"/>
          <w:sz w:val="24"/>
          <w:szCs w:val="24"/>
        </w:rPr>
        <w:footnoteRef/>
      </w:r>
      <w:r w:rsidRPr="003F14BA">
        <w:rPr>
          <w:sz w:val="24"/>
          <w:szCs w:val="24"/>
          <w:lang w:val="sv-SE"/>
        </w:rPr>
        <w:t xml:space="preserve"> </w:t>
      </w:r>
      <w:r w:rsidRPr="00672082">
        <w:rPr>
          <w:sz w:val="24"/>
          <w:szCs w:val="24"/>
        </w:rPr>
        <w:tab/>
        <w:t>Il-p</w:t>
      </w:r>
      <w:r w:rsidRPr="003F14BA">
        <w:rPr>
          <w:sz w:val="24"/>
          <w:szCs w:val="24"/>
          <w:lang w:val="sv-SE"/>
        </w:rPr>
        <w:t>ożizzjoni tal-Parlament Ewropew tas-7 ta’ Lulju 2026.</w:t>
      </w:r>
    </w:p>
  </w:footnote>
  <w:footnote w:id="2">
    <w:p w14:paraId="1C812557" w14:textId="77777777" w:rsidR="004B1E02" w:rsidRPr="003F14BA" w:rsidRDefault="004B1E02" w:rsidP="004B1E02">
      <w:pPr>
        <w:pStyle w:val="FootnoteText"/>
        <w:ind w:left="851" w:hanging="851"/>
        <w:rPr>
          <w:color w:val="000000"/>
          <w:sz w:val="24"/>
          <w:szCs w:val="24"/>
          <w:lang w:val="sv-SE"/>
        </w:rPr>
      </w:pPr>
      <w:r w:rsidRPr="00672082">
        <w:rPr>
          <w:rStyle w:val="FootnoteReference"/>
          <w:color w:val="000000"/>
          <w:sz w:val="24"/>
          <w:szCs w:val="24"/>
        </w:rPr>
        <w:footnoteRef/>
      </w:r>
      <w:r w:rsidRPr="003F14BA">
        <w:rPr>
          <w:color w:val="000000"/>
          <w:sz w:val="24"/>
          <w:szCs w:val="24"/>
          <w:lang w:val="sv-SE"/>
        </w:rPr>
        <w:tab/>
        <w:t xml:space="preserve">Ir-Regolament (UE) 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 1305/2013 u (UE) Nru 1307/2013 (ĠU L 435, 6.12.2021, p. 1, ELI: </w:t>
      </w:r>
      <w:hyperlink r:id="rId1" w:history="1">
        <w:r w:rsidRPr="003F14BA">
          <w:rPr>
            <w:rStyle w:val="Hyperlink"/>
            <w:sz w:val="24"/>
            <w:szCs w:val="24"/>
            <w:lang w:val="sv-SE"/>
          </w:rPr>
          <w:t>http://data.europa.eu/eli/reg/2021/2115/oj</w:t>
        </w:r>
      </w:hyperlink>
      <w:r w:rsidRPr="003F14BA">
        <w:rPr>
          <w:sz w:val="24"/>
          <w:szCs w:val="24"/>
          <w:lang w:val="sv-SE"/>
        </w:rPr>
        <w:t xml:space="preserve">). </w:t>
      </w:r>
    </w:p>
  </w:footnote>
  <w:footnote w:id="3">
    <w:p w14:paraId="218231E8" w14:textId="77777777" w:rsidR="004B1E02" w:rsidRPr="003F14BA" w:rsidRDefault="004B1E02" w:rsidP="004B1E02">
      <w:pPr>
        <w:ind w:left="851" w:hanging="851"/>
        <w:rPr>
          <w:color w:val="000000"/>
          <w:szCs w:val="24"/>
          <w:lang w:val="sv-SE"/>
        </w:rPr>
      </w:pPr>
      <w:r w:rsidRPr="00672082">
        <w:rPr>
          <w:rStyle w:val="FootnoteReference"/>
          <w:color w:val="000000"/>
          <w:szCs w:val="24"/>
        </w:rPr>
        <w:footnoteRef/>
      </w:r>
      <w:r w:rsidRPr="003F14BA">
        <w:rPr>
          <w:color w:val="000000"/>
          <w:szCs w:val="24"/>
          <w:lang w:val="sv-SE"/>
        </w:rPr>
        <w:tab/>
        <w:t>Ir-Regolament (UE) 2021/2116 tal-Parlament Ewropew u tal-Kunsill tat-2 ta’ Diċembru 2021 dwar il-finanzjament, il-ġestjoni u l-monitoraġġ tal-politika agrikola komuni u li jħassar ir-Regolament (UE) Nru 1306/2013 (ĠU L 435, 6.12.2021, p. 187, ELI</w:t>
      </w:r>
      <w:r w:rsidRPr="003F14BA">
        <w:rPr>
          <w:szCs w:val="24"/>
          <w:lang w:val="sv-SE"/>
        </w:rPr>
        <w:t xml:space="preserve">: </w:t>
      </w:r>
      <w:hyperlink r:id="rId2" w:history="1">
        <w:r w:rsidRPr="003F14BA">
          <w:rPr>
            <w:rStyle w:val="Hyperlink"/>
            <w:szCs w:val="24"/>
            <w:lang w:val="sv-SE"/>
          </w:rPr>
          <w:t>http://data.europa.eu/eli/reg/2021/2116/oj</w:t>
        </w:r>
      </w:hyperlink>
      <w:r w:rsidRPr="003F14BA">
        <w:rPr>
          <w:szCs w:val="24"/>
          <w:lang w:val="sv-SE"/>
        </w:rPr>
        <w:t>).</w:t>
      </w:r>
    </w:p>
  </w:footnote>
  <w:footnote w:id="4">
    <w:p w14:paraId="1AC146B5" w14:textId="77777777" w:rsidR="004B1E02" w:rsidRPr="003F14BA" w:rsidRDefault="004B1E02" w:rsidP="004B1E02">
      <w:pPr>
        <w:ind w:left="851" w:hanging="851"/>
        <w:rPr>
          <w:color w:val="000000"/>
          <w:szCs w:val="24"/>
          <w:lang w:val="sv-SE"/>
        </w:rPr>
      </w:pPr>
      <w:r w:rsidRPr="00672082">
        <w:rPr>
          <w:rStyle w:val="FootnoteReference"/>
          <w:color w:val="000000"/>
          <w:szCs w:val="24"/>
        </w:rPr>
        <w:footnoteRef/>
      </w:r>
      <w:r w:rsidRPr="003F14BA">
        <w:rPr>
          <w:color w:val="000000"/>
          <w:szCs w:val="24"/>
          <w:lang w:val="sv-SE"/>
        </w:rPr>
        <w:tab/>
        <w:t>Id-Direttiva tal-Kunsill 91/676/KEE tat-12 ta' Diċembru 1991 dwar il-protezzjoni ta’ l-ilma kontra t-tniġġis ikkawżat min-nitrati minn sorsi agrikoli ĠU L 375, 31.12.1991, p. 1, ELI</w:t>
      </w:r>
      <w:r w:rsidRPr="003F14BA">
        <w:rPr>
          <w:szCs w:val="24"/>
          <w:lang w:val="sv-SE"/>
        </w:rPr>
        <w:t xml:space="preserve">: </w:t>
      </w:r>
      <w:hyperlink r:id="rId3" w:history="1">
        <w:r w:rsidRPr="003F14BA">
          <w:rPr>
            <w:rStyle w:val="Hyperlink"/>
            <w:szCs w:val="24"/>
            <w:lang w:val="sv-SE"/>
          </w:rPr>
          <w:t>http://data.europa.eu/eli/dir/1991/676/oj</w:t>
        </w:r>
      </w:hyperlink>
      <w:r w:rsidRPr="003F14BA">
        <w:rPr>
          <w:szCs w:val="24"/>
          <w:lang w:val="sv-SE"/>
        </w:rPr>
        <w:t xml:space="preserve">). </w:t>
      </w:r>
    </w:p>
  </w:footnote>
  <w:footnote w:id="5">
    <w:p w14:paraId="03C254CA" w14:textId="77777777" w:rsidR="004B1E02" w:rsidRPr="003F14BA" w:rsidRDefault="004B1E02" w:rsidP="004B1E02">
      <w:pPr>
        <w:ind w:left="851" w:hanging="851"/>
        <w:rPr>
          <w:color w:val="000000"/>
          <w:szCs w:val="24"/>
          <w:lang w:val="sv-SE"/>
        </w:rPr>
      </w:pPr>
      <w:r w:rsidRPr="00672082">
        <w:rPr>
          <w:rStyle w:val="FootnoteReference"/>
          <w:color w:val="000000"/>
          <w:szCs w:val="24"/>
        </w:rPr>
        <w:footnoteRef/>
      </w:r>
      <w:r w:rsidRPr="003F14BA">
        <w:rPr>
          <w:color w:val="000000"/>
          <w:szCs w:val="24"/>
          <w:lang w:val="sv-SE"/>
        </w:rPr>
        <w:tab/>
        <w:t xml:space="preserve">Ir-Regolament (UE, Euratom) 2024/2509 tal-Parlament Ewropew u tal-Kunsill tat-23 ta’ Settembru 2024 dwar ir-regoli finanzjarji applikabbli għall-baġit ġenerali tal-Unjoni (ĠU L, 2024/2509, 26.9.2024, ELI: </w:t>
      </w:r>
      <w:hyperlink r:id="rId4" w:history="1">
        <w:r w:rsidRPr="003F14BA">
          <w:rPr>
            <w:rStyle w:val="Hyperlink"/>
            <w:szCs w:val="24"/>
            <w:lang w:val="sv-SE"/>
          </w:rPr>
          <w:t>http://data.europa.eu/eli/reg/2024/2509/oj</w:t>
        </w:r>
      </w:hyperlink>
      <w:r w:rsidRPr="003F14BA">
        <w:rPr>
          <w:color w:val="000000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845A" w14:textId="4CA97D7F" w:rsidR="004B1E02" w:rsidRDefault="004B1E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92198309">
    <w:abstractNumId w:val="3"/>
  </w:num>
  <w:num w:numId="2" w16cid:durableId="1473861065">
    <w:abstractNumId w:val="2"/>
  </w:num>
  <w:num w:numId="3" w16cid:durableId="1309556721">
    <w:abstractNumId w:val="1"/>
  </w:num>
  <w:num w:numId="4" w16cid:durableId="385908623">
    <w:abstractNumId w:val="0"/>
  </w:num>
  <w:num w:numId="5" w16cid:durableId="1244686327">
    <w:abstractNumId w:val="6"/>
  </w:num>
  <w:num w:numId="6" w16cid:durableId="623314737">
    <w:abstractNumId w:val="5"/>
  </w:num>
  <w:num w:numId="7" w16cid:durableId="1870799376">
    <w:abstractNumId w:val="4"/>
  </w:num>
  <w:num w:numId="8" w16cid:durableId="1637560549">
    <w:abstractNumId w:val="7"/>
  </w:num>
  <w:num w:numId="9" w16cid:durableId="11128203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02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14BA"/>
    <w:rsid w:val="003F4DFE"/>
    <w:rsid w:val="00425111"/>
    <w:rsid w:val="00451C48"/>
    <w:rsid w:val="0047030E"/>
    <w:rsid w:val="004B1E02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04B11"/>
    <w:rsid w:val="006656E5"/>
    <w:rsid w:val="00666512"/>
    <w:rsid w:val="0067208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67D7"/>
    <w:rsid w:val="008512F3"/>
    <w:rsid w:val="00857458"/>
    <w:rsid w:val="00860ABC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3197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0769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FBBF0"/>
  <w15:chartTrackingRefBased/>
  <w15:docId w15:val="{8B4B801B-7DA1-4168-B019-4168E67D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lang w:val="mt-MT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table" w:styleId="TableGrid">
    <w:name w:val="Table Grid"/>
    <w:basedOn w:val="TableNormal"/>
    <w:rsid w:val="004B1E02"/>
    <w:pPr>
      <w:spacing w:before="120" w:after="120"/>
      <w:jc w:val="both"/>
    </w:pPr>
    <w:rPr>
      <w:lang w:val="en-US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B1E02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B1E02"/>
    <w:rPr>
      <w:rFonts w:ascii="Aptos" w:eastAsia="Aptos" w:hAnsi="Aptos"/>
      <w:kern w:val="2"/>
      <w:sz w:val="24"/>
      <w:szCs w:val="24"/>
      <w:lang w:val="mt-M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B1E02"/>
    <w:rPr>
      <w:rFonts w:ascii="Aptos" w:eastAsia="Aptos" w:hAnsi="Aptos"/>
      <w:kern w:val="2"/>
      <w:sz w:val="24"/>
      <w:szCs w:val="24"/>
      <w:lang w:val="mt-M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B1E02"/>
    <w:rPr>
      <w:noProof/>
      <w:sz w:val="24"/>
      <w:lang w:val="mt-MT"/>
    </w:rPr>
  </w:style>
  <w:style w:type="paragraph" w:styleId="ListParagraph">
    <w:name w:val="List Paragraph"/>
    <w:basedOn w:val="Normal"/>
    <w:uiPriority w:val="34"/>
    <w:qFormat/>
    <w:rsid w:val="00672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1991/676/oj" TargetMode="External"/><Relationship Id="rId2" Type="http://schemas.openxmlformats.org/officeDocument/2006/relationships/hyperlink" Target="http://data.europa.eu/eli/reg/2021/2116/oj" TargetMode="External"/><Relationship Id="rId1" Type="http://schemas.openxmlformats.org/officeDocument/2006/relationships/hyperlink" Target="http://data.europa.eu/eli/reg/2021/2115/oj" TargetMode="External"/><Relationship Id="rId4" Type="http://schemas.openxmlformats.org/officeDocument/2006/relationships/hyperlink" Target="http://data.europa.eu/eli/reg/2024/2509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29</Pages>
  <Words>4039</Words>
  <Characters>28615</Characters>
  <Application>Microsoft Office Word</Application>
  <DocSecurity>0</DocSecurity>
  <Lines>238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ZAHRA Ritienne</cp:lastModifiedBy>
  <cp:revision>2</cp:revision>
  <cp:lastPrinted>2014-08-07T13:15:00Z</cp:lastPrinted>
  <dcterms:created xsi:type="dcterms:W3CDTF">2026-07-07T10:46:00Z</dcterms:created>
  <dcterms:modified xsi:type="dcterms:W3CDTF">2026-07-07T10:46:00Z</dcterms:modified>
</cp:coreProperties>
</file>