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5D15" w14:paraId="389DED0C" w14:textId="77777777" w:rsidTr="00425111">
        <w:trPr>
          <w:trHeight w:hRule="exact" w:val="1418"/>
        </w:trPr>
        <w:tc>
          <w:tcPr>
            <w:tcW w:w="6804" w:type="dxa"/>
            <w:shd w:val="clear" w:color="auto" w:fill="auto"/>
            <w:vAlign w:val="center"/>
          </w:tcPr>
          <w:p w14:paraId="160DD6DF" w14:textId="77777777" w:rsidR="00757DD5" w:rsidRPr="00695D15" w:rsidRDefault="007362E8" w:rsidP="00425111">
            <w:pPr>
              <w:pStyle w:val="EPName"/>
              <w:rPr>
                <w:lang w:val="en-GB"/>
              </w:rPr>
            </w:pPr>
            <w:proofErr w:type="spellStart"/>
            <w:r>
              <w:rPr>
                <w:lang w:val="en-GB"/>
              </w:rPr>
              <w:t>Parlament</w:t>
            </w:r>
            <w:proofErr w:type="spellEnd"/>
            <w:r>
              <w:rPr>
                <w:lang w:val="en-GB"/>
              </w:rPr>
              <w:t xml:space="preserve"> </w:t>
            </w:r>
            <w:proofErr w:type="spellStart"/>
            <w:r>
              <w:rPr>
                <w:lang w:val="en-GB"/>
              </w:rPr>
              <w:t>Europejski</w:t>
            </w:r>
            <w:proofErr w:type="spellEnd"/>
          </w:p>
          <w:p w14:paraId="2BF8D90B" w14:textId="77777777" w:rsidR="00757DD5" w:rsidRPr="00695D15" w:rsidRDefault="007362E8" w:rsidP="00425111">
            <w:pPr>
              <w:pStyle w:val="EPTerm"/>
              <w:rPr>
                <w:rStyle w:val="HideTWBExt"/>
                <w:vanish w:val="0"/>
                <w:lang w:val="en-GB"/>
              </w:rPr>
            </w:pPr>
            <w:r>
              <w:rPr>
                <w:lang w:val="en-GB"/>
              </w:rPr>
              <w:t>2024-2029</w:t>
            </w:r>
          </w:p>
        </w:tc>
        <w:tc>
          <w:tcPr>
            <w:tcW w:w="2268" w:type="dxa"/>
            <w:shd w:val="clear" w:color="auto" w:fill="auto"/>
          </w:tcPr>
          <w:p w14:paraId="04AB3F09" w14:textId="77777777" w:rsidR="00757DD5" w:rsidRPr="00695D15" w:rsidRDefault="00172070" w:rsidP="00425111">
            <w:pPr>
              <w:pStyle w:val="EPLogo"/>
            </w:pPr>
            <w:r w:rsidRPr="00695D15">
              <w:rPr>
                <w:noProof/>
              </w:rPr>
              <w:drawing>
                <wp:inline distT="0" distB="0" distL="0" distR="0" wp14:anchorId="414CAA4F" wp14:editId="352E626E">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1D9BC8B7" w14:textId="77777777" w:rsidR="008E7632" w:rsidRPr="00061199" w:rsidRDefault="008E7632" w:rsidP="008E7632">
      <w:pPr>
        <w:pStyle w:val="LineTop"/>
        <w:rPr>
          <w:lang w:val="en-GB"/>
        </w:rPr>
      </w:pPr>
    </w:p>
    <w:p w14:paraId="7C6FE8C5" w14:textId="77777777" w:rsidR="008E7632" w:rsidRPr="00EC3F4B" w:rsidRDefault="007362E8" w:rsidP="008E7632">
      <w:pPr>
        <w:pStyle w:val="ZSessionDoc"/>
        <w:rPr>
          <w:b/>
          <w:i w:val="0"/>
          <w:lang w:val="pl-PL"/>
        </w:rPr>
      </w:pPr>
      <w:r w:rsidRPr="00EC3F4B">
        <w:rPr>
          <w:b/>
          <w:i w:val="0"/>
          <w:lang w:val="pl-PL"/>
        </w:rPr>
        <w:t>TEKSTY PRZYJĘTE</w:t>
      </w:r>
    </w:p>
    <w:p w14:paraId="6C41DB07" w14:textId="77777777" w:rsidR="008E7632" w:rsidRPr="00EC3F4B" w:rsidRDefault="007362E8" w:rsidP="008E7632">
      <w:pPr>
        <w:pStyle w:val="LineBottom"/>
        <w:rPr>
          <w:lang w:val="pl-PL"/>
        </w:rPr>
      </w:pPr>
      <w:r w:rsidRPr="00EC3F4B">
        <w:rPr>
          <w:rFonts w:cs="Arial"/>
          <w:i/>
          <w:sz w:val="20"/>
          <w:szCs w:val="22"/>
          <w:lang w:val="pl-PL"/>
        </w:rPr>
        <w:t xml:space="preserve"> </w:t>
      </w:r>
    </w:p>
    <w:p w14:paraId="357C9959" w14:textId="572FB86D" w:rsidR="009C4014" w:rsidRPr="00EC3F4B" w:rsidRDefault="007362E8" w:rsidP="008E7632">
      <w:pPr>
        <w:pStyle w:val="ATHeading1"/>
        <w:spacing w:before="480"/>
        <w:rPr>
          <w:lang w:val="pl-PL"/>
        </w:rPr>
      </w:pPr>
      <w:bookmarkStart w:id="0" w:name="TA_Heading"/>
      <w:r w:rsidRPr="00EC3F4B">
        <w:rPr>
          <w:lang w:val="pl-PL"/>
        </w:rPr>
        <w:t>P10_TA(2026)</w:t>
      </w:r>
      <w:bookmarkStart w:id="1" w:name="TANumber"/>
      <w:bookmarkEnd w:id="0"/>
      <w:r w:rsidRPr="00EC3F4B">
        <w:rPr>
          <w:lang w:val="pl-PL"/>
        </w:rPr>
        <w:t>0</w:t>
      </w:r>
      <w:bookmarkEnd w:id="1"/>
      <w:r w:rsidR="00DF764D">
        <w:rPr>
          <w:lang w:val="pl-PL"/>
        </w:rPr>
        <w:t>240</w:t>
      </w:r>
    </w:p>
    <w:p w14:paraId="0813C447" w14:textId="5FA4C138" w:rsidR="009C4014" w:rsidRPr="00EC3F4B" w:rsidRDefault="00EC3F4B" w:rsidP="007362E8">
      <w:pPr>
        <w:pStyle w:val="ATHeading2"/>
        <w:rPr>
          <w:lang w:val="pl-PL"/>
        </w:rPr>
      </w:pPr>
      <w:r w:rsidRPr="00EC3F4B">
        <w:rPr>
          <w:lang w:val="pl-PL"/>
        </w:rPr>
        <w:t>Tymczasowe wsparcie i wypłata zaliczek w odpowiedzi na wzrost cen nawozów spowodowany kryzysem na Bliskim Wschodzi</w:t>
      </w:r>
      <w:r>
        <w:rPr>
          <w:lang w:val="pl-PL"/>
        </w:rPr>
        <w:t>e</w:t>
      </w:r>
      <w:r w:rsidR="009C4014" w:rsidRPr="00EC3F4B">
        <w:rPr>
          <w:lang w:val="pl-PL"/>
        </w:rPr>
        <w:t xml:space="preserve"> </w:t>
      </w:r>
      <w:bookmarkStart w:id="2" w:name="Etoiles"/>
      <w:bookmarkEnd w:id="2"/>
    </w:p>
    <w:p w14:paraId="795D7C34" w14:textId="77777777" w:rsidR="009C4014" w:rsidRPr="007362E8" w:rsidRDefault="009C4014" w:rsidP="009C4014">
      <w:pPr>
        <w:rPr>
          <w:i/>
          <w:vanish/>
          <w:lang w:val="pl-PL"/>
        </w:rPr>
      </w:pPr>
      <w:r>
        <w:rPr>
          <w:i/>
        </w:rPr>
        <w:fldChar w:fldCharType="begin"/>
      </w:r>
      <w:r w:rsidRPr="007362E8">
        <w:rPr>
          <w:i/>
          <w:lang w:val="pl-PL"/>
        </w:rPr>
        <w:instrText xml:space="preserve"> TC"</w:instrText>
      </w:r>
      <w:bookmarkStart w:id="3" w:name="DocNumber"/>
      <w:r w:rsidR="007362E8" w:rsidRPr="007362E8">
        <w:rPr>
          <w:i/>
          <w:lang w:val="pl-PL"/>
        </w:rPr>
        <w:instrText>(C10-0139/2026)</w:instrText>
      </w:r>
      <w:bookmarkEnd w:id="3"/>
      <w:r w:rsidRPr="007362E8">
        <w:rPr>
          <w:i/>
          <w:lang w:val="pl-PL"/>
        </w:rPr>
        <w:instrText xml:space="preserve">"\l3 \n&gt; \* MERGEFORMAT </w:instrText>
      </w:r>
      <w:r>
        <w:rPr>
          <w:i/>
        </w:rPr>
        <w:fldChar w:fldCharType="end"/>
      </w:r>
    </w:p>
    <w:p w14:paraId="1272E1BC" w14:textId="0E7BBB7E" w:rsidR="007362E8" w:rsidRPr="007362E8" w:rsidRDefault="007362E8" w:rsidP="009C4014">
      <w:pPr>
        <w:rPr>
          <w:vanish/>
          <w:lang w:val="pl-PL"/>
        </w:rPr>
      </w:pPr>
      <w:bookmarkStart w:id="4" w:name="Commission"/>
      <w:r w:rsidRPr="007362E8">
        <w:rPr>
          <w:vanish/>
          <w:lang w:val="pl-PL"/>
        </w:rPr>
        <w:t>Komisja Rolnictwa i Rozwoju</w:t>
      </w:r>
      <w:r w:rsidR="00CA020B">
        <w:rPr>
          <w:vanish/>
          <w:lang w:val="pl-PL"/>
        </w:rPr>
        <w:t xml:space="preserve"> Wsi</w:t>
      </w:r>
    </w:p>
    <w:p w14:paraId="5C4AB31A" w14:textId="77777777" w:rsidR="009C4014" w:rsidRPr="007362E8" w:rsidRDefault="007362E8" w:rsidP="009C4014">
      <w:pPr>
        <w:rPr>
          <w:vanish/>
          <w:lang w:val="pl-PL"/>
        </w:rPr>
      </w:pPr>
      <w:bookmarkStart w:id="5" w:name="PE"/>
      <w:bookmarkEnd w:id="4"/>
      <w:r w:rsidRPr="007362E8">
        <w:rPr>
          <w:vanish/>
          <w:lang w:val="pl-PL"/>
        </w:rPr>
        <w:t>PE789.799</w:t>
      </w:r>
      <w:bookmarkEnd w:id="5"/>
    </w:p>
    <w:p w14:paraId="38C5C310" w14:textId="0021D138" w:rsidR="009C4014" w:rsidRPr="009A3BE1" w:rsidRDefault="007362E8" w:rsidP="007362E8">
      <w:pPr>
        <w:pStyle w:val="ATHeading3"/>
        <w:rPr>
          <w:lang w:val="pl-PL"/>
        </w:rPr>
      </w:pPr>
      <w:bookmarkStart w:id="6" w:name="Sujet"/>
      <w:r w:rsidRPr="007362E8">
        <w:rPr>
          <w:lang w:val="pl-PL"/>
        </w:rPr>
        <w:t xml:space="preserve">Rezolucja ustawodawcza Parlamentu Europejskiego z dnia7 lipca 2026 r. </w:t>
      </w:r>
      <w:r w:rsidR="00CA020B">
        <w:rPr>
          <w:lang w:val="pl-PL"/>
        </w:rPr>
        <w:t>w sprawie wniosku dotyczącego rozporządzenia</w:t>
      </w:r>
      <w:r w:rsidRPr="007362E8">
        <w:rPr>
          <w:lang w:val="pl-PL"/>
        </w:rPr>
        <w:t xml:space="preserve"> </w:t>
      </w:r>
      <w:r w:rsidR="00CA020B">
        <w:rPr>
          <w:lang w:val="pl-PL"/>
        </w:rPr>
        <w:t>Parlamentu Europejskiego i rady</w:t>
      </w:r>
      <w:r w:rsidRPr="007362E8">
        <w:rPr>
          <w:lang w:val="pl-PL"/>
        </w:rPr>
        <w:t xml:space="preserve"> </w:t>
      </w:r>
      <w:bookmarkEnd w:id="6"/>
      <w:r w:rsidR="00E73B02" w:rsidRPr="007362E8">
        <w:rPr>
          <w:lang w:val="pl-PL"/>
        </w:rPr>
        <w:t xml:space="preserve"> </w:t>
      </w:r>
      <w:r w:rsidRPr="007362E8">
        <w:rPr>
          <w:rFonts w:eastAsia="Calibri"/>
          <w:color w:val="000000"/>
          <w:szCs w:val="22"/>
          <w:lang w:val="pl-PL" w:eastAsia="en-US"/>
        </w:rPr>
        <w:t>w sprawie zmiany rozporządzenia (UE) 2021/2115 w odniesieniu do szczególnego rodzaju interwencji w celu zapewnienia nadzwyczajnego tymczasowego wsparcia w ramach Europejskiego Funduszu Rolnego na rzecz Rozwoju Obszarów Wiejskich (EFRROW) oraz możliwości dostosowania przydziałów na płatności bezpośrednie na rok kalendarzowy 2027, a także zmiany rozporządzenia (UE) 2021/2116 w odniesieniu do bardziej elastycznych zasad wypłaty zaliczek w odpowiedzi na wzrost cen nawozów spowodowany kryzysem na Bliskim Wschodzie</w:t>
      </w:r>
      <w:r w:rsidR="009A3BE1">
        <w:rPr>
          <w:rFonts w:eastAsia="Calibri"/>
          <w:color w:val="000000"/>
          <w:szCs w:val="22"/>
          <w:lang w:val="pl-PL" w:eastAsia="en-US"/>
        </w:rPr>
        <w:t xml:space="preserve"> </w:t>
      </w:r>
      <w:r w:rsidR="009A3BE1" w:rsidRPr="009A3BE1">
        <w:rPr>
          <w:lang w:val="pl-PL"/>
        </w:rPr>
        <w:t>(COM(2026)0282 – C10-0139/2026 – 2026/0150(COD))</w:t>
      </w:r>
    </w:p>
    <w:p w14:paraId="30AC97A3" w14:textId="20972EB3" w:rsidR="007362E8" w:rsidRPr="00CA020B" w:rsidRDefault="007362E8" w:rsidP="007362E8">
      <w:pPr>
        <w:pStyle w:val="ATHeading3"/>
        <w:rPr>
          <w:lang w:val="pl-PL"/>
        </w:rPr>
      </w:pPr>
      <w:bookmarkStart w:id="7" w:name="TextBodyBegin"/>
      <w:bookmarkEnd w:id="7"/>
      <w:r w:rsidRPr="00CA020B">
        <w:rPr>
          <w:lang w:val="pl-PL"/>
        </w:rPr>
        <w:t>(</w:t>
      </w:r>
      <w:r w:rsidR="00CA020B" w:rsidRPr="00CA020B">
        <w:rPr>
          <w:lang w:val="pl-PL"/>
        </w:rPr>
        <w:t>Zwykła procedura ustawodawcza: pierwsze czytanie</w:t>
      </w:r>
      <w:r w:rsidRPr="00CA020B">
        <w:rPr>
          <w:lang w:val="pl-PL"/>
        </w:rPr>
        <w:t>)</w:t>
      </w:r>
    </w:p>
    <w:p w14:paraId="15D915C1" w14:textId="77777777" w:rsidR="006E5420" w:rsidRPr="009A3BE1" w:rsidRDefault="007362E8" w:rsidP="008B1C2E">
      <w:pPr>
        <w:pStyle w:val="Normal12"/>
        <w:spacing w:before="360"/>
        <w:rPr>
          <w:i/>
          <w:szCs w:val="24"/>
          <w:lang w:val="pl-PL"/>
        </w:rPr>
      </w:pPr>
      <w:r w:rsidRPr="009A3BE1">
        <w:rPr>
          <w:i/>
          <w:szCs w:val="24"/>
          <w:lang w:val="pl-PL"/>
        </w:rPr>
        <w:t>Parlament Europejski,</w:t>
      </w:r>
    </w:p>
    <w:p w14:paraId="05EBCB1A" w14:textId="0DE1AEC9" w:rsidR="007362E8" w:rsidRPr="00CA020B" w:rsidRDefault="007362E8" w:rsidP="007362E8">
      <w:pPr>
        <w:spacing w:after="240"/>
        <w:ind w:left="567" w:hanging="567"/>
        <w:rPr>
          <w:snapToGrid w:val="0"/>
          <w:lang w:val="pl-PL"/>
        </w:rPr>
      </w:pPr>
      <w:r w:rsidRPr="00CA020B">
        <w:rPr>
          <w:snapToGrid w:val="0"/>
          <w:lang w:val="pl-PL"/>
        </w:rPr>
        <w:t>–</w:t>
      </w:r>
      <w:r w:rsidRPr="00CA020B">
        <w:rPr>
          <w:snapToGrid w:val="0"/>
          <w:lang w:val="pl-PL"/>
        </w:rPr>
        <w:tab/>
      </w:r>
      <w:r w:rsidR="00CA020B" w:rsidRPr="00CA020B">
        <w:rPr>
          <w:lang w:val="pl-PL"/>
        </w:rPr>
        <w:t>uwzględniając wniosek Komisji przedstawiony Parlamentowi Europejskiemu i Radzie</w:t>
      </w:r>
      <w:r w:rsidR="00CA020B">
        <w:rPr>
          <w:lang w:val="pl-PL"/>
        </w:rPr>
        <w:t xml:space="preserve"> </w:t>
      </w:r>
      <w:r w:rsidRPr="00CA020B">
        <w:rPr>
          <w:snapToGrid w:val="0"/>
          <w:lang w:val="pl-PL"/>
        </w:rPr>
        <w:t>(COM(2026)0282),</w:t>
      </w:r>
    </w:p>
    <w:p w14:paraId="41DB693B" w14:textId="5848F5D9" w:rsidR="007362E8" w:rsidRPr="00CA020B" w:rsidRDefault="007362E8" w:rsidP="007362E8">
      <w:pPr>
        <w:spacing w:after="240"/>
        <w:ind w:left="567" w:hanging="567"/>
        <w:rPr>
          <w:snapToGrid w:val="0"/>
          <w:lang w:val="pl-PL"/>
        </w:rPr>
      </w:pPr>
      <w:r w:rsidRPr="00CA020B">
        <w:rPr>
          <w:snapToGrid w:val="0"/>
          <w:lang w:val="pl-PL"/>
        </w:rPr>
        <w:t>–</w:t>
      </w:r>
      <w:r w:rsidRPr="00CA020B">
        <w:rPr>
          <w:snapToGrid w:val="0"/>
          <w:lang w:val="pl-PL"/>
        </w:rPr>
        <w:tab/>
      </w:r>
      <w:r w:rsidR="00CA020B" w:rsidRPr="00CA020B">
        <w:rPr>
          <w:lang w:val="pl-PL"/>
        </w:rPr>
        <w:t xml:space="preserve">uwzględniając art. 294 ust. 2 i </w:t>
      </w:r>
      <w:r w:rsidR="00CA020B" w:rsidRPr="00CA020B">
        <w:rPr>
          <w:snapToGrid w:val="0"/>
          <w:lang w:val="pl-PL"/>
        </w:rPr>
        <w:t>art.</w:t>
      </w:r>
      <w:r w:rsidRPr="00CA020B">
        <w:rPr>
          <w:snapToGrid w:val="0"/>
          <w:lang w:val="pl-PL"/>
        </w:rPr>
        <w:t> 43</w:t>
      </w:r>
      <w:r w:rsidR="00CA020B" w:rsidRPr="00CA020B">
        <w:rPr>
          <w:snapToGrid w:val="0"/>
          <w:lang w:val="pl-PL"/>
        </w:rPr>
        <w:t xml:space="preserve"> ust. </w:t>
      </w:r>
      <w:r w:rsidRPr="00CA020B">
        <w:rPr>
          <w:snapToGrid w:val="0"/>
          <w:lang w:val="pl-PL"/>
        </w:rPr>
        <w:t xml:space="preserve">2 </w:t>
      </w:r>
      <w:r w:rsidR="00CA020B" w:rsidRPr="00CA020B">
        <w:rPr>
          <w:lang w:val="pl-PL"/>
        </w:rPr>
        <w:t>Traktatu o funkcjonowaniu Unii Europejskiej, zgodnie z którymi wniosek został przedstawiony Parlamentowi przez Komisję</w:t>
      </w:r>
      <w:r w:rsidRPr="00CA020B">
        <w:rPr>
          <w:snapToGrid w:val="0"/>
          <w:lang w:val="pl-PL"/>
        </w:rPr>
        <w:t xml:space="preserve"> (C10-0139/2026),</w:t>
      </w:r>
    </w:p>
    <w:p w14:paraId="0A268C70" w14:textId="77777777" w:rsidR="00CA020B" w:rsidRDefault="007362E8" w:rsidP="00CA020B">
      <w:pPr>
        <w:spacing w:after="240"/>
        <w:ind w:left="567" w:hanging="567"/>
        <w:rPr>
          <w:snapToGrid w:val="0"/>
          <w:lang w:val="pl-PL"/>
        </w:rPr>
      </w:pPr>
      <w:r w:rsidRPr="00CA020B">
        <w:rPr>
          <w:snapToGrid w:val="0"/>
          <w:lang w:val="pl-PL"/>
        </w:rPr>
        <w:t>–</w:t>
      </w:r>
      <w:r w:rsidRPr="00CA020B">
        <w:rPr>
          <w:snapToGrid w:val="0"/>
          <w:lang w:val="pl-PL"/>
        </w:rPr>
        <w:tab/>
      </w:r>
      <w:r w:rsidR="00CA020B" w:rsidRPr="00CA020B">
        <w:rPr>
          <w:lang w:val="pl-PL"/>
        </w:rPr>
        <w:t>uwzględniając art. 294 ust. 3 Traktatu o funkcjonowaniu Unii Europejskiej</w:t>
      </w:r>
      <w:r w:rsidRPr="00CA020B">
        <w:rPr>
          <w:snapToGrid w:val="0"/>
          <w:lang w:val="pl-PL"/>
        </w:rPr>
        <w:t>,</w:t>
      </w:r>
    </w:p>
    <w:p w14:paraId="31935DEA" w14:textId="03E65159" w:rsidR="007362E8" w:rsidRPr="00CA020B" w:rsidRDefault="00CA020B" w:rsidP="00CA020B">
      <w:pPr>
        <w:spacing w:after="240"/>
        <w:ind w:left="567" w:hanging="567"/>
        <w:rPr>
          <w:snapToGrid w:val="0"/>
          <w:lang w:val="pl-PL"/>
        </w:rPr>
      </w:pPr>
      <w:r w:rsidRPr="00CA020B">
        <w:rPr>
          <w:szCs w:val="24"/>
          <w:lang w:val="pl-PL"/>
        </w:rPr>
        <w:t>–</w:t>
      </w:r>
      <w:r w:rsidRPr="00CA020B">
        <w:rPr>
          <w:szCs w:val="24"/>
          <w:lang w:val="pl-PL"/>
        </w:rPr>
        <w:tab/>
        <w:t xml:space="preserve">po konsultacji z </w:t>
      </w:r>
      <w:r>
        <w:rPr>
          <w:szCs w:val="24"/>
          <w:lang w:val="pl-PL"/>
        </w:rPr>
        <w:t>E</w:t>
      </w:r>
      <w:r w:rsidRPr="00CA020B">
        <w:rPr>
          <w:snapToGrid w:val="0"/>
          <w:lang w:val="pl-PL"/>
        </w:rPr>
        <w:t>uropejskim Komitetem Ekonomiczno-Społecznym</w:t>
      </w:r>
      <w:r w:rsidR="007362E8" w:rsidRPr="00CA020B">
        <w:rPr>
          <w:snapToGrid w:val="0"/>
          <w:lang w:val="pl-PL"/>
        </w:rPr>
        <w:t>,</w:t>
      </w:r>
    </w:p>
    <w:p w14:paraId="56811649" w14:textId="77777777" w:rsidR="00CA020B" w:rsidRPr="00CA020B" w:rsidRDefault="00CA020B" w:rsidP="00CA020B">
      <w:pPr>
        <w:pStyle w:val="Normal12Hanging"/>
        <w:ind w:left="567" w:hanging="567"/>
        <w:rPr>
          <w:szCs w:val="24"/>
          <w:lang w:val="pl-PL"/>
        </w:rPr>
      </w:pPr>
      <w:bookmarkStart w:id="8" w:name="_Hlk213406732"/>
      <w:r w:rsidRPr="00CA020B">
        <w:rPr>
          <w:szCs w:val="24"/>
          <w:lang w:val="pl-PL"/>
        </w:rPr>
        <w:t>–</w:t>
      </w:r>
      <w:r w:rsidRPr="00CA020B">
        <w:rPr>
          <w:szCs w:val="24"/>
          <w:lang w:val="pl-PL"/>
        </w:rPr>
        <w:tab/>
        <w:t>uwzględniając zobowiązanie przedstawiciela Rady, przekazane pismem z dnia 17 czerwca 2026 r., do zatwierdzenia stanowiska Parlamentu Europejskiego, zgodnie z art. 294 ust. 4 Traktatu o funkcjonowaniu Unii Europejskiej,</w:t>
      </w:r>
    </w:p>
    <w:bookmarkEnd w:id="8"/>
    <w:p w14:paraId="3369609C" w14:textId="53BE9DD7" w:rsidR="007362E8" w:rsidRPr="00CA020B" w:rsidRDefault="007362E8" w:rsidP="007362E8">
      <w:pPr>
        <w:spacing w:after="240"/>
        <w:ind w:left="567" w:hanging="567"/>
        <w:rPr>
          <w:snapToGrid w:val="0"/>
          <w:lang w:val="pl-PL"/>
        </w:rPr>
      </w:pPr>
      <w:r w:rsidRPr="00CA020B">
        <w:rPr>
          <w:snapToGrid w:val="0"/>
          <w:lang w:val="pl-PL"/>
        </w:rPr>
        <w:t>–</w:t>
      </w:r>
      <w:r w:rsidRPr="00CA020B">
        <w:rPr>
          <w:snapToGrid w:val="0"/>
          <w:lang w:val="pl-PL"/>
        </w:rPr>
        <w:tab/>
      </w:r>
      <w:r w:rsidR="00CA020B" w:rsidRPr="00CA020B">
        <w:rPr>
          <w:lang w:val="pl-PL"/>
        </w:rPr>
        <w:t xml:space="preserve">uwzględniając art. 60 </w:t>
      </w:r>
      <w:r w:rsidR="00CA020B" w:rsidRPr="00CA020B">
        <w:rPr>
          <w:snapToGrid w:val="0"/>
          <w:lang w:val="pl-PL"/>
        </w:rPr>
        <w:t>i</w:t>
      </w:r>
      <w:r w:rsidRPr="00CA020B">
        <w:rPr>
          <w:snapToGrid w:val="0"/>
          <w:lang w:val="pl-PL"/>
        </w:rPr>
        <w:t xml:space="preserve"> </w:t>
      </w:r>
      <w:r w:rsidR="00CA020B" w:rsidRPr="00CA020B">
        <w:rPr>
          <w:snapToGrid w:val="0"/>
          <w:lang w:val="pl-PL"/>
        </w:rPr>
        <w:t>1</w:t>
      </w:r>
      <w:r w:rsidRPr="00CA020B">
        <w:rPr>
          <w:snapToGrid w:val="0"/>
          <w:lang w:val="pl-PL"/>
        </w:rPr>
        <w:t xml:space="preserve">70 </w:t>
      </w:r>
      <w:r w:rsidR="00CA020B" w:rsidRPr="00CA020B">
        <w:rPr>
          <w:snapToGrid w:val="0"/>
          <w:lang w:val="pl-PL"/>
        </w:rPr>
        <w:t>Regulaminu</w:t>
      </w:r>
      <w:r w:rsidRPr="00CA020B">
        <w:rPr>
          <w:snapToGrid w:val="0"/>
          <w:lang w:val="pl-PL"/>
        </w:rPr>
        <w:t>,</w:t>
      </w:r>
    </w:p>
    <w:p w14:paraId="6CAC0A06" w14:textId="21103E12" w:rsidR="007362E8" w:rsidRPr="00CA020B" w:rsidRDefault="007362E8" w:rsidP="007362E8">
      <w:pPr>
        <w:spacing w:after="240"/>
        <w:ind w:left="567" w:hanging="567"/>
        <w:rPr>
          <w:snapToGrid w:val="0"/>
          <w:lang w:val="pl-PL"/>
        </w:rPr>
      </w:pPr>
      <w:r w:rsidRPr="00CA020B">
        <w:rPr>
          <w:snapToGrid w:val="0"/>
          <w:lang w:val="pl-PL"/>
        </w:rPr>
        <w:t>1.</w:t>
      </w:r>
      <w:r w:rsidRPr="00CA020B">
        <w:rPr>
          <w:snapToGrid w:val="0"/>
          <w:lang w:val="pl-PL"/>
        </w:rPr>
        <w:tab/>
      </w:r>
      <w:r w:rsidR="00CA020B" w:rsidRPr="00CA020B">
        <w:rPr>
          <w:lang w:val="pl-PL"/>
        </w:rPr>
        <w:t>przyjmuje poniższe stanowisko w pierwszym czytaniu;</w:t>
      </w:r>
    </w:p>
    <w:p w14:paraId="1F0981B7" w14:textId="29A569A6" w:rsidR="007362E8" w:rsidRPr="00326CED" w:rsidRDefault="007362E8" w:rsidP="007362E8">
      <w:pPr>
        <w:spacing w:after="240"/>
        <w:ind w:left="567" w:hanging="567"/>
        <w:rPr>
          <w:snapToGrid w:val="0"/>
          <w:lang w:val="pl-PL"/>
        </w:rPr>
      </w:pPr>
      <w:r w:rsidRPr="00326CED">
        <w:rPr>
          <w:snapToGrid w:val="0"/>
          <w:lang w:val="pl-PL"/>
        </w:rPr>
        <w:lastRenderedPageBreak/>
        <w:t>2.</w:t>
      </w:r>
      <w:r w:rsidRPr="00326CED">
        <w:rPr>
          <w:snapToGrid w:val="0"/>
          <w:lang w:val="pl-PL"/>
        </w:rPr>
        <w:tab/>
      </w:r>
      <w:r w:rsidR="00326CED" w:rsidRPr="00326CED">
        <w:rPr>
          <w:lang w:val="pl-PL"/>
        </w:rPr>
        <w:t>zwraca się do Komisji o ponowne przekazanie mu sprawy, jeśli zastąpi ona pierwotny wniosek, wprowadzi w nim istotne zmiany lub planuje ich wprowadzenie</w:t>
      </w:r>
      <w:r w:rsidRPr="00326CED">
        <w:rPr>
          <w:snapToGrid w:val="0"/>
          <w:lang w:val="pl-PL"/>
        </w:rPr>
        <w:t>;</w:t>
      </w:r>
    </w:p>
    <w:p w14:paraId="4AC214EF" w14:textId="1F059112" w:rsidR="007362E8" w:rsidRPr="00326CED" w:rsidRDefault="007362E8" w:rsidP="007362E8">
      <w:pPr>
        <w:spacing w:after="240"/>
        <w:ind w:left="567" w:hanging="567"/>
        <w:rPr>
          <w:snapToGrid w:val="0"/>
          <w:lang w:val="pl-PL"/>
        </w:rPr>
        <w:sectPr w:rsidR="007362E8" w:rsidRPr="00326CED" w:rsidSect="007362E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r w:rsidRPr="00326CED">
        <w:rPr>
          <w:snapToGrid w:val="0"/>
          <w:lang w:val="pl-PL"/>
        </w:rPr>
        <w:t>3.</w:t>
      </w:r>
      <w:r w:rsidRPr="00326CED">
        <w:rPr>
          <w:snapToGrid w:val="0"/>
          <w:lang w:val="pl-PL"/>
        </w:rPr>
        <w:tab/>
      </w:r>
      <w:r w:rsidR="00326CED" w:rsidRPr="00326CED">
        <w:rPr>
          <w:lang w:val="pl-PL"/>
        </w:rPr>
        <w:t>zobowiązuje swoją przewodnicząc</w:t>
      </w:r>
      <w:r w:rsidR="00326CED">
        <w:rPr>
          <w:b/>
          <w:lang w:val="pl-PL"/>
        </w:rPr>
        <w:t>ą</w:t>
      </w:r>
      <w:r w:rsidR="00326CED" w:rsidRPr="00326CED">
        <w:rPr>
          <w:lang w:val="pl-PL"/>
        </w:rPr>
        <w:t xml:space="preserve"> do przekazania stanowiska Parlamentu Radzie i Komisji oraz parlamentom narodowym</w:t>
      </w:r>
      <w:r w:rsidRPr="00326CED">
        <w:rPr>
          <w:snapToGrid w:val="0"/>
          <w:lang w:val="pl-PL"/>
        </w:rPr>
        <w:t>.</w:t>
      </w:r>
    </w:p>
    <w:p w14:paraId="12A9EB4B" w14:textId="77777777" w:rsidR="007362E8" w:rsidRPr="009A3BE1" w:rsidRDefault="007362E8" w:rsidP="007362E8">
      <w:pPr>
        <w:widowControl w:val="0"/>
        <w:autoSpaceDE w:val="0"/>
        <w:autoSpaceDN w:val="0"/>
        <w:adjustRightInd w:val="0"/>
        <w:spacing w:after="240"/>
        <w:rPr>
          <w:rFonts w:eastAsia="Calibri"/>
          <w:b/>
          <w:bCs/>
          <w:color w:val="000000"/>
          <w:szCs w:val="24"/>
          <w:lang w:val="pl-PL"/>
        </w:rPr>
      </w:pPr>
      <w:r w:rsidRPr="009A3BE1">
        <w:rPr>
          <w:rFonts w:eastAsia="Calibri"/>
          <w:b/>
          <w:bCs/>
          <w:color w:val="000000"/>
          <w:szCs w:val="24"/>
          <w:lang w:val="pl-PL"/>
        </w:rPr>
        <w:lastRenderedPageBreak/>
        <w:t>P10_TC1-COD(2026)0150</w:t>
      </w:r>
    </w:p>
    <w:p w14:paraId="113F27ED" w14:textId="24335599" w:rsidR="007362E8" w:rsidRPr="007362E8" w:rsidRDefault="00CA020B" w:rsidP="00CA020B">
      <w:pPr>
        <w:autoSpaceDE w:val="0"/>
        <w:autoSpaceDN w:val="0"/>
        <w:adjustRightInd w:val="0"/>
        <w:spacing w:before="120" w:after="120"/>
        <w:rPr>
          <w:rFonts w:eastAsia="Aptos"/>
          <w:b/>
          <w:color w:val="000000"/>
          <w:szCs w:val="22"/>
          <w:lang w:val="pl-PL" w:eastAsia="en-US"/>
        </w:rPr>
      </w:pPr>
      <w:r>
        <w:rPr>
          <w:b/>
          <w:lang w:val="pl-PL"/>
        </w:rPr>
        <w:t xml:space="preserve">Stanowisko Parlamentu Europejskiego </w:t>
      </w:r>
      <w:r w:rsidRPr="00291A00">
        <w:rPr>
          <w:b/>
          <w:lang w:val="pl-PL"/>
        </w:rPr>
        <w:t xml:space="preserve">przyjęte w pierwszym czytaniu w dniu </w:t>
      </w:r>
      <w:r>
        <w:rPr>
          <w:b/>
          <w:lang w:val="pl-PL"/>
        </w:rPr>
        <w:t>7 lipca 2026 r.</w:t>
      </w:r>
      <w:r w:rsidRPr="00291A00">
        <w:rPr>
          <w:b/>
          <w:lang w:val="pl-PL"/>
        </w:rPr>
        <w:t xml:space="preserve"> </w:t>
      </w:r>
      <w:r w:rsidRPr="00741191">
        <w:rPr>
          <w:b/>
          <w:lang w:val="pl-PL"/>
        </w:rPr>
        <w:t>w celu przyjęcia rozporządzenia Parlamentu Europ</w:t>
      </w:r>
      <w:r>
        <w:rPr>
          <w:b/>
          <w:lang w:val="pl-PL"/>
        </w:rPr>
        <w:t>ejskiego i Rady (UE) 2026/...</w:t>
      </w:r>
      <w:r w:rsidRPr="00741191">
        <w:rPr>
          <w:b/>
          <w:lang w:val="pl-PL"/>
        </w:rPr>
        <w:t xml:space="preserve"> </w:t>
      </w:r>
      <w:r w:rsidRPr="00CA020B">
        <w:rPr>
          <w:rFonts w:eastAsia="Calibri"/>
          <w:b/>
          <w:bCs/>
          <w:szCs w:val="24"/>
          <w:lang w:val="pl-PL"/>
        </w:rPr>
        <w:t>w sprawie zmiany rozporządzenia (UE) 2021/2115 w odniesieniu do szczególnego rodzaju interwencji w celu zapewnienia nadzwyczajnego tymczasowego wsparcia w ramach Europejskiego Funduszu Rolnego na rzecz Rozwoju Obszarów Wiejskich (EFRROW) oraz możliwości dostosowania przydziałów na płatności bezpośrednie na rok kalendarzowy 2027, a także zmiany rozporządzenia (UE) 2021/2116 w odniesieniu do bardziej elastycznych zasad wypłaty zaliczek w odpowiedzi na wzrost cen nawozów spowodowany kryzysem na Bliskim Wschodzie</w:t>
      </w:r>
    </w:p>
    <w:p w14:paraId="3EEB7049" w14:textId="77777777" w:rsidR="007362E8" w:rsidRPr="007362E8" w:rsidRDefault="007362E8" w:rsidP="007362E8">
      <w:pPr>
        <w:keepNext/>
        <w:spacing w:before="600" w:after="120" w:line="360" w:lineRule="auto"/>
        <w:rPr>
          <w:rFonts w:eastAsia="Aptos"/>
          <w:color w:val="000000"/>
          <w:szCs w:val="22"/>
          <w:lang w:val="pl-PL" w:eastAsia="en-US"/>
        </w:rPr>
      </w:pPr>
      <w:r w:rsidRPr="007362E8">
        <w:rPr>
          <w:rFonts w:eastAsia="Calibri"/>
          <w:color w:val="000000"/>
          <w:szCs w:val="22"/>
          <w:lang w:val="pl-PL" w:eastAsia="en-US"/>
        </w:rPr>
        <w:t>PARLAMENT EUROPEJSKI I RADA UNII EUROPEJSKIEJ,</w:t>
      </w:r>
    </w:p>
    <w:p w14:paraId="693F7B68" w14:textId="77777777" w:rsidR="007362E8" w:rsidRPr="007362E8" w:rsidRDefault="007362E8" w:rsidP="007362E8">
      <w:pPr>
        <w:spacing w:after="160" w:line="360" w:lineRule="auto"/>
        <w:rPr>
          <w:rFonts w:eastAsia="Aptos"/>
          <w:color w:val="000000"/>
          <w:kern w:val="2"/>
          <w:szCs w:val="24"/>
          <w:lang w:val="pl-PL" w:eastAsia="en-US"/>
          <w14:ligatures w14:val="standardContextual"/>
        </w:rPr>
      </w:pPr>
      <w:r w:rsidRPr="007362E8">
        <w:rPr>
          <w:rFonts w:eastAsia="Calibri"/>
          <w:color w:val="000000"/>
          <w:szCs w:val="22"/>
          <w:lang w:val="pl-PL" w:eastAsia="en-US"/>
        </w:rPr>
        <w:t>uwzględniając Traktat o funkcjonowaniu Unii Europejskiej, w szczególności jego art. 43 ust. 2,</w:t>
      </w:r>
    </w:p>
    <w:p w14:paraId="436E2B49" w14:textId="77777777" w:rsidR="007362E8" w:rsidRPr="007362E8" w:rsidRDefault="007362E8" w:rsidP="007362E8">
      <w:pPr>
        <w:spacing w:after="160" w:line="360" w:lineRule="auto"/>
        <w:rPr>
          <w:rFonts w:eastAsia="Aptos"/>
          <w:color w:val="000000"/>
          <w:kern w:val="2"/>
          <w:szCs w:val="24"/>
          <w:lang w:val="pl-PL" w:eastAsia="en-US"/>
          <w14:ligatures w14:val="standardContextual"/>
        </w:rPr>
      </w:pPr>
      <w:r w:rsidRPr="007362E8">
        <w:rPr>
          <w:rFonts w:eastAsia="Calibri"/>
          <w:color w:val="000000"/>
          <w:szCs w:val="22"/>
          <w:lang w:val="pl-PL" w:eastAsia="en-US"/>
        </w:rPr>
        <w:t>uwzględniając wniosek Komisji Europejskiej,</w:t>
      </w:r>
    </w:p>
    <w:p w14:paraId="747F5593" w14:textId="77777777" w:rsidR="007362E8" w:rsidRPr="007362E8" w:rsidRDefault="007362E8" w:rsidP="007362E8">
      <w:pPr>
        <w:spacing w:after="160" w:line="360" w:lineRule="auto"/>
        <w:rPr>
          <w:rFonts w:eastAsia="Aptos"/>
          <w:color w:val="000000"/>
          <w:kern w:val="2"/>
          <w:szCs w:val="24"/>
          <w:lang w:val="pl-PL" w:eastAsia="en-US"/>
          <w14:ligatures w14:val="standardContextual"/>
        </w:rPr>
      </w:pPr>
      <w:r w:rsidRPr="007362E8">
        <w:rPr>
          <w:rFonts w:eastAsia="Calibri"/>
          <w:color w:val="000000"/>
          <w:szCs w:val="22"/>
          <w:lang w:val="pl-PL" w:eastAsia="en-US"/>
        </w:rPr>
        <w:t>po przekazaniu projektu aktu ustawodawczego parlamentom narodowym,</w:t>
      </w:r>
    </w:p>
    <w:p w14:paraId="5402E23C" w14:textId="77777777" w:rsidR="007362E8" w:rsidRPr="007362E8" w:rsidRDefault="007362E8" w:rsidP="007362E8">
      <w:pPr>
        <w:spacing w:after="160" w:line="360" w:lineRule="auto"/>
        <w:rPr>
          <w:rFonts w:eastAsia="Aptos"/>
          <w:color w:val="000000"/>
          <w:kern w:val="2"/>
          <w:szCs w:val="24"/>
          <w:lang w:val="pl-PL" w:eastAsia="en-US"/>
          <w14:ligatures w14:val="standardContextual"/>
        </w:rPr>
      </w:pPr>
      <w:r w:rsidRPr="007362E8">
        <w:rPr>
          <w:rFonts w:eastAsia="Calibri"/>
          <w:color w:val="000000"/>
          <w:szCs w:val="22"/>
          <w:lang w:val="pl-PL" w:eastAsia="en-US"/>
        </w:rPr>
        <w:t xml:space="preserve">po konsultacji z Europejskim Komitetem Ekonomiczno-Społecznym, </w:t>
      </w:r>
    </w:p>
    <w:p w14:paraId="0DADFF20" w14:textId="77777777" w:rsidR="007362E8" w:rsidRPr="007362E8" w:rsidRDefault="007362E8" w:rsidP="007362E8">
      <w:pPr>
        <w:spacing w:after="160" w:line="360" w:lineRule="auto"/>
        <w:rPr>
          <w:rFonts w:eastAsia="Aptos"/>
          <w:color w:val="000000"/>
          <w:kern w:val="2"/>
          <w:szCs w:val="24"/>
          <w:lang w:val="pl-PL" w:eastAsia="en-US"/>
          <w14:ligatures w14:val="standardContextual"/>
        </w:rPr>
      </w:pPr>
      <w:r w:rsidRPr="007362E8">
        <w:rPr>
          <w:rFonts w:eastAsia="Calibri"/>
          <w:color w:val="000000"/>
          <w:szCs w:val="22"/>
          <w:lang w:val="pl-PL" w:eastAsia="en-US"/>
        </w:rPr>
        <w:t>stanowiąc zgodnie ze zwykłą procedurą ustawodawczą</w:t>
      </w:r>
      <w:r w:rsidRPr="007362E8">
        <w:rPr>
          <w:rFonts w:eastAsia="Calibri"/>
          <w:color w:val="000000"/>
          <w:szCs w:val="22"/>
          <w:vertAlign w:val="superscript"/>
          <w:lang w:val="pl-PL" w:eastAsia="en-US"/>
        </w:rPr>
        <w:footnoteReference w:id="1"/>
      </w:r>
      <w:r w:rsidRPr="007362E8">
        <w:rPr>
          <w:rFonts w:eastAsia="Calibri"/>
          <w:color w:val="000000"/>
          <w:szCs w:val="22"/>
          <w:lang w:val="pl-PL" w:eastAsia="en-US"/>
        </w:rPr>
        <w:t>,</w:t>
      </w:r>
    </w:p>
    <w:p w14:paraId="6721349B" w14:textId="77777777" w:rsidR="007362E8" w:rsidRPr="007362E8" w:rsidRDefault="007362E8" w:rsidP="007362E8">
      <w:pPr>
        <w:spacing w:after="160" w:line="278" w:lineRule="auto"/>
        <w:rPr>
          <w:rFonts w:eastAsia="Calibri"/>
          <w:color w:val="000000"/>
          <w:szCs w:val="22"/>
          <w:lang w:val="pl-PL" w:eastAsia="en-US"/>
        </w:rPr>
      </w:pPr>
      <w:r w:rsidRPr="007362E8">
        <w:rPr>
          <w:rFonts w:eastAsia="Calibri"/>
          <w:color w:val="000000"/>
          <w:szCs w:val="22"/>
          <w:lang w:val="pl-PL" w:eastAsia="en-US"/>
        </w:rPr>
        <w:br w:type="page"/>
      </w:r>
    </w:p>
    <w:p w14:paraId="7FEC112C" w14:textId="77777777" w:rsidR="007362E8" w:rsidRPr="007362E8" w:rsidRDefault="007362E8" w:rsidP="007362E8">
      <w:pPr>
        <w:spacing w:after="160" w:line="360" w:lineRule="auto"/>
        <w:rPr>
          <w:rFonts w:eastAsia="Aptos"/>
          <w:color w:val="000000"/>
          <w:kern w:val="2"/>
          <w:szCs w:val="24"/>
          <w:lang w:val="pl-PL" w:eastAsia="en-US"/>
          <w14:ligatures w14:val="standardContextual"/>
        </w:rPr>
      </w:pPr>
      <w:r w:rsidRPr="007362E8">
        <w:rPr>
          <w:rFonts w:eastAsia="Calibri"/>
          <w:color w:val="000000"/>
          <w:szCs w:val="22"/>
          <w:lang w:val="pl-PL" w:eastAsia="en-US"/>
        </w:rPr>
        <w:lastRenderedPageBreak/>
        <w:t>a także mając na uwadze, co następuje:</w:t>
      </w:r>
    </w:p>
    <w:p w14:paraId="1E5BB049" w14:textId="77777777" w:rsidR="007362E8" w:rsidRPr="007362E8" w:rsidRDefault="007362E8" w:rsidP="007362E8">
      <w:pPr>
        <w:spacing w:before="120" w:after="120" w:line="360" w:lineRule="auto"/>
        <w:ind w:left="851" w:hanging="851"/>
        <w:rPr>
          <w:rFonts w:eastAsia="Aptos"/>
          <w:color w:val="000000"/>
          <w:szCs w:val="22"/>
          <w:lang w:val="pl-PL" w:eastAsia="en-US"/>
        </w:rPr>
      </w:pPr>
      <w:r w:rsidRPr="007362E8">
        <w:rPr>
          <w:rFonts w:eastAsia="Calibri"/>
          <w:color w:val="000000"/>
          <w:szCs w:val="22"/>
          <w:lang w:val="pl-PL" w:eastAsia="en-US"/>
        </w:rPr>
        <w:t>(1)</w:t>
      </w:r>
      <w:r w:rsidRPr="007362E8">
        <w:rPr>
          <w:rFonts w:eastAsia="Calibri"/>
          <w:color w:val="000000"/>
          <w:szCs w:val="22"/>
          <w:lang w:val="pl-PL" w:eastAsia="en-US"/>
        </w:rPr>
        <w:tab/>
        <w:t>Niedawny kryzys na Bliskim Wschodzie oraz faktyczne zamknięcie cieśniny Ormuz doprowadziły do znacznego wzrostu światowych cen ropy naftowej, gazu i nawozów. Globalny charakter dotkniętych tym kryzysem rynków wywiera znaczący wpływ na ceny w części sektorów gospodarki Unii w państwach członkowskich.</w:t>
      </w:r>
    </w:p>
    <w:p w14:paraId="3E869831"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t>(2)</w:t>
      </w:r>
      <w:r w:rsidRPr="007362E8">
        <w:rPr>
          <w:rFonts w:eastAsia="Calibri"/>
          <w:color w:val="000000"/>
          <w:szCs w:val="22"/>
          <w:lang w:val="pl-PL" w:eastAsia="en-US"/>
        </w:rPr>
        <w:tab/>
        <w:t>Sektor rolny jest bezpośrednio dotknięty znacznym wzrostem cen nawozów, ponieważ nawozy mają zasadnicze znaczenie dla wydajności rolnictwa, rentowności gospodarstw rolnych oraz bezpieczeństwa żywnościowego. Zakup nawozów stanowi jeden z najwyższych kosztów ponoszonych przez rolników. Oprócz poziomu cen, do szczególnego narażenia rolników w Unii prowadzi zmienność rynku. Rosnące koszty nawozów mogą zmusić rolników do ograniczenia ich stosowania, co wiąże się z wyraźnym ryzykiem obniżenia jakości i plonów. Mogłoby to również doprowadzić do zmniejszenia areału uprawianych przez nich gruntów, co z kolei miałoby wpływ na produkcję rolną w Unii.</w:t>
      </w:r>
    </w:p>
    <w:p w14:paraId="4C896811" w14:textId="77777777" w:rsidR="007362E8" w:rsidRPr="007362E8" w:rsidRDefault="007362E8" w:rsidP="007362E8">
      <w:pPr>
        <w:spacing w:after="160" w:line="278" w:lineRule="auto"/>
        <w:rPr>
          <w:rFonts w:eastAsia="Calibri"/>
          <w:color w:val="000000"/>
          <w:szCs w:val="22"/>
          <w:lang w:val="pl-PL" w:eastAsia="en-US"/>
        </w:rPr>
      </w:pPr>
      <w:r w:rsidRPr="007362E8">
        <w:rPr>
          <w:rFonts w:eastAsia="Calibri"/>
          <w:color w:val="000000"/>
          <w:szCs w:val="22"/>
          <w:lang w:val="pl-PL" w:eastAsia="en-US"/>
        </w:rPr>
        <w:br w:type="page"/>
      </w:r>
    </w:p>
    <w:p w14:paraId="4E6A2CF7"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lastRenderedPageBreak/>
        <w:t>(3)</w:t>
      </w:r>
      <w:r w:rsidRPr="007362E8">
        <w:rPr>
          <w:rFonts w:eastAsia="Calibri"/>
          <w:color w:val="000000"/>
          <w:szCs w:val="22"/>
          <w:lang w:val="pl-PL" w:eastAsia="en-US"/>
        </w:rPr>
        <w:tab/>
        <w:t>Aby szybko zaradzić słabym punktom unijnego systemu żywnościowego wynikającym z tego kryzysu oraz pomóc rolnikom mającym problemy z płynnością finansową, należy umożliwić w rozporządzeniu Parlamentu Europejskiego i Rady (UE) 2021/2115</w:t>
      </w:r>
      <w:r w:rsidRPr="007362E8">
        <w:rPr>
          <w:rFonts w:eastAsia="Calibri"/>
          <w:color w:val="000000"/>
          <w:szCs w:val="22"/>
          <w:vertAlign w:val="superscript"/>
          <w:lang w:val="pl-PL" w:eastAsia="en-US"/>
        </w:rPr>
        <w:footnoteReference w:id="2"/>
      </w:r>
      <w:r w:rsidRPr="007362E8">
        <w:rPr>
          <w:rFonts w:eastAsia="Calibri"/>
          <w:color w:val="000000"/>
          <w:szCs w:val="22"/>
          <w:lang w:val="pl-PL" w:eastAsia="en-US"/>
        </w:rPr>
        <w:t xml:space="preserve"> udzielanie nadzwyczajnego i tymczasowego wsparcia poprzez wprowadzenie nowego rodzaju interwencji na potrzeby wsparcia kryzysowego, przewidzianego w ramach Europejskiego Funduszu Rolnego na rzecz Rozwoju Obszarów Wiejskich (EFRROW), oraz przyznanie państwom członkowskim w rozporządzeniu Parlamentu Europejskiego i Rady (UE) 2021/2116</w:t>
      </w:r>
      <w:r w:rsidRPr="007362E8">
        <w:rPr>
          <w:rFonts w:eastAsia="Calibri"/>
          <w:color w:val="000000"/>
          <w:szCs w:val="22"/>
          <w:vertAlign w:val="superscript"/>
          <w:lang w:val="pl-PL" w:eastAsia="en-US"/>
        </w:rPr>
        <w:footnoteReference w:id="3"/>
      </w:r>
      <w:r w:rsidRPr="007362E8">
        <w:rPr>
          <w:rFonts w:eastAsia="Calibri"/>
          <w:color w:val="000000"/>
          <w:szCs w:val="22"/>
          <w:lang w:val="pl-PL" w:eastAsia="en-US"/>
        </w:rPr>
        <w:t xml:space="preserve"> większej elastyczności w zakresie wypłaty zaliczek z tytułu płatności bezpośrednich. Wprowadzenie tego nowego rodzaju interwencji nie powinno prowadzić do zwiększenia limitów stosowania nawozów na gruntach określonych w programach działań na podstawie dyrektywy Rady 91/676/EWG</w:t>
      </w:r>
      <w:r w:rsidRPr="007362E8">
        <w:rPr>
          <w:rFonts w:eastAsia="Calibri"/>
          <w:color w:val="000000"/>
          <w:szCs w:val="22"/>
          <w:vertAlign w:val="superscript"/>
          <w:lang w:val="pl-PL" w:eastAsia="en-US"/>
        </w:rPr>
        <w:footnoteReference w:id="4"/>
      </w:r>
      <w:r w:rsidRPr="007362E8">
        <w:rPr>
          <w:rFonts w:eastAsia="Calibri"/>
          <w:color w:val="000000"/>
          <w:szCs w:val="22"/>
          <w:lang w:val="pl-PL" w:eastAsia="en-US"/>
        </w:rPr>
        <w:t>.</w:t>
      </w:r>
    </w:p>
    <w:p w14:paraId="5A4BE2EF" w14:textId="77777777" w:rsidR="007362E8" w:rsidRPr="007362E8" w:rsidRDefault="007362E8" w:rsidP="007362E8">
      <w:pPr>
        <w:spacing w:after="160" w:line="278" w:lineRule="auto"/>
        <w:rPr>
          <w:rFonts w:eastAsia="Calibri"/>
          <w:color w:val="000000"/>
          <w:szCs w:val="22"/>
          <w:lang w:val="pl-PL" w:eastAsia="en-US"/>
        </w:rPr>
      </w:pPr>
      <w:r w:rsidRPr="007362E8">
        <w:rPr>
          <w:rFonts w:eastAsia="Calibri"/>
          <w:color w:val="000000"/>
          <w:szCs w:val="22"/>
          <w:lang w:val="pl-PL" w:eastAsia="en-US"/>
        </w:rPr>
        <w:br w:type="page"/>
      </w:r>
    </w:p>
    <w:p w14:paraId="2C4DD78C"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lastRenderedPageBreak/>
        <w:t>(4)</w:t>
      </w:r>
      <w:r w:rsidRPr="007362E8">
        <w:rPr>
          <w:rFonts w:eastAsia="Calibri"/>
          <w:color w:val="000000"/>
          <w:szCs w:val="22"/>
          <w:lang w:val="pl-PL" w:eastAsia="en-US"/>
        </w:rPr>
        <w:tab/>
        <w:t>Dostępne wsparcie w ramach nowego rodzaju interwencji powinno koncentrować się na rolnikach aktywnych zawodowo, którzy najbardziej odczuwają wysokie ceny nawozów, i powinno być przyznawane z tytułu dodatkowych kosztów nawozów poniesionych przez rolników w wyniku wzrostu cen od dnia 1 marca 2026 r. Data ta służy wyłącznie jako data odniesienia do ustalenia wyższej ceny nawozów i nie jest związana z kwalifikowalnością płatności na rzecz beneficjentów. Rolnicy, którzy już są objęci zobowiązaniami obszarowymi do ograniczenia stosowania nawozów powinni móc otrzymać wynagrodzenie w postaci wyższej stawki wsparcia. Ponadto beneficjentom pomocy w ramach tego rodzaju interwencji należy zapewnić dostęp do odpowiedniej wiedzy i informacji na temat sposobów ograniczenia stosowania nawozów. Aby zapewnić efektywne wykorzystanie wsparcia publicznego i bardziej sprawiedliwy podział wsparcia między kwalifikującymi się rolnikami, państwa członkowskie powinny ograniczyć maksymalną kwotę wsparcia na beneficjenta lub maksymalną liczbę hektarów objętych wsparciem. Ze względu na pilny, tymczasowy i nadzwyczajny charakter tego wsparcia oraz potrzebę szybkiej wypłaty odpowiednich płatności należy ustalić datę zakończenia płatności na rzecz beneficjentów.</w:t>
      </w:r>
    </w:p>
    <w:p w14:paraId="4152DED7" w14:textId="77777777" w:rsidR="007362E8" w:rsidRPr="007362E8" w:rsidRDefault="007362E8" w:rsidP="007362E8">
      <w:pPr>
        <w:spacing w:after="160" w:line="278" w:lineRule="auto"/>
        <w:rPr>
          <w:rFonts w:eastAsia="Calibri"/>
          <w:color w:val="000000"/>
          <w:szCs w:val="22"/>
          <w:lang w:val="pl-PL" w:eastAsia="en-US"/>
        </w:rPr>
      </w:pPr>
      <w:r w:rsidRPr="007362E8">
        <w:rPr>
          <w:rFonts w:eastAsia="Calibri"/>
          <w:color w:val="000000"/>
          <w:szCs w:val="22"/>
          <w:lang w:val="pl-PL" w:eastAsia="en-US"/>
        </w:rPr>
        <w:br w:type="page"/>
      </w:r>
    </w:p>
    <w:p w14:paraId="233BB4CD"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lastRenderedPageBreak/>
        <w:t>(5)</w:t>
      </w:r>
      <w:r w:rsidRPr="007362E8">
        <w:rPr>
          <w:rFonts w:eastAsia="Calibri"/>
          <w:color w:val="000000"/>
          <w:szCs w:val="22"/>
          <w:lang w:val="pl-PL" w:eastAsia="en-US"/>
        </w:rPr>
        <w:tab/>
        <w:t>W celu zagwarantowania należytego zarządzania środkami finansowymi Unii państwa członkowskie powinny zapewnić, by całkowite wsparcie otrzymane przez rolnika w ramach nowego rodzaju interwencji, w połączeniu z innymi krajowymi lub unijnymi instrumentami wsparcia mającymi na celu reagowanie na skutki wysokich cen nawozów, nie prowadziło do nadmiernej rekompensaty ani podwójnego finansowania.</w:t>
      </w:r>
    </w:p>
    <w:p w14:paraId="4493D605"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t>(6)</w:t>
      </w:r>
      <w:r w:rsidRPr="007362E8">
        <w:rPr>
          <w:rFonts w:eastAsia="Calibri"/>
          <w:color w:val="000000"/>
          <w:szCs w:val="22"/>
          <w:lang w:val="pl-PL" w:eastAsia="en-US"/>
        </w:rPr>
        <w:tab/>
        <w:t>W celu zachęcenia do korzystania z instrumentów finansowych w przypadku wsparcia w ramach nowego rodzaju interwencji maksymalne poziomy dofinansowania nie powinny mieć zastosowania, gdy wsparcie przyznaje się w formie samodzielnego kapitału obrotowego.</w:t>
      </w:r>
    </w:p>
    <w:p w14:paraId="76864479"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t>(7)</w:t>
      </w:r>
      <w:r w:rsidRPr="007362E8">
        <w:rPr>
          <w:rFonts w:eastAsia="Calibri"/>
          <w:color w:val="000000"/>
          <w:szCs w:val="22"/>
          <w:lang w:val="pl-PL" w:eastAsia="en-US"/>
        </w:rPr>
        <w:tab/>
        <w:t>Aby uniknąć opóźnień w dokonywaniu płatności na rzecz rolników mających problemy z płynnością finansową, należy wprowadzić przepis przewidujący, że kwalifikowalność wydatków finansowanych z EFRROW do nowego rodzaju interwencji może rozpocząć się od daty wejścia w życie niniejszego rozporządzenia i przed przedłożeniem Komisji przez państwo członkowskie wniosku o strategiczną zmianę planu strategicznego WPR wprowadzającą tę interwencję.</w:t>
      </w:r>
    </w:p>
    <w:p w14:paraId="17FDBAD0"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t>(8)</w:t>
      </w:r>
      <w:r w:rsidRPr="007362E8">
        <w:rPr>
          <w:rFonts w:eastAsia="Calibri"/>
          <w:color w:val="000000"/>
          <w:szCs w:val="22"/>
          <w:lang w:val="pl-PL" w:eastAsia="en-US"/>
        </w:rPr>
        <w:tab/>
        <w:t>Finansowanie wsparcia w ramach nowego rodzaju interwencji powinno się programować ze stawką wkładu EFRROW w wysokości do 65 % kwalifikowalnych wydatków publicznych.</w:t>
      </w:r>
    </w:p>
    <w:p w14:paraId="7BF483EB" w14:textId="77777777" w:rsidR="007362E8" w:rsidRPr="007362E8" w:rsidRDefault="007362E8" w:rsidP="007362E8">
      <w:pPr>
        <w:spacing w:after="160" w:line="278" w:lineRule="auto"/>
        <w:rPr>
          <w:rFonts w:eastAsia="Calibri"/>
          <w:color w:val="000000"/>
          <w:szCs w:val="22"/>
          <w:lang w:val="pl-PL" w:eastAsia="en-US"/>
        </w:rPr>
      </w:pPr>
      <w:r w:rsidRPr="007362E8">
        <w:rPr>
          <w:rFonts w:eastAsia="Calibri"/>
          <w:color w:val="000000"/>
          <w:szCs w:val="22"/>
          <w:lang w:val="pl-PL" w:eastAsia="en-US"/>
        </w:rPr>
        <w:br w:type="page"/>
      </w:r>
    </w:p>
    <w:p w14:paraId="6E75BDB6"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lastRenderedPageBreak/>
        <w:t>(9)</w:t>
      </w:r>
      <w:r w:rsidRPr="007362E8">
        <w:rPr>
          <w:rFonts w:eastAsia="Calibri"/>
          <w:color w:val="000000"/>
          <w:szCs w:val="22"/>
          <w:lang w:val="pl-PL" w:eastAsia="en-US"/>
        </w:rPr>
        <w:tab/>
        <w:t>Aby zapewnić odpowiednie finansowanie wsparcia przewidzianego w niniejszym rozporządzeniu bez uszczerbku dla realizacji innych celów planów strategicznych WPR oraz kwot zarezerwowanych na płatności kryzysowe, należy ustalić maksymalny udział wkładu Unii w finansowanie tego nowego rodzaju interwencji.</w:t>
      </w:r>
    </w:p>
    <w:p w14:paraId="35FBEC53"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t>(10)</w:t>
      </w:r>
      <w:r w:rsidRPr="007362E8">
        <w:rPr>
          <w:rFonts w:eastAsia="Calibri"/>
          <w:color w:val="000000"/>
          <w:szCs w:val="22"/>
          <w:lang w:val="pl-PL" w:eastAsia="en-US"/>
        </w:rPr>
        <w:tab/>
        <w:t>Ze względu na szczególny charakter nowego rodzaju interwencji, obowiązek przyczyniania się do osiągania wskaźników rezultatu wymienionych w załączniku I do rozporządzenia (UE) 2021/2115 nie powinien mieć zastosowania do tego nowego rodzaju interwencji.</w:t>
      </w:r>
    </w:p>
    <w:p w14:paraId="1CA5F3B6"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t>(11)</w:t>
      </w:r>
      <w:r w:rsidRPr="007362E8">
        <w:rPr>
          <w:rFonts w:eastAsia="Calibri"/>
          <w:color w:val="000000"/>
          <w:szCs w:val="22"/>
          <w:lang w:val="pl-PL" w:eastAsia="en-US"/>
        </w:rPr>
        <w:tab/>
        <w:t>Przy wprowadzaniu tego nowego rodzaju interwencji do planów strategicznych WPR nie powinno się zaliczać takiego wniosku o zmianę strategiczną do maksymalnej rocznej liczby wniosków o zmiany strategiczne.</w:t>
      </w:r>
    </w:p>
    <w:p w14:paraId="25835281"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t>(12)</w:t>
      </w:r>
      <w:r w:rsidRPr="007362E8">
        <w:rPr>
          <w:rFonts w:eastAsia="Calibri"/>
          <w:color w:val="000000"/>
          <w:szCs w:val="22"/>
          <w:lang w:val="pl-PL" w:eastAsia="en-US"/>
        </w:rPr>
        <w:tab/>
        <w:t>W celu zapewnienia równych warunków działania maksymalne dodatkowe finansowanie krajowe interwencji w ramach nowego rodzaju interwencji powinno być ograniczone do 200 % finansowania z EFRROW dla tego rodzaju interwencji.</w:t>
      </w:r>
    </w:p>
    <w:p w14:paraId="3A00D9FB"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t>(13)</w:t>
      </w:r>
      <w:r w:rsidRPr="007362E8">
        <w:rPr>
          <w:rFonts w:eastAsia="Calibri"/>
          <w:color w:val="000000"/>
          <w:szCs w:val="22"/>
          <w:lang w:val="pl-PL" w:eastAsia="en-US"/>
        </w:rPr>
        <w:tab/>
        <w:t>W załączniku I do rozporządzenia (UE) 2021/2115 należy dodać dodatkowy wskaźnik produktu dla nowego rodzaju interwencji.</w:t>
      </w:r>
    </w:p>
    <w:p w14:paraId="4DB75816"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t>(14)</w:t>
      </w:r>
      <w:r w:rsidRPr="007362E8">
        <w:rPr>
          <w:rFonts w:eastAsia="Calibri"/>
          <w:color w:val="000000"/>
          <w:szCs w:val="22"/>
          <w:lang w:val="pl-PL" w:eastAsia="en-US"/>
        </w:rPr>
        <w:tab/>
        <w:t>Należy zmienić tytuł załącznika XV do rozporządzenia (UE) 2021/2115, aby odzwierciedlić fakt, że limity finansowe wsparcia obejmują finansowanie nowego rodzaju interwencji.</w:t>
      </w:r>
    </w:p>
    <w:p w14:paraId="0DBB1F09" w14:textId="77777777" w:rsidR="007362E8" w:rsidRPr="007362E8" w:rsidRDefault="007362E8" w:rsidP="007362E8">
      <w:pPr>
        <w:spacing w:after="160" w:line="278" w:lineRule="auto"/>
        <w:rPr>
          <w:rFonts w:eastAsia="Calibri"/>
          <w:color w:val="000000"/>
          <w:szCs w:val="22"/>
          <w:lang w:val="pl-PL" w:eastAsia="en-US"/>
        </w:rPr>
      </w:pPr>
      <w:r w:rsidRPr="007362E8">
        <w:rPr>
          <w:rFonts w:eastAsia="Calibri"/>
          <w:color w:val="000000"/>
          <w:szCs w:val="22"/>
          <w:lang w:val="pl-PL" w:eastAsia="en-US"/>
        </w:rPr>
        <w:br w:type="page"/>
      </w:r>
    </w:p>
    <w:p w14:paraId="5EA243FB"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lastRenderedPageBreak/>
        <w:t>(15)</w:t>
      </w:r>
      <w:r w:rsidRPr="007362E8">
        <w:rPr>
          <w:rFonts w:eastAsia="Calibri"/>
          <w:color w:val="000000"/>
          <w:szCs w:val="22"/>
          <w:lang w:val="pl-PL" w:eastAsia="en-US"/>
        </w:rPr>
        <w:tab/>
        <w:t xml:space="preserve">Art. 103 ust. 1 rozporządzenia (UE) 2021/2115 przyznaje państwom członkowskim elastyczność w dostosowywaniu ich przydziałów na płatności bezpośrednie poprzez przesuwanie środków do przydziałów na EFRROW oraz z tych przydziałów na lata kalendarzowe 2023–2026. W celu zapewnienia, aby państwa członkowskie mogły nadal z powodzeniem wdrażać odpowiednie strategie krajowe stanowiące podstawę ich planów strategicznych WPR, w tym strategie radzenia sobie z nieoczekiwanymi kryzysami, takim jak skutki wysokich cen nawozów, należy również umożliwić państwom członkowskim dostosowanie przydziałów środków na płatności bezpośrednie na rok kalendarzowy 2027 do określonego pułapu, na podstawie limitów przesunięć mających zastosowanie do lat kalendarzowych 2023–2026, oraz odpowiednią zmianę ich planów strategicznych WPR. Należy zatem przewidzieć tę możliwość poprzez wprowadzenie nowego przepisu w tytule IV rozporządzenia (UE) 2021/2115 oraz powiązanego z nim nowego załącznika określającego maksymalne kwoty zwiększenia i maksymalne kwoty zmniejszenia dla poszczególnych państw członkowskich. Należy również wprowadzić zmiany w art. 87 ust. 2 rozporządzenia (UE) 2021/2115, aby powierzyć Komisji uprawnienia do przyjęcia aktu delegowanego zmieniającego przydziały dla państw członkowskich ustanowione w załącznikach V i IX do tego rozporządzenia w celu uwzględnienia dostosowań przydziałów na płatności bezpośrednie. Ponadto należy zmienić art. 112 ust. 2 lit. b) rozporządzenia (UE) 2021/2115 w celu wprowadzenia dostosowań w tabeli zawierającej zestawienie dotyczące planu finansowego, o którym mowa w art. 107 ust. 1 lit. e) tego rozporządzenia, a także należy zmienić art. 119 ust. 2 lit. c) tego rozporządzenia w celu uwzględnienia dostosowań w wykazie strategicznych zmian planów strategicznych WPR. Ponadto należy zmienić art. 119 ust. 7 akapit drugi rozporządzenia (UE) 2021/2115 w celu wprowadzenia przepisu przewidującego, iż wniosku o strategiczną zmianę wynikającą z dostosowań nie wlicza się do maksymalnej dopuszczalnej rocznej liczby wniosków o zmianę strategiczną. Należy również zmienić art. 121 akapit drugi lit. b) rozporządzenia (UE) 2021/2115 w celu ujęcia tych dostosowań w wykazie zmian szczególnych przepisów w odniesieniu do których okres przyjęcia aktu delegowanego, o którym mowa w art. 87 ust. 2 tego rozporządzenia, nie jest wliczany do terminu podjęcia działań przez Komisję, o którym mowa w art. 121 akapit pierwszy tego rozporządzenia. </w:t>
      </w:r>
    </w:p>
    <w:p w14:paraId="1216D85E" w14:textId="77777777" w:rsidR="007362E8" w:rsidRPr="007362E8" w:rsidRDefault="007362E8" w:rsidP="007362E8">
      <w:pPr>
        <w:spacing w:after="160" w:line="278" w:lineRule="auto"/>
        <w:rPr>
          <w:rFonts w:eastAsia="Calibri"/>
          <w:color w:val="000000"/>
          <w:szCs w:val="22"/>
          <w:lang w:val="pl-PL" w:eastAsia="en-US"/>
        </w:rPr>
      </w:pPr>
      <w:r w:rsidRPr="007362E8">
        <w:rPr>
          <w:rFonts w:eastAsia="Calibri"/>
          <w:color w:val="000000"/>
          <w:szCs w:val="22"/>
          <w:lang w:val="pl-PL" w:eastAsia="en-US"/>
        </w:rPr>
        <w:br w:type="page"/>
      </w:r>
    </w:p>
    <w:p w14:paraId="11773C02"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lastRenderedPageBreak/>
        <w:t>(16)</w:t>
      </w:r>
      <w:r w:rsidRPr="007362E8">
        <w:rPr>
          <w:rFonts w:eastAsia="Calibri"/>
          <w:color w:val="000000"/>
          <w:szCs w:val="22"/>
          <w:lang w:val="pl-PL" w:eastAsia="en-US"/>
        </w:rPr>
        <w:tab/>
        <w:t xml:space="preserve">Biorąc pod uwagę kryzys na Bliskim Wschodzie i wynikający z niego wzrost cen nawozów oraz narażenie rolników na ryzyko finansowe, obecny poziom zaliczek nie jest już wystarczający. Aby wesprzeć rolników mających problemy z płynnością finansową, a także z uwagi na fakt, iż istnieje duże prawdopodobieństwo, że skutki tego kryzysu utrzymają się przez cały 2026 r., należy zmienić maksymalne wysokości zaliczek na płatności bezpośrednie określone w rozporządzeniu (UE) 2021/2116 w celu umożliwienia wypłaty w wyższej wysokości za ten rok kalendarzowy. Należy zwiększyć maksymalną wysokość zaliczek na płatności bezpośrednie z 70 % do 75 %, w granicach określonych w art. 11 rozporządzenia Parlamentu Europejskiego i Rady (UE, </w:t>
      </w:r>
      <w:proofErr w:type="spellStart"/>
      <w:r w:rsidRPr="007362E8">
        <w:rPr>
          <w:rFonts w:eastAsia="Calibri"/>
          <w:color w:val="000000"/>
          <w:szCs w:val="22"/>
          <w:lang w:val="pl-PL" w:eastAsia="en-US"/>
        </w:rPr>
        <w:t>Euratom</w:t>
      </w:r>
      <w:proofErr w:type="spellEnd"/>
      <w:r w:rsidRPr="007362E8">
        <w:rPr>
          <w:rFonts w:eastAsia="Calibri"/>
          <w:color w:val="000000"/>
          <w:szCs w:val="22"/>
          <w:lang w:val="pl-PL" w:eastAsia="en-US"/>
        </w:rPr>
        <w:t>) 2024/2509</w:t>
      </w:r>
      <w:r w:rsidRPr="007362E8">
        <w:rPr>
          <w:rFonts w:eastAsia="Calibri"/>
          <w:color w:val="000000"/>
          <w:szCs w:val="22"/>
          <w:vertAlign w:val="superscript"/>
          <w:lang w:val="pl-PL" w:eastAsia="en-US"/>
        </w:rPr>
        <w:footnoteReference w:id="5"/>
      </w:r>
      <w:r w:rsidRPr="007362E8">
        <w:rPr>
          <w:rFonts w:eastAsia="Calibri"/>
          <w:color w:val="000000"/>
          <w:szCs w:val="22"/>
          <w:lang w:val="pl-PL" w:eastAsia="en-US"/>
        </w:rPr>
        <w:t xml:space="preserve">. </w:t>
      </w:r>
    </w:p>
    <w:p w14:paraId="2645D280"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t>(17)</w:t>
      </w:r>
      <w:r w:rsidRPr="007362E8">
        <w:rPr>
          <w:rFonts w:eastAsia="Calibri"/>
          <w:color w:val="000000"/>
          <w:szCs w:val="22"/>
          <w:lang w:val="pl-PL" w:eastAsia="en-US"/>
        </w:rPr>
        <w:tab/>
        <w:t>Państwa członkowskie mogą obecnie wypłacać rolnikom zaliczki w okresie od dnia 16 października do dnia 30 listopada danego roku kalendarzowego. Aby wesprzeć rolników mających problemy z płynnością finansową spowodowane wysokimi cenami nawozów, należy przyznać państwom członkowskim większą elastyczność w zakresie terminu wypłaty zaliczek na płatności bezpośrednie oraz umożliwić dokonywanie takich płatności wcześniej w ciągu roku, bezpośrednio po złożeniu wniosku o wsparcie. Biorąc jednak pod uwagę, że zaliczki na płatności bezpośrednie wypłacone przez państwa członkowskie rolnikom w jednym roku kalendarzowym mają być zwracane państwom członkowskim przez Komisję wyłącznie z budżetu na następny rok, zaliczki na płatności bezpośrednie wypłacone beneficjentom przed dniem 16 października 2026 r. należy uznać za dokonane w listopadzie 2026 r. i powinny one być zgłoszone przez państwa członkowskie do zwrotu wraz z deklaracją dotyczącą tego miesiąca, tak aby Komisja zwróciła je na początku 2027 r.</w:t>
      </w:r>
    </w:p>
    <w:p w14:paraId="5FA92DB3" w14:textId="77777777" w:rsidR="007362E8" w:rsidRPr="007362E8" w:rsidRDefault="007362E8" w:rsidP="007362E8">
      <w:pPr>
        <w:spacing w:after="160" w:line="278" w:lineRule="auto"/>
        <w:rPr>
          <w:rFonts w:eastAsia="Calibri"/>
          <w:color w:val="000000"/>
          <w:szCs w:val="22"/>
          <w:lang w:val="pl-PL" w:eastAsia="en-US"/>
        </w:rPr>
      </w:pPr>
      <w:r w:rsidRPr="007362E8">
        <w:rPr>
          <w:rFonts w:eastAsia="Calibri"/>
          <w:color w:val="000000"/>
          <w:szCs w:val="22"/>
          <w:lang w:val="pl-PL" w:eastAsia="en-US"/>
        </w:rPr>
        <w:br w:type="page"/>
      </w:r>
    </w:p>
    <w:p w14:paraId="784B0484"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lastRenderedPageBreak/>
        <w:t>(18)</w:t>
      </w:r>
      <w:r w:rsidRPr="007362E8">
        <w:rPr>
          <w:rFonts w:eastAsia="Calibri"/>
          <w:color w:val="000000"/>
          <w:szCs w:val="22"/>
          <w:lang w:val="pl-PL" w:eastAsia="en-US"/>
        </w:rPr>
        <w:tab/>
      </w:r>
      <w:bookmarkStart w:id="10" w:name="_Hlk230972467"/>
      <w:r w:rsidRPr="007362E8">
        <w:rPr>
          <w:rFonts w:eastAsia="Calibri"/>
          <w:color w:val="000000"/>
          <w:szCs w:val="22"/>
          <w:lang w:val="pl-PL" w:eastAsia="en-US"/>
        </w:rPr>
        <w:t>Art. 59 rozporządzenia (UE) 2021/2116 przyznaje państwom członkowskim elastyczność w zakresie ustanawiania swoich systemów zarządzania i kontroli. Zachęca się państwa członkowskie do dostosowania ich systemów zarządzania i kontroli w celu zapewnienia, aby dodatkowa elastyczność w zakresie terminu i wysokości zaliczek przewidziana w niniejszym rozporządzeniu umożliwiała terminowe i skuteczne wsparcie rolników. W szczególności państwa członkowskie powinny zdecydować, które weryfikacje muszą zakończyć przed wypłatą zaliczek w celu zaspokojenia pilnych potrzeb w zakresie płynności finansowej. W tym kontekście państwa członkowskie powinny również wziąć pod uwagę możliwość odzyskania wszelkich nienależnie wypłaconych zaliczek oraz ochrony interesów finansowych Unii przed dokonaniem płatności końcowej. W momencie dokonywania płatności końcowych państwo członkowskie powinno ocenić ryzyko niezgodności, korzystając z takich możliwości jak kontrole kwalifikowalności i ewentualnych niezgodności oraz odzyskiwanie nienależnie wypłaconych kwot. Jeżeli istnieje skuteczny system zarządzania i kontroli, w tym w zakresie zarządzania należnościami, wystąpienie poważnych uchybień jest mało prawdopodobne.</w:t>
      </w:r>
    </w:p>
    <w:bookmarkEnd w:id="10"/>
    <w:p w14:paraId="70F929A5" w14:textId="77777777" w:rsidR="007362E8" w:rsidRPr="007362E8" w:rsidRDefault="007362E8" w:rsidP="007362E8">
      <w:pPr>
        <w:spacing w:after="160" w:line="278" w:lineRule="auto"/>
        <w:rPr>
          <w:rFonts w:eastAsia="Calibri"/>
          <w:color w:val="000000"/>
          <w:szCs w:val="22"/>
          <w:lang w:val="pl-PL" w:eastAsia="en-US"/>
        </w:rPr>
      </w:pPr>
      <w:r w:rsidRPr="007362E8">
        <w:rPr>
          <w:rFonts w:eastAsia="Calibri"/>
          <w:color w:val="000000"/>
          <w:szCs w:val="22"/>
          <w:lang w:val="pl-PL" w:eastAsia="en-US"/>
        </w:rPr>
        <w:br w:type="page"/>
      </w:r>
    </w:p>
    <w:p w14:paraId="21BF9C26"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lastRenderedPageBreak/>
        <w:t xml:space="preserve"> </w:t>
      </w:r>
    </w:p>
    <w:p w14:paraId="4ED6255C"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t>(19)</w:t>
      </w:r>
      <w:r w:rsidRPr="007362E8">
        <w:rPr>
          <w:rFonts w:eastAsia="Calibri"/>
          <w:color w:val="000000"/>
          <w:szCs w:val="22"/>
          <w:lang w:val="pl-PL" w:eastAsia="en-US"/>
        </w:rPr>
        <w:tab/>
        <w:t>Należy zatem odpowiednio zmienić rozporządzenia (UE) 2021/2115 i (UE) 2021/2116.</w:t>
      </w:r>
    </w:p>
    <w:p w14:paraId="0864262C"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t>(20)</w:t>
      </w:r>
      <w:r w:rsidRPr="007362E8">
        <w:rPr>
          <w:rFonts w:eastAsia="Calibri"/>
          <w:color w:val="000000"/>
          <w:szCs w:val="22"/>
          <w:lang w:val="pl-PL" w:eastAsia="en-US"/>
        </w:rPr>
        <w:tab/>
        <w:t>Ponieważ cele niniejszego rozporządzenia, mianowicie szybkie zaradzenie słabym punktom unijnego systemu żywnościowego wynikającym z niedawnego kryzysu na Bliskim Wschodzie oraz pomoc rolnikom mającym problemy z płynnością finansową, nie mogą zostać osiągnięte w sposób wystarczający przez państwa członkowskie, natomiast ze względu na powiązania między niniejszym rozporządzeniem i innymi instrumentami WPR a także z uwagi na fakt, iż niniejsze rozporządzenie jest nierozerwalnie powiązane z realizacją kluczowych priorytetów Unii, możliwe jest ich lepsze osiągnięcie na poziomie Unii, może ona podjąć działania zgodnie z zasadą pomocniczości określoną w art. 5 Traktatu o Unii Europejskiej. Zgodnie z zasadą proporcjonalności określoną w tym artykule, niniejsze rozporządzenie nie wykracza poza to, co jest konieczne do osiągnięcia tych celów.</w:t>
      </w:r>
    </w:p>
    <w:p w14:paraId="0519211B"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t>(21)</w:t>
      </w:r>
      <w:r w:rsidRPr="007362E8">
        <w:rPr>
          <w:rFonts w:eastAsia="Calibri"/>
          <w:color w:val="000000"/>
          <w:szCs w:val="22"/>
          <w:lang w:val="pl-PL" w:eastAsia="en-US"/>
        </w:rPr>
        <w:tab/>
        <w:t>Z uwagi na pilną potrzebę umożliwienia rolnikom podjęcia w odpowiednim czasie decyzji inwestycyjnych a tym samym zmniejszenia ryzyka spadku produkcji żywnościowej, należy zastosować wyjątek od terminu ośmiu tygodni przewidziany w art. 4 Protokołu nr 1 w sprawie roli parlamentów narodowych w Unii Europejskiej, załączonego do Traktatu o Unii Europejskiej, do Traktatu o funkcjonowaniu Unii Europejskiej i do Traktatu ustanawiającego Europejską Wspólnotę Energii Atomowej.</w:t>
      </w:r>
    </w:p>
    <w:p w14:paraId="3017C859" w14:textId="77777777" w:rsidR="007362E8" w:rsidRPr="007362E8" w:rsidRDefault="007362E8" w:rsidP="007362E8">
      <w:pPr>
        <w:spacing w:before="120" w:after="120" w:line="360" w:lineRule="auto"/>
        <w:ind w:left="851" w:hanging="851"/>
        <w:rPr>
          <w:rFonts w:eastAsia="Calibri"/>
          <w:color w:val="000000"/>
          <w:szCs w:val="22"/>
          <w:lang w:val="pl-PL" w:eastAsia="en-US"/>
        </w:rPr>
      </w:pPr>
      <w:r w:rsidRPr="007362E8">
        <w:rPr>
          <w:rFonts w:eastAsia="Calibri"/>
          <w:color w:val="000000"/>
          <w:szCs w:val="22"/>
          <w:lang w:val="pl-PL" w:eastAsia="en-US"/>
        </w:rPr>
        <w:t>(22)</w:t>
      </w:r>
      <w:r w:rsidRPr="007362E8">
        <w:rPr>
          <w:rFonts w:eastAsia="Calibri"/>
          <w:color w:val="000000"/>
          <w:szCs w:val="22"/>
          <w:lang w:val="pl-PL" w:eastAsia="en-US"/>
        </w:rPr>
        <w:tab/>
        <w:t>Z uwagi na potrzebę podjęcia natychmiastowych działań niniejsze rozporządzenie powinno wejść w życie następnego dnia po jego opublikowaniu w </w:t>
      </w:r>
      <w:r w:rsidRPr="007362E8">
        <w:rPr>
          <w:rFonts w:eastAsia="Calibri"/>
          <w:i/>
          <w:color w:val="000000"/>
          <w:szCs w:val="22"/>
          <w:lang w:val="pl-PL" w:eastAsia="en-US"/>
        </w:rPr>
        <w:t>Dzienniku Urzędowym Unii Europejskiej</w:t>
      </w:r>
      <w:r w:rsidRPr="007362E8">
        <w:rPr>
          <w:rFonts w:eastAsia="Calibri"/>
          <w:color w:val="000000"/>
          <w:szCs w:val="22"/>
          <w:lang w:val="pl-PL" w:eastAsia="en-US"/>
        </w:rPr>
        <w:t>,</w:t>
      </w:r>
    </w:p>
    <w:p w14:paraId="1B6DD95F" w14:textId="77777777" w:rsidR="007362E8" w:rsidRPr="007362E8" w:rsidRDefault="007362E8" w:rsidP="007362E8">
      <w:pPr>
        <w:keepNext/>
        <w:spacing w:before="120" w:after="120"/>
        <w:rPr>
          <w:rFonts w:eastAsia="Calibri"/>
          <w:color w:val="000000"/>
          <w:szCs w:val="22"/>
          <w:lang w:val="pl-PL" w:eastAsia="en-US"/>
        </w:rPr>
      </w:pPr>
      <w:r w:rsidRPr="007362E8">
        <w:rPr>
          <w:rFonts w:eastAsia="Calibri"/>
          <w:color w:val="000000"/>
          <w:szCs w:val="22"/>
          <w:lang w:val="pl-PL" w:eastAsia="en-US"/>
        </w:rPr>
        <w:t>PRZYJMUJĄ NINIEJSZE ROZPORZĄDZENIE:</w:t>
      </w:r>
    </w:p>
    <w:p w14:paraId="6038DF96" w14:textId="77777777" w:rsidR="007362E8" w:rsidRPr="007362E8" w:rsidRDefault="007362E8" w:rsidP="007362E8">
      <w:pPr>
        <w:spacing w:after="160" w:line="278" w:lineRule="auto"/>
        <w:rPr>
          <w:rFonts w:eastAsia="Calibri"/>
          <w:i/>
          <w:color w:val="000000"/>
          <w:szCs w:val="22"/>
          <w:lang w:val="pl-PL" w:eastAsia="en-US"/>
        </w:rPr>
      </w:pPr>
      <w:r w:rsidRPr="007362E8">
        <w:rPr>
          <w:rFonts w:eastAsia="Calibri"/>
          <w:i/>
          <w:color w:val="000000"/>
          <w:szCs w:val="22"/>
          <w:lang w:val="pl-PL" w:eastAsia="en-US"/>
        </w:rPr>
        <w:br w:type="page"/>
      </w:r>
    </w:p>
    <w:p w14:paraId="00E661AD" w14:textId="77777777" w:rsidR="007362E8" w:rsidRPr="007362E8" w:rsidRDefault="007362E8" w:rsidP="007362E8">
      <w:pPr>
        <w:keepNext/>
        <w:spacing w:before="120" w:after="120" w:line="360" w:lineRule="auto"/>
        <w:jc w:val="center"/>
        <w:rPr>
          <w:rFonts w:eastAsia="Calibri"/>
          <w:i/>
          <w:color w:val="000000"/>
          <w:szCs w:val="22"/>
          <w:lang w:val="pl-PL" w:eastAsia="en-US"/>
        </w:rPr>
      </w:pPr>
      <w:r w:rsidRPr="007362E8">
        <w:rPr>
          <w:rFonts w:eastAsia="Calibri"/>
          <w:i/>
          <w:color w:val="000000"/>
          <w:szCs w:val="22"/>
          <w:lang w:val="pl-PL" w:eastAsia="en-US"/>
        </w:rPr>
        <w:lastRenderedPageBreak/>
        <w:t>Artykuł 1</w:t>
      </w:r>
    </w:p>
    <w:p w14:paraId="213DD7B5" w14:textId="77777777" w:rsidR="007362E8" w:rsidRPr="007362E8" w:rsidRDefault="007362E8" w:rsidP="007362E8">
      <w:pPr>
        <w:spacing w:before="120" w:after="120" w:line="360" w:lineRule="auto"/>
        <w:jc w:val="center"/>
        <w:rPr>
          <w:rFonts w:eastAsia="Calibri"/>
          <w:color w:val="000000"/>
          <w:szCs w:val="22"/>
          <w:lang w:val="pl-PL" w:eastAsia="en-US"/>
        </w:rPr>
      </w:pPr>
      <w:r w:rsidRPr="007362E8">
        <w:rPr>
          <w:rFonts w:eastAsia="Calibri"/>
          <w:b/>
          <w:color w:val="000000"/>
          <w:szCs w:val="22"/>
          <w:lang w:val="pl-PL" w:eastAsia="en-US"/>
        </w:rPr>
        <w:t>Zmiany w rozporządzeniu (UE) 2021/2115</w:t>
      </w:r>
    </w:p>
    <w:p w14:paraId="5C88F486" w14:textId="77777777" w:rsidR="007362E8" w:rsidRPr="007362E8" w:rsidRDefault="007362E8" w:rsidP="007362E8">
      <w:pPr>
        <w:spacing w:before="120" w:after="120" w:line="360" w:lineRule="auto"/>
        <w:rPr>
          <w:rFonts w:eastAsia="Calibri"/>
          <w:color w:val="000000"/>
          <w:szCs w:val="22"/>
          <w:lang w:val="pl-PL" w:eastAsia="en-US"/>
        </w:rPr>
      </w:pPr>
      <w:r w:rsidRPr="007362E8">
        <w:rPr>
          <w:rFonts w:eastAsia="Calibri"/>
          <w:color w:val="000000"/>
          <w:szCs w:val="22"/>
          <w:lang w:val="pl-PL" w:eastAsia="en-US"/>
        </w:rPr>
        <w:t>W rozporządzeniu (UE) 2021/2115 wprowadza się następujące zmiany:</w:t>
      </w:r>
    </w:p>
    <w:p w14:paraId="0D199FBF" w14:textId="77777777" w:rsidR="007362E8" w:rsidRPr="007362E8" w:rsidRDefault="007362E8" w:rsidP="007362E8">
      <w:pPr>
        <w:spacing w:before="120" w:after="120" w:line="360" w:lineRule="auto"/>
        <w:ind w:left="850" w:hanging="850"/>
        <w:rPr>
          <w:rFonts w:eastAsia="Calibri"/>
          <w:color w:val="000000"/>
          <w:szCs w:val="22"/>
          <w:lang w:val="pl-PL" w:eastAsia="en-US"/>
        </w:rPr>
      </w:pPr>
      <w:r w:rsidRPr="007362E8">
        <w:rPr>
          <w:rFonts w:eastAsia="Calibri"/>
          <w:color w:val="000000"/>
          <w:szCs w:val="22"/>
          <w:lang w:val="pl-PL" w:eastAsia="en-US"/>
        </w:rPr>
        <w:t>1)</w:t>
      </w:r>
      <w:r w:rsidRPr="007362E8">
        <w:rPr>
          <w:rFonts w:eastAsia="Calibri"/>
          <w:color w:val="000000"/>
          <w:szCs w:val="22"/>
          <w:lang w:val="pl-PL" w:eastAsia="en-US"/>
        </w:rPr>
        <w:tab/>
        <w:t>w art. 69 dodaje się literę w brzmieniu:</w:t>
      </w:r>
    </w:p>
    <w:p w14:paraId="2B122320" w14:textId="77777777" w:rsidR="007362E8" w:rsidRPr="007362E8" w:rsidRDefault="007362E8" w:rsidP="007362E8">
      <w:pPr>
        <w:spacing w:before="120" w:after="120" w:line="360" w:lineRule="auto"/>
        <w:ind w:left="850"/>
        <w:rPr>
          <w:rFonts w:eastAsia="Calibri"/>
          <w:color w:val="000000"/>
          <w:szCs w:val="22"/>
          <w:lang w:val="pl-PL" w:eastAsia="en-US"/>
        </w:rPr>
      </w:pPr>
      <w:r w:rsidRPr="007362E8">
        <w:rPr>
          <w:rFonts w:eastAsia="Calibri"/>
          <w:color w:val="000000"/>
          <w:szCs w:val="22"/>
          <w:lang w:val="pl-PL" w:eastAsia="en-US"/>
        </w:rPr>
        <w:t>„j)</w:t>
      </w:r>
      <w:r w:rsidRPr="007362E8">
        <w:rPr>
          <w:rFonts w:eastAsia="Calibri"/>
          <w:color w:val="000000"/>
          <w:szCs w:val="22"/>
          <w:lang w:val="pl-PL" w:eastAsia="en-US"/>
        </w:rPr>
        <w:tab/>
        <w:t>wsparcie dla rolników dotkniętych znacznym wzrostem cen nawozów spowodowanym kryzysem na Bliskim Wschodzie.”;</w:t>
      </w:r>
    </w:p>
    <w:p w14:paraId="71DA5A10" w14:textId="77777777" w:rsidR="007362E8" w:rsidRPr="007362E8" w:rsidRDefault="007362E8" w:rsidP="007362E8">
      <w:pPr>
        <w:spacing w:before="120" w:after="120" w:line="360" w:lineRule="auto"/>
        <w:ind w:left="850" w:hanging="850"/>
        <w:rPr>
          <w:rFonts w:eastAsia="Calibri"/>
          <w:color w:val="000000"/>
          <w:szCs w:val="22"/>
          <w:lang w:val="pl-PL" w:eastAsia="en-US"/>
        </w:rPr>
      </w:pPr>
      <w:r w:rsidRPr="007362E8">
        <w:rPr>
          <w:rFonts w:eastAsia="Calibri"/>
          <w:color w:val="000000"/>
          <w:szCs w:val="22"/>
          <w:lang w:val="pl-PL" w:eastAsia="en-US"/>
        </w:rPr>
        <w:t>2)</w:t>
      </w:r>
      <w:r w:rsidRPr="007362E8">
        <w:rPr>
          <w:rFonts w:eastAsia="Calibri"/>
          <w:color w:val="000000"/>
          <w:szCs w:val="22"/>
          <w:lang w:val="pl-PL" w:eastAsia="en-US"/>
        </w:rPr>
        <w:tab/>
        <w:t>w tytule III rozdział IV sekcja 1 dodaje się artykuł w brzmieniu:</w:t>
      </w:r>
    </w:p>
    <w:p w14:paraId="60BE170A" w14:textId="77777777" w:rsidR="007362E8" w:rsidRPr="007362E8" w:rsidRDefault="007362E8" w:rsidP="007362E8">
      <w:pPr>
        <w:spacing w:before="120" w:after="120" w:line="360" w:lineRule="auto"/>
        <w:ind w:left="850"/>
        <w:rPr>
          <w:rFonts w:eastAsia="Calibri"/>
          <w:i/>
          <w:iCs/>
          <w:color w:val="000000"/>
          <w:szCs w:val="22"/>
          <w:lang w:val="pl-PL" w:eastAsia="en-US"/>
        </w:rPr>
      </w:pPr>
      <w:r w:rsidRPr="007362E8">
        <w:rPr>
          <w:rFonts w:eastAsia="Calibri"/>
          <w:i/>
          <w:color w:val="000000"/>
          <w:szCs w:val="22"/>
          <w:lang w:val="pl-PL" w:eastAsia="en-US"/>
        </w:rPr>
        <w:t xml:space="preserve">„Artykuł 78b </w:t>
      </w:r>
    </w:p>
    <w:p w14:paraId="7786C4F4" w14:textId="77777777" w:rsidR="007362E8" w:rsidRPr="007362E8" w:rsidRDefault="007362E8" w:rsidP="007362E8">
      <w:pPr>
        <w:spacing w:before="120" w:after="120" w:line="360" w:lineRule="auto"/>
        <w:ind w:left="851"/>
        <w:rPr>
          <w:b/>
          <w:bCs/>
          <w:color w:val="000000"/>
          <w:szCs w:val="22"/>
          <w:lang w:val="pl-PL"/>
        </w:rPr>
      </w:pPr>
      <w:r w:rsidRPr="007362E8">
        <w:rPr>
          <w:b/>
          <w:color w:val="000000"/>
          <w:szCs w:val="22"/>
          <w:lang w:val="pl-PL"/>
        </w:rPr>
        <w:t>Wsparcie dla rolników dotkniętych znacznym wzrostem cen nawozów spowodowanym kryzysem na Bliskim Wschodzie</w:t>
      </w:r>
    </w:p>
    <w:p w14:paraId="083EBB2E" w14:textId="77777777" w:rsidR="007362E8" w:rsidRPr="007362E8" w:rsidRDefault="007362E8" w:rsidP="007362E8">
      <w:pPr>
        <w:spacing w:before="120" w:after="120" w:line="360" w:lineRule="auto"/>
        <w:ind w:left="1418" w:hanging="567"/>
        <w:rPr>
          <w:rFonts w:eastAsia="Calibri"/>
          <w:color w:val="000000"/>
          <w:szCs w:val="22"/>
          <w:lang w:val="pl-PL" w:eastAsia="en-US"/>
        </w:rPr>
      </w:pPr>
      <w:r w:rsidRPr="007362E8">
        <w:rPr>
          <w:rFonts w:eastAsia="Calibri"/>
          <w:color w:val="000000"/>
          <w:szCs w:val="22"/>
          <w:lang w:val="pl-PL" w:eastAsia="en-US"/>
        </w:rPr>
        <w:t>1.</w:t>
      </w:r>
      <w:r w:rsidRPr="007362E8">
        <w:rPr>
          <w:rFonts w:eastAsia="Calibri"/>
          <w:color w:val="000000"/>
          <w:szCs w:val="22"/>
          <w:lang w:val="pl-PL" w:eastAsia="en-US"/>
        </w:rPr>
        <w:tab/>
        <w:t>Państwa członkowskie mogą udzielać nadzwyczajnego tymczasowego wsparcia rolnikom aktywnym zawodowo, którzy odczuwają skutki znacznego wzrostu cen nawozów. Wsparcie takie podlega warunkom określonym w niniejszym artykule i doprecyzowanym przez państwa członkowskie w ich planach strategicznych WPR.</w:t>
      </w:r>
    </w:p>
    <w:p w14:paraId="699F94F9" w14:textId="77777777" w:rsidR="007362E8" w:rsidRPr="007362E8" w:rsidRDefault="007362E8" w:rsidP="007362E8">
      <w:pPr>
        <w:spacing w:before="120" w:after="120" w:line="360" w:lineRule="auto"/>
        <w:ind w:left="1418" w:hanging="567"/>
        <w:rPr>
          <w:rFonts w:eastAsia="Calibri"/>
          <w:color w:val="000000"/>
          <w:szCs w:val="22"/>
          <w:lang w:val="pl-PL" w:eastAsia="en-US"/>
        </w:rPr>
      </w:pPr>
      <w:r w:rsidRPr="007362E8">
        <w:rPr>
          <w:rFonts w:eastAsia="Calibri"/>
          <w:color w:val="000000"/>
          <w:szCs w:val="22"/>
          <w:lang w:val="pl-PL" w:eastAsia="en-US"/>
        </w:rPr>
        <w:t>2.</w:t>
      </w:r>
      <w:r w:rsidRPr="007362E8">
        <w:rPr>
          <w:rFonts w:eastAsia="Calibri"/>
          <w:color w:val="000000"/>
          <w:szCs w:val="22"/>
          <w:lang w:val="pl-PL" w:eastAsia="en-US"/>
        </w:rPr>
        <w:tab/>
        <w:t xml:space="preserve">Państwa członkowskie zapewniają, aby wsparcie udzielane na podstawie niniejszego artykułu było skierowane do rolników, którzy najbardziej odczuli skutki znacznego wzrostu cen nawozów. Państwa członkowskie dokonują tego poprzez określenie warunków kwalifikowalności na podstawie dostępnych dowodów. </w:t>
      </w:r>
    </w:p>
    <w:p w14:paraId="2A22F651" w14:textId="77777777" w:rsidR="007362E8" w:rsidRPr="007362E8" w:rsidRDefault="007362E8" w:rsidP="007362E8">
      <w:pPr>
        <w:spacing w:after="160" w:line="278" w:lineRule="auto"/>
        <w:rPr>
          <w:rFonts w:eastAsia="Calibri"/>
          <w:color w:val="000000"/>
          <w:szCs w:val="22"/>
          <w:lang w:val="pl-PL" w:eastAsia="en-US"/>
        </w:rPr>
      </w:pPr>
      <w:r w:rsidRPr="007362E8">
        <w:rPr>
          <w:rFonts w:eastAsia="Calibri"/>
          <w:color w:val="000000"/>
          <w:szCs w:val="22"/>
          <w:lang w:val="pl-PL" w:eastAsia="en-US"/>
        </w:rPr>
        <w:br w:type="page"/>
      </w:r>
    </w:p>
    <w:p w14:paraId="1A503D72" w14:textId="77777777" w:rsidR="007362E8" w:rsidRPr="007362E8" w:rsidRDefault="007362E8" w:rsidP="007362E8">
      <w:pPr>
        <w:spacing w:before="120" w:after="120" w:line="360" w:lineRule="auto"/>
        <w:ind w:left="1418" w:hanging="567"/>
        <w:rPr>
          <w:rFonts w:eastAsia="Calibri"/>
          <w:color w:val="000000"/>
          <w:szCs w:val="22"/>
          <w:lang w:val="pl-PL" w:eastAsia="en-US"/>
        </w:rPr>
      </w:pPr>
      <w:r w:rsidRPr="007362E8">
        <w:rPr>
          <w:rFonts w:eastAsia="Calibri"/>
          <w:color w:val="000000"/>
          <w:szCs w:val="22"/>
          <w:lang w:val="pl-PL" w:eastAsia="en-US"/>
        </w:rPr>
        <w:lastRenderedPageBreak/>
        <w:t>3.</w:t>
      </w:r>
      <w:r w:rsidRPr="007362E8">
        <w:rPr>
          <w:rFonts w:eastAsia="Calibri"/>
          <w:color w:val="000000"/>
          <w:szCs w:val="22"/>
          <w:lang w:val="pl-PL" w:eastAsia="en-US"/>
        </w:rPr>
        <w:tab/>
        <w:t xml:space="preserve">Wsparcie na podstawie niniejszego artykułu obejmuje część dodatkowych kosztów nawozów spowodowanych zmianami na rynku wynikającymi z kryzysu na Bliskim Wschodzie w okresie od dnia 1 marca 2026 r. Dodatkowe koszty są obliczane jako różnica między reprezentatywną ceną nawozów a ceną odniesienia dla nawozów. Państwa członkowskie, na podstawie racjonalnych założeń, określają cenę odniesienia w oparciu o średnią cenę nawozów z okresu co najmniej trzech kolejnych miesięcy przypadających między dniem 1 stycznia 2025 r. a dniem 28 lutego 2026 r., oraz cenę reprezentatywną opartą na cenie nawozów w okresie określonym przez państwo członkowskie, który nie może rozpoczynać się przed dniem 1 marca 2026 r. Wsparcie na podstawie niniejszego artykułu ma formę kosztu jednostkowego na hektar, obliczanego na podstawie średniego rocznego zużycia nawozów na jednostkę powierzchni, zróżnicowanego według sektorów lub systemów produkcji. Alternatywnie państwa członkowskie mogą oprzeć wsparcie na mocy niniejszego artykułu na rzeczywistych kosztach poniesionych przez każdego beneficjenta, stosując tę samą cenę odniesienia, którą opisano w niniejszym ustępie. </w:t>
      </w:r>
    </w:p>
    <w:p w14:paraId="135204DA" w14:textId="77777777" w:rsidR="007362E8" w:rsidRPr="007362E8" w:rsidRDefault="007362E8" w:rsidP="007362E8">
      <w:pPr>
        <w:spacing w:before="120" w:after="120" w:line="360" w:lineRule="auto"/>
        <w:ind w:left="1418" w:hanging="567"/>
        <w:rPr>
          <w:rFonts w:eastAsia="Calibri"/>
          <w:color w:val="000000"/>
          <w:szCs w:val="22"/>
          <w:lang w:val="pl-PL" w:eastAsia="en-US"/>
        </w:rPr>
      </w:pPr>
      <w:r w:rsidRPr="007362E8">
        <w:rPr>
          <w:rFonts w:eastAsia="Calibri"/>
          <w:color w:val="000000"/>
          <w:szCs w:val="22"/>
          <w:lang w:val="pl-PL" w:eastAsia="en-US"/>
        </w:rPr>
        <w:t>4.</w:t>
      </w:r>
      <w:r w:rsidRPr="007362E8">
        <w:rPr>
          <w:rFonts w:eastAsia="Calibri"/>
          <w:color w:val="000000"/>
          <w:szCs w:val="22"/>
          <w:lang w:val="pl-PL" w:eastAsia="en-US"/>
        </w:rPr>
        <w:tab/>
        <w:t>Państwa członkowskie określają obowiązujące poziomy dofinansowania na pokrycie do 50 % dodatkowych kosztów nawozów. Poziomy te mogą zostać zwiększone maksymalnie do 80 % w przypadku rolników objętych zobowiązaniami, o których mowa w art. 31 i 70, lub wymogami, o których mowa w art. 72, dotyczącymi ograniczenia stosowania nawozów. W przypadku instrumentów finansowych w formie samodzielnego kapitału obrotowego stosuje się art. 80 ust. 4.</w:t>
      </w:r>
    </w:p>
    <w:p w14:paraId="4C90C8C8" w14:textId="77777777" w:rsidR="007362E8" w:rsidRPr="007362E8" w:rsidRDefault="007362E8" w:rsidP="007362E8">
      <w:pPr>
        <w:spacing w:after="160" w:line="278" w:lineRule="auto"/>
        <w:rPr>
          <w:rFonts w:eastAsia="Calibri"/>
          <w:color w:val="000000"/>
          <w:szCs w:val="22"/>
          <w:lang w:val="pl-PL" w:eastAsia="en-US"/>
        </w:rPr>
      </w:pPr>
      <w:r w:rsidRPr="007362E8">
        <w:rPr>
          <w:rFonts w:eastAsia="Calibri"/>
          <w:color w:val="000000"/>
          <w:szCs w:val="22"/>
          <w:lang w:val="pl-PL" w:eastAsia="en-US"/>
        </w:rPr>
        <w:br w:type="page"/>
      </w:r>
    </w:p>
    <w:p w14:paraId="6973733A" w14:textId="77777777" w:rsidR="007362E8" w:rsidRPr="007362E8" w:rsidRDefault="007362E8" w:rsidP="007362E8">
      <w:pPr>
        <w:spacing w:before="120" w:after="120" w:line="360" w:lineRule="auto"/>
        <w:ind w:left="1418" w:hanging="567"/>
        <w:rPr>
          <w:rFonts w:eastAsia="Calibri"/>
          <w:color w:val="000000"/>
          <w:szCs w:val="22"/>
          <w:lang w:val="pl-PL" w:eastAsia="en-US"/>
        </w:rPr>
      </w:pPr>
      <w:r w:rsidRPr="007362E8">
        <w:rPr>
          <w:rFonts w:eastAsia="Calibri"/>
          <w:color w:val="000000"/>
          <w:szCs w:val="22"/>
          <w:lang w:val="pl-PL" w:eastAsia="en-US"/>
        </w:rPr>
        <w:lastRenderedPageBreak/>
        <w:t>5.</w:t>
      </w:r>
      <w:r w:rsidRPr="007362E8">
        <w:rPr>
          <w:rFonts w:eastAsia="Calibri"/>
          <w:color w:val="000000"/>
          <w:szCs w:val="22"/>
          <w:lang w:val="pl-PL" w:eastAsia="en-US"/>
        </w:rPr>
        <w:tab/>
        <w:t xml:space="preserve">Państwa członkowskie ustalają maksymalną kwotę wsparcia na beneficjanta lub maksymalną liczbę hektarów, za które beneficjent może otrzymać wsparcie. </w:t>
      </w:r>
    </w:p>
    <w:p w14:paraId="0D18585B" w14:textId="77777777" w:rsidR="007362E8" w:rsidRPr="007362E8" w:rsidRDefault="007362E8" w:rsidP="007362E8">
      <w:pPr>
        <w:spacing w:before="120" w:after="120" w:line="360" w:lineRule="auto"/>
        <w:ind w:left="1418" w:hanging="567"/>
        <w:rPr>
          <w:rFonts w:eastAsia="Calibri"/>
          <w:color w:val="000000"/>
          <w:szCs w:val="22"/>
          <w:lang w:val="pl-PL" w:eastAsia="en-US"/>
        </w:rPr>
      </w:pPr>
      <w:r w:rsidRPr="007362E8">
        <w:rPr>
          <w:rFonts w:eastAsia="Calibri"/>
          <w:color w:val="000000"/>
          <w:szCs w:val="22"/>
          <w:lang w:val="pl-PL" w:eastAsia="en-US"/>
        </w:rPr>
        <w:t>6.</w:t>
      </w:r>
      <w:r w:rsidRPr="007362E8">
        <w:rPr>
          <w:rFonts w:eastAsia="Calibri"/>
          <w:color w:val="000000"/>
          <w:szCs w:val="22"/>
          <w:lang w:val="pl-PL" w:eastAsia="en-US"/>
        </w:rPr>
        <w:tab/>
        <w:t xml:space="preserve">Wsparcie na podstawie niniejszego artykułu wypłaca się rolnikowi do dnia 30 czerwca 2027 r. </w:t>
      </w:r>
    </w:p>
    <w:p w14:paraId="7A025E31" w14:textId="77777777" w:rsidR="007362E8" w:rsidRPr="007362E8" w:rsidRDefault="007362E8" w:rsidP="007362E8">
      <w:pPr>
        <w:spacing w:before="120" w:after="120" w:line="360" w:lineRule="auto"/>
        <w:ind w:left="1418" w:hanging="567"/>
        <w:rPr>
          <w:rFonts w:eastAsia="Calibri"/>
          <w:color w:val="000000"/>
          <w:szCs w:val="22"/>
          <w:lang w:val="pl-PL" w:eastAsia="en-US"/>
        </w:rPr>
      </w:pPr>
      <w:r w:rsidRPr="007362E8">
        <w:rPr>
          <w:rFonts w:eastAsia="Calibri"/>
          <w:color w:val="000000"/>
          <w:szCs w:val="22"/>
          <w:lang w:val="pl-PL" w:eastAsia="en-US"/>
        </w:rPr>
        <w:t>7.</w:t>
      </w:r>
      <w:r w:rsidRPr="007362E8">
        <w:rPr>
          <w:rFonts w:eastAsia="Calibri"/>
          <w:color w:val="000000"/>
          <w:szCs w:val="22"/>
          <w:lang w:val="pl-PL" w:eastAsia="en-US"/>
        </w:rPr>
        <w:tab/>
        <w:t>Państwa członkowskie zapewniają, by rolnicy otrzymujący wsparcie na podstawie niniejszego artykułu mieli dostęp do odpowiedniej wiedzy i informacji umożliwiających im optymalizację zrównoważonego stosowania nawozów.</w:t>
      </w:r>
    </w:p>
    <w:p w14:paraId="47E4746A" w14:textId="77777777" w:rsidR="007362E8" w:rsidRPr="007362E8" w:rsidRDefault="007362E8" w:rsidP="007362E8">
      <w:pPr>
        <w:spacing w:before="120" w:after="120" w:line="360" w:lineRule="auto"/>
        <w:ind w:left="1418" w:hanging="567"/>
        <w:rPr>
          <w:rFonts w:eastAsia="Calibri"/>
          <w:color w:val="000000"/>
          <w:szCs w:val="22"/>
          <w:lang w:val="pl-PL" w:eastAsia="en-US"/>
        </w:rPr>
      </w:pPr>
      <w:r w:rsidRPr="007362E8">
        <w:rPr>
          <w:rFonts w:eastAsia="Calibri"/>
          <w:color w:val="000000"/>
          <w:szCs w:val="22"/>
          <w:lang w:val="pl-PL" w:eastAsia="en-US"/>
        </w:rPr>
        <w:t>8.</w:t>
      </w:r>
      <w:r w:rsidRPr="007362E8">
        <w:rPr>
          <w:rFonts w:eastAsia="Calibri"/>
          <w:color w:val="000000"/>
          <w:szCs w:val="22"/>
          <w:lang w:val="pl-PL" w:eastAsia="en-US"/>
        </w:rPr>
        <w:tab/>
        <w:t>Przyznając wsparcie na podstawie niniejszego artykułu, państwa członkowskie zapewniają, aby nie dochodziło do nadmiernej rekompensaty w wyniku połączenia interwencji na podstawie niniejszego artykułu z innymi krajowymi lub unijnymi instrumentami wsparcia.”;</w:t>
      </w:r>
    </w:p>
    <w:p w14:paraId="2252CEAA" w14:textId="77777777" w:rsidR="007362E8" w:rsidRPr="007362E8" w:rsidRDefault="007362E8" w:rsidP="007362E8">
      <w:pPr>
        <w:spacing w:after="160" w:line="278" w:lineRule="auto"/>
        <w:rPr>
          <w:rFonts w:eastAsia="Calibri"/>
          <w:color w:val="000000"/>
          <w:szCs w:val="22"/>
          <w:lang w:val="pl-PL" w:eastAsia="en-US"/>
        </w:rPr>
      </w:pPr>
      <w:r w:rsidRPr="007362E8">
        <w:rPr>
          <w:rFonts w:eastAsia="Calibri"/>
          <w:color w:val="000000"/>
          <w:szCs w:val="22"/>
          <w:lang w:val="pl-PL" w:eastAsia="en-US"/>
        </w:rPr>
        <w:br w:type="page"/>
      </w:r>
    </w:p>
    <w:p w14:paraId="5DCF2686" w14:textId="77777777" w:rsidR="007362E8" w:rsidRPr="007362E8" w:rsidRDefault="007362E8" w:rsidP="007362E8">
      <w:pPr>
        <w:spacing w:before="120" w:after="120" w:line="360" w:lineRule="auto"/>
        <w:ind w:left="850" w:hanging="850"/>
        <w:rPr>
          <w:rFonts w:eastAsia="Calibri"/>
          <w:color w:val="000000"/>
          <w:szCs w:val="22"/>
          <w:lang w:val="pl-PL" w:eastAsia="en-US"/>
        </w:rPr>
      </w:pPr>
      <w:r w:rsidRPr="007362E8">
        <w:rPr>
          <w:rFonts w:eastAsia="Calibri"/>
          <w:color w:val="000000"/>
          <w:szCs w:val="22"/>
          <w:lang w:val="pl-PL" w:eastAsia="en-US"/>
        </w:rPr>
        <w:lastRenderedPageBreak/>
        <w:t>3)</w:t>
      </w:r>
      <w:r w:rsidRPr="007362E8">
        <w:rPr>
          <w:rFonts w:eastAsia="Calibri"/>
          <w:color w:val="000000"/>
          <w:szCs w:val="22"/>
          <w:lang w:val="pl-PL" w:eastAsia="en-US"/>
        </w:rPr>
        <w:tab/>
        <w:t>w art. 80 wprowadza się następujące zmiany:</w:t>
      </w:r>
    </w:p>
    <w:p w14:paraId="6F05C98E" w14:textId="77777777" w:rsidR="007362E8" w:rsidRPr="007362E8" w:rsidRDefault="007362E8" w:rsidP="007362E8">
      <w:pPr>
        <w:spacing w:before="120" w:after="120" w:line="360" w:lineRule="auto"/>
        <w:ind w:left="1417" w:hanging="567"/>
        <w:rPr>
          <w:rFonts w:eastAsia="Calibri"/>
          <w:color w:val="000000"/>
          <w:szCs w:val="22"/>
          <w:lang w:val="pl-PL" w:eastAsia="en-US"/>
        </w:rPr>
      </w:pPr>
      <w:r w:rsidRPr="007362E8">
        <w:rPr>
          <w:rFonts w:eastAsia="Calibri"/>
          <w:color w:val="000000"/>
          <w:szCs w:val="22"/>
          <w:lang w:val="pl-PL" w:eastAsia="en-US"/>
        </w:rPr>
        <w:t>a)</w:t>
      </w:r>
      <w:r w:rsidRPr="007362E8">
        <w:rPr>
          <w:rFonts w:eastAsia="Calibri"/>
          <w:color w:val="000000"/>
          <w:szCs w:val="22"/>
          <w:lang w:val="pl-PL" w:eastAsia="en-US"/>
        </w:rPr>
        <w:tab/>
        <w:t>ust. 1 otrzymuje brzmienie:</w:t>
      </w:r>
    </w:p>
    <w:p w14:paraId="4C12357C" w14:textId="77777777" w:rsidR="007362E8" w:rsidRPr="007362E8" w:rsidRDefault="007362E8" w:rsidP="007362E8">
      <w:pPr>
        <w:spacing w:before="120" w:after="120" w:line="360" w:lineRule="auto"/>
        <w:ind w:left="1985" w:hanging="567"/>
        <w:rPr>
          <w:rFonts w:eastAsia="Calibri"/>
          <w:color w:val="000000"/>
          <w:szCs w:val="22"/>
          <w:lang w:val="pl-PL" w:eastAsia="en-US"/>
        </w:rPr>
      </w:pPr>
      <w:r w:rsidRPr="007362E8">
        <w:rPr>
          <w:rFonts w:eastAsia="Calibri"/>
          <w:color w:val="000000"/>
          <w:szCs w:val="22"/>
          <w:lang w:val="pl-PL" w:eastAsia="en-US"/>
        </w:rPr>
        <w:t>„1.</w:t>
      </w:r>
      <w:r w:rsidRPr="007362E8">
        <w:rPr>
          <w:rFonts w:eastAsia="Calibri"/>
          <w:color w:val="000000"/>
          <w:szCs w:val="22"/>
          <w:lang w:val="pl-PL" w:eastAsia="en-US"/>
        </w:rPr>
        <w:tab/>
        <w:t xml:space="preserve">Wsparcia w postaci instrumentów finansowych, o których mowa w art. 58 rozporządzenia (UE) 2021/1060, można udzielić w ramach rodzajów interwencji, o których mowa w art. 73–78 i 78b niniejszego rozporządzenia.”; </w:t>
      </w:r>
    </w:p>
    <w:p w14:paraId="719ABB46" w14:textId="77777777" w:rsidR="007362E8" w:rsidRPr="007362E8" w:rsidRDefault="007362E8" w:rsidP="007362E8">
      <w:pPr>
        <w:spacing w:before="120" w:after="120" w:line="360" w:lineRule="auto"/>
        <w:ind w:left="1417" w:hanging="567"/>
        <w:rPr>
          <w:rFonts w:eastAsia="Calibri"/>
          <w:color w:val="000000"/>
          <w:szCs w:val="22"/>
          <w:lang w:val="pl-PL" w:eastAsia="en-US"/>
        </w:rPr>
      </w:pPr>
      <w:r w:rsidRPr="007362E8">
        <w:rPr>
          <w:rFonts w:eastAsia="Calibri"/>
          <w:color w:val="000000"/>
          <w:szCs w:val="22"/>
          <w:lang w:val="pl-PL" w:eastAsia="en-US"/>
        </w:rPr>
        <w:t>b)</w:t>
      </w:r>
      <w:r w:rsidRPr="007362E8">
        <w:rPr>
          <w:rFonts w:eastAsia="Calibri"/>
          <w:color w:val="000000"/>
          <w:szCs w:val="22"/>
          <w:lang w:val="pl-PL" w:eastAsia="en-US"/>
        </w:rPr>
        <w:tab/>
        <w:t>w ust. 3 akapit pierwszy otrzymuje brzmienie:</w:t>
      </w:r>
    </w:p>
    <w:p w14:paraId="580F557A" w14:textId="77777777" w:rsidR="007362E8" w:rsidRPr="007362E8" w:rsidRDefault="007362E8" w:rsidP="007362E8">
      <w:pPr>
        <w:spacing w:before="120" w:after="120" w:line="360" w:lineRule="auto"/>
        <w:ind w:left="1985" w:hanging="567"/>
        <w:rPr>
          <w:color w:val="000000"/>
          <w:szCs w:val="22"/>
          <w:lang w:val="pl-PL" w:eastAsia="en-US"/>
        </w:rPr>
      </w:pPr>
      <w:r w:rsidRPr="007362E8">
        <w:rPr>
          <w:rFonts w:eastAsia="Calibri"/>
          <w:color w:val="000000"/>
          <w:szCs w:val="22"/>
          <w:lang w:val="pl-PL" w:eastAsia="en-US"/>
        </w:rPr>
        <w:t>„3.</w:t>
      </w:r>
      <w:r w:rsidRPr="007362E8">
        <w:rPr>
          <w:rFonts w:eastAsia="Calibri"/>
          <w:color w:val="000000"/>
          <w:szCs w:val="22"/>
          <w:lang w:val="pl-PL" w:eastAsia="en-US"/>
        </w:rPr>
        <w:tab/>
        <w:t xml:space="preserve">Zgodnie z art. 58 ust. 2 rozporządzenia (UE) 2021/1060 kapitał obrotowy, w tym samodzielny kapitał obrotowy, może być wydatkiem kwalifikowanym na mocy art. 73, 74, 76, 77, 78 i 78b niniejszego rozporządzenia, jeżeli przyczynia się do osiągnięcia co najmniej jednego celu szczegółowego związanego z daną interwencją. Wsparcie na finansowanie samodzielnego kapitału obrotowego na mocy któregokolwiek z tych artykułów może być udzielane bez wymogu, aby ostateczny odbiorca otrzymywał wsparcie na inne wydatki na mocy tego samego artykułu.”; </w:t>
      </w:r>
    </w:p>
    <w:p w14:paraId="5F4F1CA2" w14:textId="77777777" w:rsidR="007362E8" w:rsidRPr="007362E8" w:rsidRDefault="007362E8" w:rsidP="007362E8">
      <w:pPr>
        <w:spacing w:before="120" w:after="120" w:line="360" w:lineRule="auto"/>
        <w:ind w:left="1417" w:hanging="567"/>
        <w:rPr>
          <w:rFonts w:eastAsia="Calibri"/>
          <w:color w:val="000000"/>
          <w:szCs w:val="22"/>
          <w:lang w:val="pl-PL" w:eastAsia="en-US"/>
        </w:rPr>
      </w:pPr>
      <w:r w:rsidRPr="007362E8">
        <w:rPr>
          <w:rFonts w:eastAsia="Calibri"/>
          <w:color w:val="000000"/>
          <w:szCs w:val="22"/>
          <w:lang w:val="pl-PL" w:eastAsia="en-US"/>
        </w:rPr>
        <w:t>c)</w:t>
      </w:r>
      <w:r w:rsidRPr="007362E8">
        <w:rPr>
          <w:rFonts w:eastAsia="Calibri"/>
          <w:color w:val="000000"/>
          <w:szCs w:val="22"/>
          <w:lang w:val="pl-PL" w:eastAsia="en-US"/>
        </w:rPr>
        <w:tab/>
        <w:t>ust. 4 otrzymuje brzmienie:</w:t>
      </w:r>
    </w:p>
    <w:p w14:paraId="790A6198" w14:textId="77777777" w:rsidR="007362E8" w:rsidRPr="007362E8" w:rsidRDefault="007362E8" w:rsidP="007362E8">
      <w:pPr>
        <w:spacing w:before="120" w:after="120" w:line="360" w:lineRule="auto"/>
        <w:ind w:left="1985" w:hanging="567"/>
        <w:rPr>
          <w:rFonts w:eastAsia="Calibri"/>
          <w:color w:val="000000"/>
          <w:szCs w:val="22"/>
          <w:lang w:val="pl-PL" w:eastAsia="en-US"/>
        </w:rPr>
      </w:pPr>
      <w:r w:rsidRPr="007362E8">
        <w:rPr>
          <w:rFonts w:eastAsia="Calibri"/>
          <w:color w:val="000000"/>
          <w:szCs w:val="22"/>
          <w:lang w:val="pl-PL" w:eastAsia="en-US"/>
        </w:rPr>
        <w:t>„4.</w:t>
      </w:r>
      <w:r w:rsidRPr="007362E8">
        <w:rPr>
          <w:rFonts w:eastAsia="Calibri"/>
          <w:color w:val="000000"/>
          <w:szCs w:val="22"/>
          <w:lang w:val="pl-PL" w:eastAsia="en-US"/>
        </w:rPr>
        <w:tab/>
        <w:t>Na zasadzie odstępstwa od art. 73, 74, 76, 77, 78 i 78b poziomy dofinansowania określone w tych artykułach nie mają zastosowania do finansowania samodzielnego kapitału obrotowego.”;</w:t>
      </w:r>
    </w:p>
    <w:p w14:paraId="1E4EEFE5" w14:textId="77777777" w:rsidR="007362E8" w:rsidRPr="007362E8" w:rsidRDefault="007362E8" w:rsidP="007362E8">
      <w:pPr>
        <w:spacing w:after="160" w:line="278" w:lineRule="auto"/>
        <w:rPr>
          <w:rFonts w:eastAsia="Calibri"/>
          <w:color w:val="000000"/>
          <w:szCs w:val="22"/>
          <w:lang w:val="pl-PL" w:eastAsia="en-US"/>
        </w:rPr>
      </w:pPr>
      <w:r w:rsidRPr="007362E8">
        <w:rPr>
          <w:rFonts w:eastAsia="Calibri"/>
          <w:color w:val="000000"/>
          <w:szCs w:val="22"/>
          <w:lang w:val="pl-PL" w:eastAsia="en-US"/>
        </w:rPr>
        <w:br w:type="page"/>
      </w:r>
    </w:p>
    <w:p w14:paraId="5555D86A" w14:textId="77777777" w:rsidR="007362E8" w:rsidRPr="007362E8" w:rsidRDefault="007362E8" w:rsidP="007362E8">
      <w:pPr>
        <w:spacing w:before="120" w:after="120" w:line="360" w:lineRule="auto"/>
        <w:ind w:left="850" w:hanging="850"/>
        <w:rPr>
          <w:rFonts w:eastAsia="Calibri"/>
          <w:color w:val="000000"/>
          <w:szCs w:val="22"/>
          <w:lang w:val="pl-PL" w:eastAsia="en-US"/>
        </w:rPr>
      </w:pPr>
      <w:r w:rsidRPr="007362E8">
        <w:rPr>
          <w:rFonts w:eastAsia="Calibri"/>
          <w:color w:val="000000"/>
          <w:szCs w:val="22"/>
          <w:lang w:val="pl-PL" w:eastAsia="en-US"/>
        </w:rPr>
        <w:lastRenderedPageBreak/>
        <w:t>4)</w:t>
      </w:r>
      <w:r w:rsidRPr="007362E8">
        <w:rPr>
          <w:rFonts w:eastAsia="Calibri"/>
          <w:color w:val="000000"/>
          <w:szCs w:val="22"/>
          <w:lang w:val="pl-PL" w:eastAsia="en-US"/>
        </w:rPr>
        <w:tab/>
        <w:t>w art. 86 ust. 3 dodaje się akapit w brzmieniu:</w:t>
      </w:r>
    </w:p>
    <w:p w14:paraId="595C4B80" w14:textId="77777777" w:rsidR="007362E8" w:rsidRPr="007362E8" w:rsidRDefault="007362E8" w:rsidP="007362E8">
      <w:pPr>
        <w:spacing w:before="120" w:after="120" w:line="360" w:lineRule="auto"/>
        <w:ind w:left="850"/>
        <w:rPr>
          <w:rFonts w:eastAsia="Calibri"/>
          <w:color w:val="000000"/>
          <w:szCs w:val="22"/>
          <w:lang w:val="pl-PL" w:eastAsia="en-US"/>
        </w:rPr>
      </w:pPr>
      <w:r w:rsidRPr="007362E8">
        <w:rPr>
          <w:rFonts w:eastAsia="Calibri"/>
          <w:color w:val="000000"/>
          <w:szCs w:val="22"/>
          <w:lang w:val="pl-PL" w:eastAsia="en-US"/>
        </w:rPr>
        <w:t>„Na zasadzie odstępstwa od akapitu pierwszego niniejszego ustępu plan strategiczny WPR może, w przypadku rodzaju interwencji na podstawie art. 78b, przewidywać, że wydatki finansowane z EFRROW związane ze zmianami planu strategicznego WPR mogą stać się kwalifikowalne przed datą przedłożenia Komisji wniosku o zmianę, jednakże nie wcześniej niż w dniu … [data wejścia w życie niniejszego rozporządzenia zmieniającego].”;</w:t>
      </w:r>
    </w:p>
    <w:p w14:paraId="44C9440B" w14:textId="77777777" w:rsidR="007362E8" w:rsidRPr="007362E8" w:rsidRDefault="007362E8" w:rsidP="007362E8">
      <w:pPr>
        <w:spacing w:before="120" w:after="120" w:line="360" w:lineRule="auto"/>
        <w:ind w:left="850" w:hanging="850"/>
        <w:rPr>
          <w:rFonts w:eastAsia="Calibri"/>
          <w:color w:val="000000"/>
          <w:szCs w:val="22"/>
          <w:lang w:val="pl-PL" w:eastAsia="en-US"/>
        </w:rPr>
      </w:pPr>
      <w:r w:rsidRPr="007362E8">
        <w:rPr>
          <w:rFonts w:eastAsia="Calibri"/>
          <w:color w:val="000000"/>
          <w:szCs w:val="22"/>
          <w:lang w:val="pl-PL" w:eastAsia="en-US"/>
        </w:rPr>
        <w:t>5)</w:t>
      </w:r>
      <w:r w:rsidRPr="007362E8">
        <w:rPr>
          <w:rFonts w:eastAsia="Calibri"/>
          <w:color w:val="000000"/>
          <w:szCs w:val="22"/>
          <w:lang w:val="pl-PL" w:eastAsia="en-US"/>
        </w:rPr>
        <w:tab/>
        <w:t xml:space="preserve">art. 87 ust. 2 akapit pierwszy otrzymuje brzmienie: </w:t>
      </w:r>
    </w:p>
    <w:p w14:paraId="78442BF7" w14:textId="77777777" w:rsidR="007362E8" w:rsidRPr="007362E8" w:rsidRDefault="007362E8" w:rsidP="007362E8">
      <w:pPr>
        <w:spacing w:before="120" w:after="120" w:line="360" w:lineRule="auto"/>
        <w:ind w:left="850"/>
        <w:rPr>
          <w:rFonts w:eastAsia="Calibri"/>
          <w:color w:val="000000"/>
          <w:szCs w:val="22"/>
          <w:lang w:val="pl-PL" w:eastAsia="en-US"/>
        </w:rPr>
      </w:pPr>
      <w:r w:rsidRPr="007362E8">
        <w:rPr>
          <w:rFonts w:eastAsia="Calibri"/>
          <w:color w:val="000000"/>
          <w:szCs w:val="22"/>
          <w:lang w:val="pl-PL" w:eastAsia="en-US"/>
        </w:rPr>
        <w:t>„2.</w:t>
      </w:r>
      <w:r w:rsidRPr="007362E8">
        <w:rPr>
          <w:rFonts w:eastAsia="Calibri"/>
          <w:color w:val="000000"/>
          <w:szCs w:val="22"/>
          <w:lang w:val="pl-PL" w:eastAsia="en-US"/>
        </w:rPr>
        <w:tab/>
        <w:t>Komisja jest uprawniona do przyjmowania aktów delegowanych, zgodnie z art. 152, zmieniających przydziały państw członkowskich określone w załącznikach V i IX w celu uwzględnienia zmian całkowitych maksymalnych kwot płatności bezpośrednich, które mogą zostać przyznane, w tym przesunięć, o których mowa w art. 17 i 103, dostosowania przydziału na płatności bezpośrednie, o którym mowa w art. 103a, przesunięć przydziału środków, o których mowa w art. 88 ust. 5, oraz wszelkich odliczeń potrzebnych do sfinansowania rodzajów interwencji w pozostałych sektorach, o których mowa w art. 88 ust. 6.”;</w:t>
      </w:r>
    </w:p>
    <w:p w14:paraId="6A5797FE" w14:textId="77777777" w:rsidR="007362E8" w:rsidRPr="007362E8" w:rsidRDefault="007362E8" w:rsidP="007362E8">
      <w:pPr>
        <w:spacing w:after="160" w:line="278" w:lineRule="auto"/>
        <w:rPr>
          <w:rFonts w:eastAsia="Calibri"/>
          <w:color w:val="000000"/>
          <w:szCs w:val="22"/>
          <w:lang w:val="pl-PL" w:eastAsia="en-US"/>
        </w:rPr>
      </w:pPr>
      <w:r w:rsidRPr="007362E8">
        <w:rPr>
          <w:rFonts w:eastAsia="Calibri"/>
          <w:color w:val="000000"/>
          <w:szCs w:val="22"/>
          <w:lang w:val="pl-PL" w:eastAsia="en-US"/>
        </w:rPr>
        <w:br w:type="page"/>
      </w:r>
    </w:p>
    <w:p w14:paraId="3D6ECF74" w14:textId="77777777" w:rsidR="007362E8" w:rsidRPr="007362E8" w:rsidRDefault="007362E8" w:rsidP="007362E8">
      <w:pPr>
        <w:spacing w:before="120" w:after="120" w:line="360" w:lineRule="auto"/>
        <w:ind w:left="850" w:hanging="850"/>
        <w:rPr>
          <w:rFonts w:eastAsia="Calibri"/>
          <w:color w:val="000000"/>
          <w:szCs w:val="22"/>
          <w:lang w:val="pl-PL" w:eastAsia="en-US"/>
        </w:rPr>
      </w:pPr>
      <w:r w:rsidRPr="007362E8">
        <w:rPr>
          <w:rFonts w:eastAsia="Calibri"/>
          <w:color w:val="000000"/>
          <w:szCs w:val="22"/>
          <w:lang w:val="pl-PL" w:eastAsia="en-US"/>
        </w:rPr>
        <w:lastRenderedPageBreak/>
        <w:t>6)</w:t>
      </w:r>
      <w:r w:rsidRPr="007362E8">
        <w:rPr>
          <w:rFonts w:eastAsia="Calibri"/>
          <w:color w:val="000000"/>
          <w:szCs w:val="22"/>
          <w:lang w:val="pl-PL" w:eastAsia="en-US"/>
        </w:rPr>
        <w:tab/>
        <w:t xml:space="preserve">art. 91 ust. 3 lit. a) otrzymuje brzmienie: </w:t>
      </w:r>
    </w:p>
    <w:p w14:paraId="5F19695C" w14:textId="77777777" w:rsidR="007362E8" w:rsidRPr="007362E8" w:rsidRDefault="007362E8" w:rsidP="007362E8">
      <w:pPr>
        <w:spacing w:before="120" w:after="120" w:line="360" w:lineRule="auto"/>
        <w:ind w:left="851"/>
        <w:rPr>
          <w:rFonts w:eastAsia="Calibri"/>
          <w:color w:val="000000"/>
          <w:szCs w:val="22"/>
          <w:lang w:val="pl-PL" w:eastAsia="en-US"/>
        </w:rPr>
      </w:pPr>
      <w:r w:rsidRPr="007362E8">
        <w:rPr>
          <w:rFonts w:eastAsia="Calibri"/>
          <w:color w:val="000000"/>
          <w:szCs w:val="22"/>
          <w:lang w:val="pl-PL" w:eastAsia="en-US"/>
        </w:rPr>
        <w:t>„a)</w:t>
      </w:r>
      <w:r w:rsidRPr="007362E8">
        <w:rPr>
          <w:rFonts w:eastAsia="Calibri"/>
          <w:color w:val="000000"/>
          <w:szCs w:val="22"/>
          <w:lang w:val="pl-PL" w:eastAsia="en-US"/>
        </w:rPr>
        <w:tab/>
        <w:t>65 % kwalifikowalnych wydatków publicznych na płatności dla obszarów z ograniczeniami naturalnymi lub innymi szczególnymi ograniczeniami na podstawie art. 71 oraz na wsparcie na podstawie art. 78b;”;</w:t>
      </w:r>
    </w:p>
    <w:p w14:paraId="6CEBCE8D" w14:textId="77777777" w:rsidR="007362E8" w:rsidRPr="007362E8" w:rsidRDefault="007362E8" w:rsidP="007362E8">
      <w:pPr>
        <w:spacing w:before="120" w:after="120" w:line="360" w:lineRule="auto"/>
        <w:ind w:left="850" w:hanging="850"/>
        <w:rPr>
          <w:rFonts w:eastAsia="Calibri"/>
          <w:color w:val="000000"/>
          <w:szCs w:val="22"/>
          <w:lang w:val="pl-PL" w:eastAsia="en-US"/>
        </w:rPr>
      </w:pPr>
      <w:r w:rsidRPr="007362E8">
        <w:rPr>
          <w:rFonts w:eastAsia="Calibri"/>
          <w:color w:val="000000"/>
          <w:szCs w:val="22"/>
          <w:lang w:val="pl-PL" w:eastAsia="en-US"/>
        </w:rPr>
        <w:t>7)</w:t>
      </w:r>
      <w:r w:rsidRPr="007362E8">
        <w:rPr>
          <w:rFonts w:eastAsia="Calibri"/>
          <w:color w:val="000000"/>
          <w:szCs w:val="22"/>
          <w:lang w:val="pl-PL" w:eastAsia="en-US"/>
        </w:rPr>
        <w:tab/>
        <w:t>art. 96a otrzymuje brzmienie:</w:t>
      </w:r>
    </w:p>
    <w:p w14:paraId="2D5FF926" w14:textId="77777777" w:rsidR="007362E8" w:rsidRPr="007362E8" w:rsidRDefault="007362E8" w:rsidP="007362E8">
      <w:pPr>
        <w:spacing w:before="120" w:after="120" w:line="360" w:lineRule="auto"/>
        <w:ind w:left="850"/>
        <w:rPr>
          <w:rFonts w:eastAsia="Calibri"/>
          <w:i/>
          <w:iCs/>
          <w:color w:val="000000"/>
          <w:szCs w:val="22"/>
          <w:lang w:val="pl-PL" w:eastAsia="en-US"/>
        </w:rPr>
      </w:pPr>
      <w:r w:rsidRPr="007362E8">
        <w:rPr>
          <w:rFonts w:eastAsia="Calibri"/>
          <w:i/>
          <w:color w:val="000000"/>
          <w:szCs w:val="22"/>
          <w:lang w:val="pl-PL" w:eastAsia="en-US"/>
        </w:rPr>
        <w:t>„Artykuł 96a</w:t>
      </w:r>
    </w:p>
    <w:p w14:paraId="55E5FF72" w14:textId="77777777" w:rsidR="007362E8" w:rsidRPr="007362E8" w:rsidRDefault="007362E8" w:rsidP="007362E8">
      <w:pPr>
        <w:spacing w:before="120" w:after="120" w:line="360" w:lineRule="auto"/>
        <w:ind w:left="851"/>
        <w:rPr>
          <w:b/>
          <w:bCs/>
          <w:color w:val="000000"/>
          <w:szCs w:val="22"/>
          <w:lang w:val="pl-PL"/>
        </w:rPr>
      </w:pPr>
      <w:r w:rsidRPr="007362E8">
        <w:rPr>
          <w:b/>
          <w:color w:val="000000"/>
          <w:szCs w:val="22"/>
          <w:lang w:val="pl-PL"/>
        </w:rPr>
        <w:t xml:space="preserve">Maksymalne przydziały finansowe na płatności kryzysowe dla rolników, o których mowa w art. 78a, oraz na wsparcie dla rolników, o którym mowa w art. 78b </w:t>
      </w:r>
    </w:p>
    <w:p w14:paraId="73858DAE" w14:textId="77777777" w:rsidR="007362E8" w:rsidRPr="007362E8" w:rsidRDefault="007362E8" w:rsidP="007362E8">
      <w:pPr>
        <w:spacing w:before="120" w:after="120" w:line="360" w:lineRule="auto"/>
        <w:ind w:left="1418" w:hanging="567"/>
        <w:rPr>
          <w:rFonts w:eastAsia="Calibri"/>
          <w:color w:val="000000"/>
          <w:szCs w:val="22"/>
          <w:lang w:val="pl-PL" w:eastAsia="en-US"/>
        </w:rPr>
      </w:pPr>
      <w:r w:rsidRPr="007362E8">
        <w:rPr>
          <w:rFonts w:eastAsia="Calibri"/>
          <w:color w:val="000000"/>
          <w:szCs w:val="22"/>
          <w:lang w:val="pl-PL" w:eastAsia="en-US"/>
        </w:rPr>
        <w:t>1.</w:t>
      </w:r>
      <w:r w:rsidRPr="007362E8">
        <w:rPr>
          <w:rFonts w:eastAsia="Calibri"/>
          <w:color w:val="000000"/>
          <w:szCs w:val="22"/>
          <w:lang w:val="pl-PL" w:eastAsia="en-US"/>
        </w:rPr>
        <w:tab/>
        <w:t>Maksymalna kwota, którą każde państwo członkowskie może zarezerwować na płatności kryzysowe dla rolników w następstwie klęsk żywiołowych, niekorzystnych zjawisk klimatycznych lub katastrof, o których mowa w art. 78a, oraz na wsparcie dla rolników dotkniętych znacznym wzrostem cen nawozów spowodowanym kryzysem na Bliskim Wschodzie, o którym mowa w art. 78b, jest ograniczona do rocznych kwot określonych w załączniku XV.</w:t>
      </w:r>
    </w:p>
    <w:p w14:paraId="6599412C" w14:textId="77777777" w:rsidR="007362E8" w:rsidRPr="007362E8" w:rsidRDefault="007362E8" w:rsidP="007362E8">
      <w:pPr>
        <w:spacing w:before="120" w:after="120" w:line="360" w:lineRule="auto"/>
        <w:ind w:left="1418" w:hanging="567"/>
        <w:rPr>
          <w:rFonts w:eastAsia="Calibri"/>
          <w:color w:val="000000"/>
          <w:szCs w:val="22"/>
          <w:lang w:val="pl-PL" w:eastAsia="en-US"/>
        </w:rPr>
      </w:pPr>
      <w:r w:rsidRPr="007362E8">
        <w:rPr>
          <w:rFonts w:eastAsia="Calibri"/>
          <w:color w:val="000000"/>
          <w:szCs w:val="22"/>
          <w:lang w:val="pl-PL" w:eastAsia="en-US"/>
        </w:rPr>
        <w:t>2.</w:t>
      </w:r>
      <w:r w:rsidRPr="007362E8">
        <w:rPr>
          <w:rFonts w:eastAsia="Calibri"/>
          <w:color w:val="000000"/>
          <w:szCs w:val="22"/>
          <w:lang w:val="pl-PL" w:eastAsia="en-US"/>
        </w:rPr>
        <w:tab/>
        <w:t xml:space="preserve">Na finansowanie wsparcia dla rolników, o którym mowa w art. 78b, można zarezerwować maksymalnie 25 % rocznych kwot określonych w załączniku XV. </w:t>
      </w:r>
    </w:p>
    <w:p w14:paraId="436623A7" w14:textId="77777777" w:rsidR="007362E8" w:rsidRPr="007362E8" w:rsidRDefault="007362E8" w:rsidP="007362E8">
      <w:pPr>
        <w:spacing w:after="160" w:line="278" w:lineRule="auto"/>
        <w:rPr>
          <w:rFonts w:eastAsia="Calibri"/>
          <w:color w:val="000000"/>
          <w:szCs w:val="22"/>
          <w:lang w:val="pl-PL" w:eastAsia="en-US"/>
        </w:rPr>
      </w:pPr>
      <w:r w:rsidRPr="007362E8">
        <w:rPr>
          <w:rFonts w:eastAsia="Calibri"/>
          <w:color w:val="000000"/>
          <w:szCs w:val="22"/>
          <w:lang w:val="pl-PL" w:eastAsia="en-US"/>
        </w:rPr>
        <w:br w:type="page"/>
      </w:r>
    </w:p>
    <w:p w14:paraId="4072A25F" w14:textId="77777777" w:rsidR="007362E8" w:rsidRPr="007362E8" w:rsidRDefault="007362E8" w:rsidP="007362E8">
      <w:pPr>
        <w:spacing w:before="120" w:after="120" w:line="360" w:lineRule="auto"/>
        <w:ind w:left="1418" w:hanging="567"/>
        <w:rPr>
          <w:rFonts w:eastAsia="Calibri"/>
          <w:color w:val="000000"/>
          <w:szCs w:val="22"/>
          <w:lang w:val="pl-PL" w:eastAsia="en-US"/>
        </w:rPr>
      </w:pPr>
      <w:r w:rsidRPr="007362E8">
        <w:rPr>
          <w:rFonts w:eastAsia="Calibri"/>
          <w:color w:val="000000"/>
          <w:szCs w:val="22"/>
          <w:lang w:val="pl-PL" w:eastAsia="en-US"/>
        </w:rPr>
        <w:lastRenderedPageBreak/>
        <w:t>3.</w:t>
      </w:r>
      <w:r w:rsidRPr="007362E8">
        <w:rPr>
          <w:rFonts w:eastAsia="Calibri"/>
          <w:color w:val="000000"/>
          <w:szCs w:val="22"/>
          <w:lang w:val="pl-PL" w:eastAsia="en-US"/>
        </w:rPr>
        <w:tab/>
        <w:t xml:space="preserve">Całkowite wydatki EFRROW na płatności kryzysowe, o których mowa w art. 78a, i na wsparcie, o którym mowa w 78b, nie mogą przekraczać sumy orientacyjnych przydziałów finansowych na te rodzaje interwencji na lata budżetowe 2026 i 2027, ustalonych przez państwa członkowskie w ich planach finansowych zgodnie z art. 112 ust. 2 lit. a) i zatwierdzonych przez Komisję zgodnie z art. 119. Ten pułap finansowy stanowi pułap finansowy określony w prawie Unii.”; </w:t>
      </w:r>
    </w:p>
    <w:p w14:paraId="08CBF526" w14:textId="77777777" w:rsidR="007362E8" w:rsidRPr="007362E8" w:rsidRDefault="007362E8" w:rsidP="007362E8">
      <w:pPr>
        <w:spacing w:before="120" w:after="120" w:line="360" w:lineRule="auto"/>
        <w:ind w:left="850" w:hanging="850"/>
        <w:rPr>
          <w:rFonts w:eastAsia="Calibri"/>
          <w:color w:val="000000"/>
          <w:szCs w:val="22"/>
          <w:lang w:val="pl-PL" w:eastAsia="en-US"/>
        </w:rPr>
      </w:pPr>
      <w:r w:rsidRPr="007362E8">
        <w:rPr>
          <w:rFonts w:eastAsia="Calibri"/>
          <w:color w:val="000000"/>
          <w:szCs w:val="22"/>
          <w:lang w:val="pl-PL" w:eastAsia="en-US"/>
        </w:rPr>
        <w:t>8)</w:t>
      </w:r>
      <w:r w:rsidRPr="007362E8">
        <w:rPr>
          <w:rFonts w:eastAsia="Calibri"/>
          <w:color w:val="000000"/>
          <w:szCs w:val="22"/>
          <w:lang w:val="pl-PL" w:eastAsia="en-US"/>
        </w:rPr>
        <w:tab/>
        <w:t>w tytule IV dodaje się artykuł w brzmieniu:</w:t>
      </w:r>
    </w:p>
    <w:p w14:paraId="13887618" w14:textId="77777777" w:rsidR="007362E8" w:rsidRPr="007362E8" w:rsidRDefault="007362E8" w:rsidP="007362E8">
      <w:pPr>
        <w:spacing w:before="120" w:after="120" w:line="360" w:lineRule="auto"/>
        <w:ind w:left="850"/>
        <w:rPr>
          <w:rFonts w:eastAsia="Calibri"/>
          <w:color w:val="000000"/>
          <w:szCs w:val="22"/>
          <w:lang w:val="pl-PL" w:eastAsia="en-US"/>
        </w:rPr>
      </w:pPr>
      <w:r w:rsidRPr="007362E8">
        <w:rPr>
          <w:rFonts w:eastAsia="Calibri"/>
          <w:color w:val="000000"/>
          <w:szCs w:val="22"/>
          <w:lang w:val="pl-PL" w:eastAsia="en-US"/>
        </w:rPr>
        <w:t>„</w:t>
      </w:r>
      <w:r w:rsidRPr="007362E8">
        <w:rPr>
          <w:rFonts w:eastAsia="Calibri"/>
          <w:i/>
          <w:color w:val="000000"/>
          <w:szCs w:val="22"/>
          <w:lang w:val="pl-PL" w:eastAsia="en-US"/>
        </w:rPr>
        <w:t>Artykuł 103a</w:t>
      </w:r>
      <w:r w:rsidRPr="007362E8">
        <w:rPr>
          <w:rFonts w:eastAsia="Calibri"/>
          <w:color w:val="000000"/>
          <w:szCs w:val="22"/>
          <w:lang w:val="pl-PL" w:eastAsia="en-US"/>
        </w:rPr>
        <w:t xml:space="preserve"> </w:t>
      </w:r>
    </w:p>
    <w:p w14:paraId="75272E8A" w14:textId="77777777" w:rsidR="007362E8" w:rsidRPr="007362E8" w:rsidRDefault="007362E8" w:rsidP="007362E8">
      <w:pPr>
        <w:spacing w:before="120" w:after="120" w:line="360" w:lineRule="auto"/>
        <w:ind w:left="850"/>
        <w:rPr>
          <w:rFonts w:eastAsia="Calibri"/>
          <w:color w:val="000000"/>
          <w:szCs w:val="22"/>
          <w:lang w:val="pl-PL" w:eastAsia="en-US"/>
        </w:rPr>
      </w:pPr>
      <w:r w:rsidRPr="007362E8">
        <w:rPr>
          <w:rFonts w:eastAsia="Calibri"/>
          <w:b/>
          <w:color w:val="000000"/>
          <w:szCs w:val="22"/>
          <w:lang w:val="pl-PL" w:eastAsia="en-US"/>
        </w:rPr>
        <w:t>Przydziały na płatności bezpośrednie na rok kalendarzowy 2027</w:t>
      </w:r>
    </w:p>
    <w:p w14:paraId="7B314A55" w14:textId="77777777" w:rsidR="007362E8" w:rsidRPr="007362E8" w:rsidRDefault="007362E8" w:rsidP="007362E8">
      <w:pPr>
        <w:spacing w:before="120" w:after="120" w:line="360" w:lineRule="auto"/>
        <w:ind w:left="850"/>
        <w:rPr>
          <w:rFonts w:eastAsia="Calibri"/>
          <w:color w:val="000000"/>
          <w:szCs w:val="22"/>
          <w:lang w:val="pl-PL" w:eastAsia="en-US"/>
        </w:rPr>
      </w:pPr>
      <w:r w:rsidRPr="007362E8">
        <w:rPr>
          <w:rFonts w:eastAsia="Calibri"/>
          <w:color w:val="000000"/>
          <w:szCs w:val="22"/>
          <w:lang w:val="pl-PL" w:eastAsia="en-US"/>
        </w:rPr>
        <w:t>Do dnia 31 sierpnia 2026 r. państwa członkowskie mogą podjąć decyzję o zwiększeniu lub zmniejszeniu swoich przydziałów środków na płatności bezpośrednie określonych w załącznikach V i IX na rok kalendarzowy 2027 o kwotę nieprzekraczającą maksymalnej kwoty zwiększenia lub zmniejszenia określonej w załączniku XVI dla danego państwa członkowskiego, w ramach wniosku o zmianę strategiczną ich odpowiednich planów strategicznych WPR, o którym mowa w art. 119.”;</w:t>
      </w:r>
    </w:p>
    <w:p w14:paraId="2CFD95CB" w14:textId="77777777" w:rsidR="007362E8" w:rsidRPr="007362E8" w:rsidRDefault="007362E8" w:rsidP="007362E8">
      <w:pPr>
        <w:spacing w:after="160" w:line="278" w:lineRule="auto"/>
        <w:rPr>
          <w:rFonts w:eastAsia="Calibri"/>
          <w:color w:val="000000"/>
          <w:szCs w:val="22"/>
          <w:lang w:val="pl-PL" w:eastAsia="en-US"/>
        </w:rPr>
      </w:pPr>
      <w:r w:rsidRPr="007362E8">
        <w:rPr>
          <w:rFonts w:eastAsia="Calibri"/>
          <w:color w:val="000000"/>
          <w:szCs w:val="22"/>
          <w:lang w:val="pl-PL" w:eastAsia="en-US"/>
        </w:rPr>
        <w:br w:type="page"/>
      </w:r>
    </w:p>
    <w:p w14:paraId="17684A6A" w14:textId="77777777" w:rsidR="007362E8" w:rsidRPr="007362E8" w:rsidRDefault="007362E8" w:rsidP="007362E8">
      <w:pPr>
        <w:spacing w:before="120" w:after="120" w:line="360" w:lineRule="auto"/>
        <w:ind w:left="850" w:hanging="850"/>
        <w:rPr>
          <w:rFonts w:eastAsia="Calibri"/>
          <w:color w:val="000000"/>
          <w:szCs w:val="22"/>
          <w:lang w:val="pl-PL" w:eastAsia="en-US"/>
        </w:rPr>
      </w:pPr>
      <w:r w:rsidRPr="007362E8">
        <w:rPr>
          <w:rFonts w:eastAsia="Calibri"/>
          <w:color w:val="000000"/>
          <w:szCs w:val="22"/>
          <w:lang w:val="pl-PL" w:eastAsia="en-US"/>
        </w:rPr>
        <w:lastRenderedPageBreak/>
        <w:t>9)</w:t>
      </w:r>
      <w:r w:rsidRPr="007362E8">
        <w:rPr>
          <w:rFonts w:eastAsia="Calibri"/>
          <w:color w:val="000000"/>
          <w:szCs w:val="22"/>
          <w:lang w:val="pl-PL" w:eastAsia="en-US"/>
        </w:rPr>
        <w:tab/>
        <w:t>art. 111 akapit drugi otrzymuje brzmienie:</w:t>
      </w:r>
    </w:p>
    <w:p w14:paraId="16FB8ACB" w14:textId="77777777" w:rsidR="007362E8" w:rsidRPr="007362E8" w:rsidRDefault="007362E8" w:rsidP="007362E8">
      <w:pPr>
        <w:spacing w:before="120" w:after="120" w:line="360" w:lineRule="auto"/>
        <w:ind w:left="850"/>
        <w:rPr>
          <w:rFonts w:eastAsia="Calibri"/>
          <w:color w:val="000000"/>
          <w:szCs w:val="22"/>
          <w:lang w:val="pl-PL" w:eastAsia="en-US"/>
        </w:rPr>
      </w:pPr>
      <w:r w:rsidRPr="007362E8">
        <w:rPr>
          <w:rFonts w:eastAsia="Calibri"/>
          <w:color w:val="000000"/>
          <w:szCs w:val="22"/>
          <w:lang w:val="pl-PL" w:eastAsia="en-US"/>
        </w:rPr>
        <w:t>„Lit. e) akapitu pierwszego nie ma zastosowania do rodzaju interwencji w sektorze pszczelarstwa, o którym mowa w art. 55 ust. 1 lit. a) i c)–g), interwencji obejmujących rodzaj interwencji w sektorze wina, o którym mowa w art. 58 ust. 1 lit. h)–k), działań informacyjnych i promocyjnych dla systemów jakości obejmujących rodzaj interwencji na rzecz współpracy, o którym mowa w art. 77, interwencji obejmujących rodzaj interwencji związanych z płatnościami kryzysowymi dla rolników w następstwie klęsk żywiołowych, niekorzystnych zjawisk klimatycznych lub katastrof, o których mowa w art. 78a, ani do interwencji obejmujących rodzaj interwencji związanych ze wsparciem dla rolników dotkniętych znacznym wzrostem cen nawozów, o którym to wsparciu mowa w art. 78b.”;</w:t>
      </w:r>
    </w:p>
    <w:p w14:paraId="4B084FC2" w14:textId="77777777" w:rsidR="007362E8" w:rsidRPr="007362E8" w:rsidRDefault="007362E8" w:rsidP="007362E8">
      <w:pPr>
        <w:spacing w:before="120" w:after="120" w:line="360" w:lineRule="auto"/>
        <w:ind w:left="850" w:hanging="850"/>
        <w:rPr>
          <w:rFonts w:eastAsia="Calibri"/>
          <w:color w:val="000000"/>
          <w:szCs w:val="22"/>
          <w:lang w:val="pl-PL" w:eastAsia="en-US"/>
        </w:rPr>
      </w:pPr>
      <w:r w:rsidRPr="007362E8">
        <w:rPr>
          <w:rFonts w:eastAsia="Calibri"/>
          <w:color w:val="000000"/>
          <w:szCs w:val="22"/>
          <w:lang w:val="pl-PL" w:eastAsia="en-US"/>
        </w:rPr>
        <w:t>10)</w:t>
      </w:r>
      <w:r w:rsidRPr="007362E8">
        <w:rPr>
          <w:rFonts w:eastAsia="Calibri"/>
          <w:color w:val="000000"/>
          <w:szCs w:val="22"/>
          <w:lang w:val="pl-PL" w:eastAsia="en-US"/>
        </w:rPr>
        <w:tab/>
        <w:t>art. 112 ust. 2 lit. b) otrzymuje brzmienie:</w:t>
      </w:r>
    </w:p>
    <w:p w14:paraId="18E8A04B" w14:textId="77777777" w:rsidR="007362E8" w:rsidRPr="007362E8" w:rsidRDefault="007362E8" w:rsidP="007362E8">
      <w:pPr>
        <w:spacing w:before="120" w:after="120" w:line="360" w:lineRule="auto"/>
        <w:ind w:left="1418" w:hanging="568"/>
        <w:rPr>
          <w:rFonts w:eastAsia="Calibri"/>
          <w:color w:val="000000"/>
          <w:szCs w:val="22"/>
          <w:lang w:val="pl-PL" w:eastAsia="en-US"/>
        </w:rPr>
      </w:pPr>
      <w:r w:rsidRPr="007362E8">
        <w:rPr>
          <w:rFonts w:eastAsia="Calibri"/>
          <w:color w:val="000000"/>
          <w:szCs w:val="22"/>
          <w:lang w:val="pl-PL" w:eastAsia="en-US"/>
        </w:rPr>
        <w:t>„b)</w:t>
      </w:r>
      <w:r w:rsidRPr="007362E8">
        <w:rPr>
          <w:rFonts w:eastAsia="Calibri"/>
          <w:color w:val="000000"/>
          <w:szCs w:val="22"/>
          <w:lang w:val="pl-PL" w:eastAsia="en-US"/>
        </w:rPr>
        <w:tab/>
        <w:t>przesunięć kwot, o których mowa w lit. a), między rodzajami interwencji w formie płatności bezpośrednich i rodzajami interwencji związanych z rozwojem obszarów wiejskich zgodnie z art. 103, wszelkich potrąceń z przydziałów państw członkowskich na rodzaje interwencji w formie płatności bezpośrednich w celu udostępnienia kwot na rodzaje interwencji w innych sektorach, o których mowa w tytule III rozdział III sekcja 7, zgodnie z art. 88 ust. 6, oraz wszelkich dostosowań przydziałów na płatności bezpośrednie zgodnie z art. 103a;”;</w:t>
      </w:r>
    </w:p>
    <w:p w14:paraId="2F5A166B" w14:textId="77777777" w:rsidR="007362E8" w:rsidRPr="007362E8" w:rsidRDefault="007362E8" w:rsidP="007362E8">
      <w:pPr>
        <w:spacing w:after="160" w:line="278" w:lineRule="auto"/>
        <w:rPr>
          <w:rFonts w:eastAsia="Calibri"/>
          <w:color w:val="000000"/>
          <w:szCs w:val="22"/>
          <w:lang w:val="pl-PL" w:eastAsia="en-US"/>
        </w:rPr>
      </w:pPr>
      <w:r w:rsidRPr="007362E8">
        <w:rPr>
          <w:rFonts w:eastAsia="Calibri"/>
          <w:color w:val="000000"/>
          <w:szCs w:val="22"/>
          <w:lang w:val="pl-PL" w:eastAsia="en-US"/>
        </w:rPr>
        <w:br w:type="page"/>
      </w:r>
    </w:p>
    <w:p w14:paraId="2E1AD10D" w14:textId="77777777" w:rsidR="007362E8" w:rsidRPr="007362E8" w:rsidRDefault="007362E8" w:rsidP="007362E8">
      <w:pPr>
        <w:spacing w:before="120" w:after="120" w:line="360" w:lineRule="auto"/>
        <w:ind w:left="850" w:hanging="850"/>
        <w:rPr>
          <w:rFonts w:eastAsia="Calibri"/>
          <w:color w:val="000000"/>
          <w:szCs w:val="22"/>
          <w:lang w:val="pl-PL" w:eastAsia="en-US"/>
        </w:rPr>
      </w:pPr>
      <w:r w:rsidRPr="007362E8">
        <w:rPr>
          <w:rFonts w:eastAsia="Calibri"/>
          <w:color w:val="000000"/>
          <w:szCs w:val="22"/>
          <w:lang w:val="pl-PL" w:eastAsia="en-US"/>
        </w:rPr>
        <w:lastRenderedPageBreak/>
        <w:t>11)</w:t>
      </w:r>
      <w:r w:rsidRPr="007362E8">
        <w:rPr>
          <w:rFonts w:eastAsia="Calibri"/>
          <w:color w:val="000000"/>
          <w:szCs w:val="22"/>
          <w:lang w:val="pl-PL" w:eastAsia="en-US"/>
        </w:rPr>
        <w:tab/>
        <w:t>w art. 119 wprowadza się następujące zmiany:</w:t>
      </w:r>
    </w:p>
    <w:p w14:paraId="55D2B2D1" w14:textId="77777777" w:rsidR="007362E8" w:rsidRPr="007362E8" w:rsidRDefault="007362E8" w:rsidP="007362E8">
      <w:pPr>
        <w:spacing w:before="120" w:after="120" w:line="360" w:lineRule="auto"/>
        <w:ind w:left="1417" w:hanging="567"/>
        <w:rPr>
          <w:rFonts w:eastAsia="Calibri"/>
          <w:color w:val="000000"/>
          <w:szCs w:val="22"/>
          <w:lang w:val="pl-PL" w:eastAsia="en-US"/>
        </w:rPr>
      </w:pPr>
      <w:r w:rsidRPr="007362E8">
        <w:rPr>
          <w:rFonts w:eastAsia="Calibri"/>
          <w:color w:val="000000"/>
          <w:szCs w:val="22"/>
          <w:lang w:val="pl-PL" w:eastAsia="en-US"/>
        </w:rPr>
        <w:t>a)</w:t>
      </w:r>
      <w:r w:rsidRPr="007362E8">
        <w:rPr>
          <w:rFonts w:eastAsia="Calibri"/>
          <w:color w:val="000000"/>
          <w:szCs w:val="22"/>
          <w:lang w:val="pl-PL" w:eastAsia="en-US"/>
        </w:rPr>
        <w:tab/>
        <w:t>ust. 2 akapit pierwszy lit. c) otrzymuje brzmienie:</w:t>
      </w:r>
    </w:p>
    <w:p w14:paraId="0F22E6A1" w14:textId="77777777" w:rsidR="007362E8" w:rsidRPr="007362E8" w:rsidRDefault="007362E8" w:rsidP="007362E8">
      <w:pPr>
        <w:spacing w:before="120" w:after="120" w:line="360" w:lineRule="auto"/>
        <w:ind w:left="1985" w:hanging="567"/>
        <w:rPr>
          <w:rFonts w:eastAsia="Calibri"/>
          <w:color w:val="000000"/>
          <w:szCs w:val="22"/>
          <w:lang w:val="pl-PL" w:eastAsia="en-US"/>
        </w:rPr>
      </w:pPr>
      <w:r w:rsidRPr="007362E8">
        <w:rPr>
          <w:rFonts w:eastAsia="Calibri"/>
          <w:color w:val="000000"/>
          <w:szCs w:val="22"/>
          <w:lang w:val="pl-PL" w:eastAsia="en-US"/>
        </w:rPr>
        <w:t>„c)</w:t>
      </w:r>
      <w:r w:rsidRPr="007362E8">
        <w:rPr>
          <w:rFonts w:eastAsia="Calibri"/>
          <w:color w:val="000000"/>
          <w:szCs w:val="22"/>
          <w:lang w:val="pl-PL" w:eastAsia="en-US"/>
        </w:rPr>
        <w:tab/>
        <w:t>zmiany związane z art. 17 ust. 5, art. 88 ust. 7, art. 92–98, art. 103 ust. 1, 5 i 6 lub art. 103a;”;</w:t>
      </w:r>
    </w:p>
    <w:p w14:paraId="48F654C7" w14:textId="77777777" w:rsidR="007362E8" w:rsidRPr="007362E8" w:rsidRDefault="007362E8" w:rsidP="007362E8">
      <w:pPr>
        <w:spacing w:before="120" w:after="120" w:line="360" w:lineRule="auto"/>
        <w:ind w:left="1417" w:hanging="567"/>
        <w:rPr>
          <w:rFonts w:eastAsia="Calibri"/>
          <w:color w:val="000000"/>
          <w:szCs w:val="22"/>
          <w:lang w:val="pl-PL" w:eastAsia="en-US"/>
        </w:rPr>
      </w:pPr>
      <w:r w:rsidRPr="007362E8">
        <w:rPr>
          <w:rFonts w:eastAsia="Calibri"/>
          <w:color w:val="000000"/>
          <w:szCs w:val="22"/>
          <w:lang w:val="pl-PL" w:eastAsia="en-US"/>
        </w:rPr>
        <w:t>b)</w:t>
      </w:r>
      <w:r w:rsidRPr="007362E8">
        <w:rPr>
          <w:rFonts w:eastAsia="Calibri"/>
          <w:color w:val="000000"/>
          <w:szCs w:val="22"/>
          <w:lang w:val="pl-PL" w:eastAsia="en-US"/>
        </w:rPr>
        <w:tab/>
        <w:t xml:space="preserve"> ust. 7 akapit drugi otrzymuje brzmienie:</w:t>
      </w:r>
    </w:p>
    <w:p w14:paraId="2D1F292A" w14:textId="77777777" w:rsidR="007362E8" w:rsidRPr="007362E8" w:rsidRDefault="007362E8" w:rsidP="007362E8">
      <w:pPr>
        <w:spacing w:before="120" w:after="120" w:line="360" w:lineRule="auto"/>
        <w:ind w:left="1418"/>
        <w:rPr>
          <w:rFonts w:eastAsia="Calibri"/>
          <w:color w:val="000000"/>
          <w:szCs w:val="22"/>
          <w:lang w:val="pl-PL" w:eastAsia="en-US"/>
        </w:rPr>
      </w:pPr>
      <w:r w:rsidRPr="007362E8">
        <w:rPr>
          <w:rFonts w:eastAsia="Calibri"/>
          <w:color w:val="000000"/>
          <w:szCs w:val="22"/>
          <w:lang w:val="pl-PL" w:eastAsia="en-US"/>
        </w:rPr>
        <w:t>„Wniosku o strategiczną zmianę związaną z art. 17 ust. 5, art. 78b, art. 88 ust. 7, art. 103 ust. 5 lub 6 lub art. 103a nie wlicza się do ograniczenia określonego w akapicie pierwszym niniejszego ustępu.”;</w:t>
      </w:r>
    </w:p>
    <w:p w14:paraId="1F7B060E" w14:textId="77777777" w:rsidR="007362E8" w:rsidRPr="007362E8" w:rsidRDefault="007362E8" w:rsidP="007362E8">
      <w:pPr>
        <w:spacing w:before="120" w:after="120" w:line="360" w:lineRule="auto"/>
        <w:ind w:left="850" w:hanging="850"/>
        <w:rPr>
          <w:rFonts w:eastAsia="Calibri"/>
          <w:color w:val="000000"/>
          <w:szCs w:val="22"/>
          <w:lang w:val="pl-PL" w:eastAsia="en-US"/>
        </w:rPr>
      </w:pPr>
      <w:r w:rsidRPr="007362E8">
        <w:rPr>
          <w:rFonts w:eastAsia="Calibri"/>
          <w:color w:val="000000"/>
          <w:szCs w:val="22"/>
          <w:lang w:val="pl-PL" w:eastAsia="en-US"/>
        </w:rPr>
        <w:t>12)</w:t>
      </w:r>
      <w:r w:rsidRPr="007362E8">
        <w:rPr>
          <w:rFonts w:eastAsia="Calibri"/>
          <w:color w:val="000000"/>
          <w:szCs w:val="22"/>
          <w:lang w:val="pl-PL" w:eastAsia="en-US"/>
        </w:rPr>
        <w:tab/>
        <w:t>art. 121 akapit drugi lit. b) otrzymuje brzmienie:</w:t>
      </w:r>
    </w:p>
    <w:p w14:paraId="4DA3F9BD" w14:textId="77777777" w:rsidR="007362E8" w:rsidRPr="007362E8" w:rsidRDefault="007362E8" w:rsidP="007362E8">
      <w:pPr>
        <w:spacing w:before="120" w:after="120" w:line="360" w:lineRule="auto"/>
        <w:ind w:left="1418" w:hanging="568"/>
        <w:rPr>
          <w:rFonts w:eastAsia="Calibri"/>
          <w:color w:val="000000"/>
          <w:szCs w:val="22"/>
          <w:lang w:val="pl-PL" w:eastAsia="en-US"/>
        </w:rPr>
      </w:pPr>
      <w:r w:rsidRPr="007362E8">
        <w:rPr>
          <w:rFonts w:eastAsia="Calibri"/>
          <w:color w:val="000000"/>
          <w:szCs w:val="22"/>
          <w:lang w:val="pl-PL" w:eastAsia="en-US"/>
        </w:rPr>
        <w:t>„b)</w:t>
      </w:r>
      <w:r w:rsidRPr="007362E8">
        <w:rPr>
          <w:rFonts w:eastAsia="Calibri"/>
          <w:color w:val="000000"/>
          <w:szCs w:val="22"/>
          <w:lang w:val="pl-PL" w:eastAsia="en-US"/>
        </w:rPr>
        <w:tab/>
        <w:t>w przypadku zmian dotyczących art. 17 ust. 5, art. 88 ust. 7, art. 103 ust. 5 oraz art. 103a, okresu przyjęcia aktu delegowanego w odniesieniu do zmiany przydziałów zgodnie z art. 87 ust. 2.”;</w:t>
      </w:r>
    </w:p>
    <w:p w14:paraId="26B09969" w14:textId="77777777" w:rsidR="007362E8" w:rsidRPr="007362E8" w:rsidRDefault="007362E8" w:rsidP="007362E8">
      <w:pPr>
        <w:spacing w:before="120" w:after="120" w:line="360" w:lineRule="auto"/>
        <w:ind w:left="850" w:hanging="850"/>
        <w:rPr>
          <w:rFonts w:eastAsia="Calibri"/>
          <w:color w:val="000000"/>
          <w:szCs w:val="22"/>
          <w:lang w:val="pl-PL" w:eastAsia="en-US"/>
        </w:rPr>
      </w:pPr>
      <w:r w:rsidRPr="007362E8">
        <w:rPr>
          <w:rFonts w:eastAsia="Calibri"/>
          <w:color w:val="000000"/>
          <w:szCs w:val="22"/>
          <w:lang w:val="pl-PL" w:eastAsia="en-US"/>
        </w:rPr>
        <w:t>13)</w:t>
      </w:r>
      <w:r w:rsidRPr="007362E8">
        <w:rPr>
          <w:rFonts w:eastAsia="Calibri"/>
          <w:color w:val="000000"/>
          <w:szCs w:val="22"/>
          <w:lang w:val="pl-PL" w:eastAsia="en-US"/>
        </w:rPr>
        <w:tab/>
        <w:t>w art. 146 dodaje się akapit w brzmieniu:</w:t>
      </w:r>
    </w:p>
    <w:p w14:paraId="5FFA0B23" w14:textId="77777777" w:rsidR="007362E8" w:rsidRPr="007362E8" w:rsidRDefault="007362E8" w:rsidP="007362E8">
      <w:pPr>
        <w:spacing w:before="120" w:after="120" w:line="360" w:lineRule="auto"/>
        <w:ind w:left="850"/>
        <w:rPr>
          <w:rFonts w:eastAsia="Calibri"/>
          <w:color w:val="000000"/>
          <w:szCs w:val="22"/>
          <w:lang w:val="pl-PL" w:eastAsia="en-US"/>
        </w:rPr>
      </w:pPr>
      <w:r w:rsidRPr="007362E8">
        <w:rPr>
          <w:rFonts w:eastAsia="Calibri"/>
          <w:color w:val="000000"/>
          <w:szCs w:val="22"/>
          <w:lang w:val="pl-PL" w:eastAsia="en-US"/>
        </w:rPr>
        <w:t>„Państwa członkowskie mogą zapewnić dodatkowe finansowanie krajowe w wysokości do 200 % finansowania z EFRROW przydzielonego w planie strategicznym WPR na wsparcie na podstawie art. 78b.”;</w:t>
      </w:r>
    </w:p>
    <w:p w14:paraId="168A2E2F" w14:textId="77777777" w:rsidR="007362E8" w:rsidRPr="007362E8" w:rsidRDefault="007362E8" w:rsidP="007362E8">
      <w:pPr>
        <w:spacing w:after="160" w:line="278" w:lineRule="auto"/>
        <w:rPr>
          <w:rFonts w:eastAsia="Calibri"/>
          <w:color w:val="000000"/>
          <w:szCs w:val="22"/>
          <w:lang w:val="pl-PL" w:eastAsia="en-US"/>
        </w:rPr>
      </w:pPr>
      <w:r w:rsidRPr="007362E8">
        <w:rPr>
          <w:rFonts w:eastAsia="Calibri"/>
          <w:color w:val="000000"/>
          <w:szCs w:val="22"/>
          <w:lang w:val="pl-PL" w:eastAsia="en-US"/>
        </w:rPr>
        <w:br w:type="page"/>
      </w:r>
    </w:p>
    <w:p w14:paraId="4E1A8D33" w14:textId="77777777" w:rsidR="007362E8" w:rsidRPr="007362E8" w:rsidRDefault="007362E8" w:rsidP="007362E8">
      <w:pPr>
        <w:spacing w:before="120" w:after="120" w:line="360" w:lineRule="auto"/>
        <w:ind w:left="850" w:hanging="850"/>
        <w:rPr>
          <w:rFonts w:eastAsia="Calibri"/>
          <w:color w:val="000000"/>
          <w:szCs w:val="22"/>
          <w:lang w:val="pl-PL" w:eastAsia="en-US"/>
        </w:rPr>
      </w:pPr>
      <w:r w:rsidRPr="007362E8">
        <w:rPr>
          <w:rFonts w:eastAsia="Calibri"/>
          <w:color w:val="000000"/>
          <w:szCs w:val="22"/>
          <w:lang w:val="pl-PL" w:eastAsia="en-US"/>
        </w:rPr>
        <w:lastRenderedPageBreak/>
        <w:t>14)</w:t>
      </w:r>
      <w:r w:rsidRPr="007362E8">
        <w:rPr>
          <w:rFonts w:eastAsia="Calibri"/>
          <w:color w:val="000000"/>
          <w:szCs w:val="22"/>
          <w:lang w:val="pl-PL" w:eastAsia="en-US"/>
        </w:rPr>
        <w:tab/>
        <w:t>w załącznikach I </w:t>
      </w:r>
      <w:proofErr w:type="spellStart"/>
      <w:r w:rsidRPr="007362E8">
        <w:rPr>
          <w:rFonts w:eastAsia="Calibri"/>
          <w:color w:val="000000"/>
          <w:szCs w:val="22"/>
          <w:lang w:val="pl-PL" w:eastAsia="en-US"/>
        </w:rPr>
        <w:t>i</w:t>
      </w:r>
      <w:proofErr w:type="spellEnd"/>
      <w:r w:rsidRPr="007362E8">
        <w:rPr>
          <w:rFonts w:eastAsia="Calibri"/>
          <w:color w:val="000000"/>
          <w:szCs w:val="22"/>
          <w:lang w:val="pl-PL" w:eastAsia="en-US"/>
        </w:rPr>
        <w:t> XV wprowadza się zmiany zgodnie z załącznikiem I do niniejszego rozporządzenia;</w:t>
      </w:r>
    </w:p>
    <w:p w14:paraId="6BA7CC58" w14:textId="77777777" w:rsidR="007362E8" w:rsidRPr="007362E8" w:rsidRDefault="007362E8" w:rsidP="007362E8">
      <w:pPr>
        <w:spacing w:before="120" w:after="120" w:line="360" w:lineRule="auto"/>
        <w:ind w:left="850" w:hanging="850"/>
        <w:rPr>
          <w:rFonts w:eastAsia="Calibri"/>
          <w:color w:val="000000"/>
          <w:szCs w:val="22"/>
          <w:lang w:val="pl-PL" w:eastAsia="en-US"/>
        </w:rPr>
      </w:pPr>
      <w:r w:rsidRPr="007362E8">
        <w:rPr>
          <w:rFonts w:eastAsia="Calibri"/>
          <w:color w:val="000000"/>
          <w:szCs w:val="22"/>
          <w:lang w:val="pl-PL" w:eastAsia="en-US"/>
        </w:rPr>
        <w:t>15)</w:t>
      </w:r>
      <w:r w:rsidRPr="007362E8">
        <w:rPr>
          <w:rFonts w:eastAsia="Calibri"/>
          <w:color w:val="000000"/>
          <w:szCs w:val="22"/>
          <w:lang w:val="pl-PL" w:eastAsia="en-US"/>
        </w:rPr>
        <w:tab/>
        <w:t>tekst załącznika II do niniejszego rozporządzenia dodaje się jako załącznik XVI.</w:t>
      </w:r>
    </w:p>
    <w:p w14:paraId="1F573E9D" w14:textId="77777777" w:rsidR="007362E8" w:rsidRPr="007362E8" w:rsidRDefault="007362E8" w:rsidP="007362E8">
      <w:pPr>
        <w:keepNext/>
        <w:spacing w:before="120" w:after="120" w:line="360" w:lineRule="auto"/>
        <w:jc w:val="center"/>
        <w:rPr>
          <w:rFonts w:eastAsia="Calibri"/>
          <w:i/>
          <w:color w:val="000000"/>
          <w:szCs w:val="22"/>
          <w:lang w:val="pl-PL" w:eastAsia="en-US"/>
        </w:rPr>
      </w:pPr>
      <w:r w:rsidRPr="007362E8">
        <w:rPr>
          <w:rFonts w:eastAsia="Calibri"/>
          <w:i/>
          <w:color w:val="000000"/>
          <w:szCs w:val="22"/>
          <w:lang w:val="pl-PL" w:eastAsia="en-US"/>
        </w:rPr>
        <w:t>Artykuł 2</w:t>
      </w:r>
    </w:p>
    <w:p w14:paraId="7109BD36" w14:textId="77777777" w:rsidR="007362E8" w:rsidRPr="007362E8" w:rsidRDefault="007362E8" w:rsidP="007362E8">
      <w:pPr>
        <w:spacing w:before="120" w:after="120" w:line="360" w:lineRule="auto"/>
        <w:jc w:val="center"/>
        <w:rPr>
          <w:rFonts w:eastAsia="Calibri"/>
          <w:b/>
          <w:bCs/>
          <w:color w:val="000000"/>
          <w:szCs w:val="22"/>
          <w:lang w:val="pl-PL" w:eastAsia="en-US"/>
        </w:rPr>
      </w:pPr>
      <w:r w:rsidRPr="007362E8">
        <w:rPr>
          <w:rFonts w:eastAsia="Calibri"/>
          <w:b/>
          <w:color w:val="000000"/>
          <w:szCs w:val="22"/>
          <w:lang w:val="pl-PL" w:eastAsia="en-US"/>
        </w:rPr>
        <w:t>Zmiany w rozporządzeniu (UE) 2021/2116</w:t>
      </w:r>
    </w:p>
    <w:p w14:paraId="1DACB8F4" w14:textId="77777777" w:rsidR="007362E8" w:rsidRPr="007362E8" w:rsidRDefault="007362E8" w:rsidP="007362E8">
      <w:pPr>
        <w:spacing w:before="120" w:after="120" w:line="360" w:lineRule="auto"/>
        <w:rPr>
          <w:rFonts w:eastAsia="Calibri"/>
          <w:color w:val="000000"/>
          <w:szCs w:val="22"/>
          <w:lang w:val="pl-PL" w:eastAsia="en-US"/>
        </w:rPr>
      </w:pPr>
      <w:r w:rsidRPr="007362E8">
        <w:rPr>
          <w:rFonts w:eastAsia="Calibri"/>
          <w:color w:val="000000"/>
          <w:szCs w:val="22"/>
          <w:lang w:val="pl-PL" w:eastAsia="en-US"/>
        </w:rPr>
        <w:t>W rozporządzeniu (UE) 2021/2116 wprowadza się następujące zmiany:</w:t>
      </w:r>
    </w:p>
    <w:p w14:paraId="064037B2" w14:textId="77777777" w:rsidR="007362E8" w:rsidRPr="007362E8" w:rsidRDefault="007362E8" w:rsidP="007362E8">
      <w:pPr>
        <w:spacing w:before="120" w:after="120" w:line="360" w:lineRule="auto"/>
        <w:ind w:left="850" w:hanging="850"/>
        <w:rPr>
          <w:rFonts w:eastAsia="Calibri"/>
          <w:color w:val="000000"/>
          <w:szCs w:val="22"/>
          <w:lang w:val="pl-PL" w:eastAsia="en-US"/>
        </w:rPr>
      </w:pPr>
      <w:r w:rsidRPr="007362E8">
        <w:rPr>
          <w:rFonts w:eastAsia="Calibri"/>
          <w:color w:val="000000"/>
          <w:szCs w:val="22"/>
          <w:lang w:val="pl-PL" w:eastAsia="en-US"/>
        </w:rPr>
        <w:t>1)</w:t>
      </w:r>
      <w:r w:rsidRPr="007362E8">
        <w:rPr>
          <w:rFonts w:eastAsia="Calibri"/>
          <w:color w:val="000000"/>
          <w:szCs w:val="22"/>
          <w:lang w:val="pl-PL" w:eastAsia="en-US"/>
        </w:rPr>
        <w:tab/>
        <w:t>art. 21 ust. 2 akapit pierwszy otrzymuje brzmienie:</w:t>
      </w:r>
    </w:p>
    <w:p w14:paraId="68A54CFA" w14:textId="77777777" w:rsidR="007362E8" w:rsidRPr="007362E8" w:rsidRDefault="007362E8" w:rsidP="007362E8">
      <w:pPr>
        <w:spacing w:before="120" w:after="120" w:line="360" w:lineRule="auto"/>
        <w:ind w:left="1418" w:hanging="568"/>
        <w:rPr>
          <w:rFonts w:eastAsia="Calibri"/>
          <w:color w:val="000000"/>
          <w:szCs w:val="22"/>
          <w:lang w:val="pl-PL" w:eastAsia="en-US"/>
        </w:rPr>
      </w:pPr>
      <w:r w:rsidRPr="007362E8">
        <w:rPr>
          <w:rFonts w:eastAsia="Calibri"/>
          <w:color w:val="000000"/>
          <w:szCs w:val="22"/>
          <w:lang w:val="pl-PL" w:eastAsia="en-US"/>
        </w:rPr>
        <w:t>„2.</w:t>
      </w:r>
      <w:r w:rsidRPr="007362E8">
        <w:rPr>
          <w:rFonts w:eastAsia="Calibri"/>
          <w:color w:val="000000"/>
          <w:szCs w:val="22"/>
          <w:lang w:val="pl-PL" w:eastAsia="en-US"/>
        </w:rPr>
        <w:tab/>
        <w:t xml:space="preserve">Płatności miesięcznych na rzecz każdego państwa członkowskiego dokonuje się najpóźniej trzeciego dnia roboczego drugiego miesiąca następującego po miesiącu, w którym dokonano wydatków, przy uwzględnieniu zmniejszeń lub </w:t>
      </w:r>
      <w:proofErr w:type="spellStart"/>
      <w:r w:rsidRPr="007362E8">
        <w:rPr>
          <w:rFonts w:eastAsia="Calibri"/>
          <w:color w:val="000000"/>
          <w:szCs w:val="22"/>
          <w:lang w:val="pl-PL" w:eastAsia="en-US"/>
        </w:rPr>
        <w:t>zawieszeń</w:t>
      </w:r>
      <w:proofErr w:type="spellEnd"/>
      <w:r w:rsidRPr="007362E8">
        <w:rPr>
          <w:rFonts w:eastAsia="Calibri"/>
          <w:color w:val="000000"/>
          <w:szCs w:val="22"/>
          <w:lang w:val="pl-PL" w:eastAsia="en-US"/>
        </w:rPr>
        <w:t xml:space="preserve"> zastosowanych na podstawie art. 39–42 lub innych korekt. Wydatki dokonane przez państwa członkowskie w okresie od 1 do 15 października zapisuje się jako wydatki dokonane w październiku. Wydatki dokonane w okresie od 16 do 31 października zapisuje się jako wydatki dokonane w listopadzie. Wydatki dokonane przez państwa członkowskie w celu wypłaty zaliczek przed dniem 16 października w roku kalendarzowym 2026 na podstawie art. 44 ust. 2 akapit drugi lit. a) uznaje się za dokonane w listopadzie i ujmuje w deklaracji dotyczącej tego miesiąca.”;</w:t>
      </w:r>
    </w:p>
    <w:p w14:paraId="2886FE32" w14:textId="77777777" w:rsidR="007362E8" w:rsidRPr="007362E8" w:rsidRDefault="007362E8" w:rsidP="007362E8">
      <w:pPr>
        <w:spacing w:after="160" w:line="278" w:lineRule="auto"/>
        <w:rPr>
          <w:rFonts w:eastAsia="Calibri"/>
          <w:color w:val="000000"/>
          <w:szCs w:val="22"/>
          <w:lang w:val="pl-PL" w:eastAsia="en-US"/>
        </w:rPr>
      </w:pPr>
      <w:r w:rsidRPr="007362E8">
        <w:rPr>
          <w:rFonts w:eastAsia="Calibri"/>
          <w:color w:val="000000"/>
          <w:szCs w:val="22"/>
          <w:lang w:val="pl-PL" w:eastAsia="en-US"/>
        </w:rPr>
        <w:br w:type="page"/>
      </w:r>
    </w:p>
    <w:p w14:paraId="5DD282CD" w14:textId="77777777" w:rsidR="007362E8" w:rsidRPr="007362E8" w:rsidRDefault="007362E8" w:rsidP="007362E8">
      <w:pPr>
        <w:spacing w:before="120" w:after="120" w:line="360" w:lineRule="auto"/>
        <w:ind w:left="850" w:hanging="850"/>
        <w:rPr>
          <w:rFonts w:eastAsia="Calibri"/>
          <w:color w:val="000000"/>
          <w:szCs w:val="22"/>
          <w:lang w:val="pl-PL" w:eastAsia="en-US"/>
        </w:rPr>
      </w:pPr>
      <w:r w:rsidRPr="007362E8">
        <w:rPr>
          <w:rFonts w:eastAsia="Calibri"/>
          <w:color w:val="000000"/>
          <w:szCs w:val="22"/>
          <w:lang w:val="pl-PL" w:eastAsia="en-US"/>
        </w:rPr>
        <w:lastRenderedPageBreak/>
        <w:t>2)</w:t>
      </w:r>
      <w:r w:rsidRPr="007362E8">
        <w:rPr>
          <w:rFonts w:eastAsia="Calibri"/>
          <w:color w:val="000000"/>
          <w:szCs w:val="22"/>
          <w:lang w:val="pl-PL" w:eastAsia="en-US"/>
        </w:rPr>
        <w:tab/>
        <w:t>art. 35 otrzymuje brzmienie:</w:t>
      </w:r>
    </w:p>
    <w:p w14:paraId="6FF0ECFA" w14:textId="77777777" w:rsidR="007362E8" w:rsidRPr="007362E8" w:rsidRDefault="007362E8" w:rsidP="007362E8">
      <w:pPr>
        <w:spacing w:before="120" w:after="120" w:line="360" w:lineRule="auto"/>
        <w:ind w:left="850"/>
        <w:rPr>
          <w:rFonts w:eastAsia="Calibri"/>
          <w:i/>
          <w:iCs/>
          <w:color w:val="000000"/>
          <w:szCs w:val="22"/>
          <w:lang w:val="pl-PL" w:eastAsia="en-US"/>
        </w:rPr>
      </w:pPr>
      <w:r w:rsidRPr="007362E8">
        <w:rPr>
          <w:rFonts w:eastAsia="Calibri"/>
          <w:color w:val="000000"/>
          <w:szCs w:val="22"/>
          <w:lang w:val="pl-PL" w:eastAsia="en-US"/>
        </w:rPr>
        <w:t>„</w:t>
      </w:r>
      <w:r w:rsidRPr="007362E8">
        <w:rPr>
          <w:rFonts w:eastAsia="Calibri"/>
          <w:i/>
          <w:color w:val="000000"/>
          <w:szCs w:val="22"/>
          <w:lang w:val="pl-PL" w:eastAsia="en-US"/>
        </w:rPr>
        <w:t xml:space="preserve">Artykuł 35 </w:t>
      </w:r>
    </w:p>
    <w:p w14:paraId="08C0325A" w14:textId="77777777" w:rsidR="007362E8" w:rsidRPr="007362E8" w:rsidRDefault="007362E8" w:rsidP="007362E8">
      <w:pPr>
        <w:spacing w:before="120" w:after="120" w:line="360" w:lineRule="auto"/>
        <w:ind w:left="850"/>
        <w:rPr>
          <w:rFonts w:eastAsia="Calibri"/>
          <w:b/>
          <w:bCs/>
          <w:color w:val="000000"/>
          <w:szCs w:val="22"/>
          <w:lang w:val="pl-PL" w:eastAsia="en-US"/>
        </w:rPr>
      </w:pPr>
      <w:r w:rsidRPr="007362E8">
        <w:rPr>
          <w:rFonts w:eastAsia="Calibri"/>
          <w:b/>
          <w:color w:val="000000"/>
          <w:szCs w:val="22"/>
          <w:lang w:val="pl-PL" w:eastAsia="en-US"/>
        </w:rPr>
        <w:t>Rolniczy rok budżetowy</w:t>
      </w:r>
    </w:p>
    <w:p w14:paraId="5058602A" w14:textId="77777777" w:rsidR="007362E8" w:rsidRPr="007362E8" w:rsidRDefault="007362E8" w:rsidP="007362E8">
      <w:pPr>
        <w:spacing w:before="120" w:after="120" w:line="360" w:lineRule="auto"/>
        <w:ind w:left="850"/>
        <w:rPr>
          <w:rFonts w:eastAsia="Calibri"/>
          <w:color w:val="000000"/>
          <w:szCs w:val="22"/>
          <w:lang w:val="pl-PL" w:eastAsia="en-US"/>
        </w:rPr>
      </w:pPr>
      <w:r w:rsidRPr="007362E8">
        <w:rPr>
          <w:rFonts w:eastAsia="Calibri"/>
          <w:color w:val="000000"/>
          <w:szCs w:val="22"/>
          <w:lang w:val="pl-PL" w:eastAsia="en-US"/>
        </w:rPr>
        <w:t xml:space="preserve">Bez uszczerbku dla szczególnych przepisów dotyczących deklaracji wydatków i dochodów związanych z interwencją publiczną, ustanowionych przez Komisję na podstawie art. 47 ust. 2 akapit pierwszy lit. a), oraz deklaracji wydatków związanych z zaliczkami wypłaconymi przed dniem 16 października w roku kalendarzowym 2026 na podstawie art. 44 ust. 2 akapit drugi lit. a), rolniczy rok budżetowy obejmuje poniesione wydatki i uzyskane dochody zaksięgowane w EFRG i EFRROW przez agencje płatnicze w odniesieniu do rolniczego roku budżetowego »N« rozpoczynającego się w dniu 16 października roku »N-1« oraz kończącego się w dniu 15 października roku »N«.”; </w:t>
      </w:r>
    </w:p>
    <w:p w14:paraId="696E114F" w14:textId="77777777" w:rsidR="007362E8" w:rsidRPr="007362E8" w:rsidRDefault="007362E8" w:rsidP="007362E8">
      <w:pPr>
        <w:spacing w:before="120" w:after="120" w:line="360" w:lineRule="auto"/>
        <w:ind w:left="850" w:hanging="850"/>
        <w:rPr>
          <w:rFonts w:eastAsia="Calibri"/>
          <w:color w:val="000000"/>
          <w:szCs w:val="22"/>
          <w:lang w:val="pl-PL" w:eastAsia="en-US"/>
        </w:rPr>
      </w:pPr>
      <w:r w:rsidRPr="007362E8">
        <w:rPr>
          <w:rFonts w:eastAsia="Calibri"/>
          <w:color w:val="000000"/>
          <w:szCs w:val="22"/>
          <w:lang w:val="pl-PL" w:eastAsia="en-US"/>
        </w:rPr>
        <w:t>3)</w:t>
      </w:r>
      <w:r w:rsidRPr="007362E8">
        <w:rPr>
          <w:rFonts w:eastAsia="Calibri"/>
          <w:color w:val="000000"/>
          <w:szCs w:val="22"/>
          <w:lang w:val="pl-PL" w:eastAsia="en-US"/>
        </w:rPr>
        <w:tab/>
        <w:t>art. 44 ust. 2 akapit drugi lit. a) otrzymuje brzmienie:</w:t>
      </w:r>
    </w:p>
    <w:p w14:paraId="3E9AECAD" w14:textId="77777777" w:rsidR="007362E8" w:rsidRPr="007362E8" w:rsidRDefault="007362E8" w:rsidP="007362E8">
      <w:pPr>
        <w:spacing w:before="120" w:after="120" w:line="360" w:lineRule="auto"/>
        <w:ind w:left="1418" w:hanging="568"/>
        <w:rPr>
          <w:rFonts w:eastAsia="Calibri"/>
          <w:color w:val="000000"/>
          <w:szCs w:val="22"/>
          <w:lang w:val="pl-PL" w:eastAsia="en-US"/>
        </w:rPr>
      </w:pPr>
      <w:r w:rsidRPr="007362E8">
        <w:rPr>
          <w:rFonts w:eastAsia="Calibri"/>
          <w:color w:val="000000"/>
          <w:szCs w:val="22"/>
          <w:lang w:val="pl-PL" w:eastAsia="en-US"/>
        </w:rPr>
        <w:t>„a)</w:t>
      </w:r>
      <w:r w:rsidRPr="007362E8">
        <w:rPr>
          <w:rFonts w:eastAsia="Calibri"/>
          <w:color w:val="000000"/>
          <w:szCs w:val="22"/>
          <w:lang w:val="pl-PL" w:eastAsia="en-US"/>
        </w:rPr>
        <w:tab/>
        <w:t>przed dniem 1 grudnia, ale nie wcześniej niż 16 października – wypłacać zaliczki w wysokości do 70 % z tytułu interwencji w formie płatności bezpośrednich i na pomoc stanowiącą płatności bezpośrednie w ramach środków, o których mowa w rozdziale IV rozporządzenia (UE) nr 228/2013 oraz w rozdziale IV rozporządzenia (UE) nr 229/2013, oraz, w odniesieniu do roku składania wniosków 2026, wypłacać zaliczki w wysokości do 75 % z tytułu interwencji i pomocy, o których mowa w niniejszej literze, w tym przed dniem 16 października 2026 r.”.</w:t>
      </w:r>
    </w:p>
    <w:p w14:paraId="58766EAE" w14:textId="77777777" w:rsidR="007362E8" w:rsidRPr="007362E8" w:rsidRDefault="007362E8" w:rsidP="007362E8">
      <w:pPr>
        <w:spacing w:after="160" w:line="278" w:lineRule="auto"/>
        <w:rPr>
          <w:rFonts w:eastAsia="Calibri"/>
          <w:i/>
          <w:color w:val="000000"/>
          <w:szCs w:val="22"/>
          <w:lang w:val="pl-PL" w:eastAsia="en-US"/>
        </w:rPr>
      </w:pPr>
      <w:r w:rsidRPr="007362E8">
        <w:rPr>
          <w:rFonts w:eastAsia="Calibri"/>
          <w:i/>
          <w:color w:val="000000"/>
          <w:szCs w:val="22"/>
          <w:lang w:val="pl-PL" w:eastAsia="en-US"/>
        </w:rPr>
        <w:br w:type="page"/>
      </w:r>
    </w:p>
    <w:p w14:paraId="5280EE23" w14:textId="77777777" w:rsidR="007362E8" w:rsidRPr="007362E8" w:rsidRDefault="007362E8" w:rsidP="007362E8">
      <w:pPr>
        <w:keepNext/>
        <w:spacing w:before="120" w:after="120" w:line="360" w:lineRule="auto"/>
        <w:jc w:val="center"/>
        <w:rPr>
          <w:rFonts w:eastAsia="Calibri"/>
          <w:i/>
          <w:color w:val="000000"/>
          <w:szCs w:val="22"/>
          <w:lang w:val="pl-PL" w:eastAsia="en-US"/>
        </w:rPr>
      </w:pPr>
      <w:r w:rsidRPr="007362E8">
        <w:rPr>
          <w:rFonts w:eastAsia="Calibri"/>
          <w:i/>
          <w:color w:val="000000"/>
          <w:szCs w:val="22"/>
          <w:lang w:val="pl-PL" w:eastAsia="en-US"/>
        </w:rPr>
        <w:lastRenderedPageBreak/>
        <w:t>Artykuł 3</w:t>
      </w:r>
    </w:p>
    <w:p w14:paraId="373CA841" w14:textId="77777777" w:rsidR="007362E8" w:rsidRPr="007362E8" w:rsidRDefault="007362E8" w:rsidP="007362E8">
      <w:pPr>
        <w:spacing w:before="120" w:after="120" w:line="360" w:lineRule="auto"/>
        <w:jc w:val="center"/>
        <w:rPr>
          <w:rFonts w:eastAsia="Calibri"/>
          <w:b/>
          <w:bCs/>
          <w:color w:val="000000"/>
          <w:szCs w:val="22"/>
          <w:lang w:val="pl-PL" w:eastAsia="en-US"/>
        </w:rPr>
      </w:pPr>
      <w:r w:rsidRPr="007362E8">
        <w:rPr>
          <w:rFonts w:eastAsia="Calibri"/>
          <w:b/>
          <w:color w:val="000000"/>
          <w:szCs w:val="22"/>
          <w:lang w:val="pl-PL" w:eastAsia="en-US"/>
        </w:rPr>
        <w:t>Wejście w życie</w:t>
      </w:r>
    </w:p>
    <w:p w14:paraId="2D0FA2E7" w14:textId="77777777" w:rsidR="007362E8" w:rsidRPr="007362E8" w:rsidRDefault="007362E8" w:rsidP="007362E8">
      <w:pPr>
        <w:spacing w:before="120" w:after="120" w:line="360" w:lineRule="auto"/>
        <w:rPr>
          <w:rFonts w:eastAsia="Calibri"/>
          <w:color w:val="000000"/>
          <w:szCs w:val="22"/>
          <w:lang w:val="pl-PL" w:eastAsia="en-US"/>
        </w:rPr>
      </w:pPr>
      <w:r w:rsidRPr="007362E8">
        <w:rPr>
          <w:rFonts w:eastAsia="Calibri"/>
          <w:color w:val="000000"/>
          <w:szCs w:val="22"/>
          <w:lang w:val="pl-PL" w:eastAsia="en-US"/>
        </w:rPr>
        <w:t>Niniejsze rozporządzenie wchodzi w życie następnego dnia po jego opublikowaniu w </w:t>
      </w:r>
      <w:r w:rsidRPr="007362E8">
        <w:rPr>
          <w:rFonts w:eastAsia="Calibri"/>
          <w:i/>
          <w:color w:val="000000"/>
          <w:szCs w:val="22"/>
          <w:lang w:val="pl-PL" w:eastAsia="en-US"/>
        </w:rPr>
        <w:t>Dzienniku Urzędowym Unii Europejskiej</w:t>
      </w:r>
      <w:r w:rsidRPr="007362E8">
        <w:rPr>
          <w:rFonts w:eastAsia="Calibri"/>
          <w:color w:val="000000"/>
          <w:szCs w:val="22"/>
          <w:lang w:val="pl-PL" w:eastAsia="en-US"/>
        </w:rPr>
        <w:t>.</w:t>
      </w:r>
    </w:p>
    <w:p w14:paraId="4BE930DD" w14:textId="77777777" w:rsidR="007362E8" w:rsidRPr="007362E8" w:rsidRDefault="007362E8" w:rsidP="007362E8">
      <w:pPr>
        <w:spacing w:before="480" w:after="120"/>
        <w:rPr>
          <w:rFonts w:eastAsia="Calibri"/>
          <w:color w:val="000000"/>
          <w:szCs w:val="22"/>
          <w:lang w:val="pl-PL" w:eastAsia="en-US"/>
        </w:rPr>
      </w:pPr>
      <w:r w:rsidRPr="007362E8">
        <w:rPr>
          <w:rFonts w:eastAsia="Calibri"/>
          <w:color w:val="000000"/>
          <w:szCs w:val="22"/>
          <w:lang w:val="pl-PL" w:eastAsia="en-US"/>
        </w:rPr>
        <w:t>Niniejsze rozporządzenie wiąże w całości i jest bezpośrednio stosowane we wszystkich państwach członkowskich.</w:t>
      </w:r>
    </w:p>
    <w:p w14:paraId="4C0469EC" w14:textId="77777777" w:rsidR="007362E8" w:rsidRPr="007362E8" w:rsidRDefault="007362E8" w:rsidP="007362E8">
      <w:pPr>
        <w:keepNext/>
        <w:spacing w:before="120"/>
        <w:rPr>
          <w:rFonts w:eastAsia="Calibri"/>
          <w:color w:val="000000"/>
          <w:szCs w:val="22"/>
          <w:lang w:val="pl-PL" w:eastAsia="en-US"/>
        </w:rPr>
      </w:pPr>
      <w:r w:rsidRPr="007362E8">
        <w:rPr>
          <w:rFonts w:eastAsia="Calibri"/>
          <w:color w:val="000000"/>
          <w:szCs w:val="22"/>
          <w:lang w:val="pl-PL" w:eastAsia="en-US"/>
        </w:rPr>
        <w:t>Sporządzono w … dnia …</w:t>
      </w:r>
    </w:p>
    <w:p w14:paraId="60606231" w14:textId="77777777" w:rsidR="007362E8" w:rsidRPr="007362E8" w:rsidRDefault="007362E8" w:rsidP="007362E8">
      <w:pPr>
        <w:keepNext/>
        <w:tabs>
          <w:tab w:val="left" w:pos="4252"/>
        </w:tabs>
        <w:spacing w:before="720"/>
        <w:rPr>
          <w:rFonts w:eastAsia="Calibri"/>
          <w:i/>
          <w:color w:val="000000"/>
          <w:szCs w:val="22"/>
          <w:lang w:val="pl-PL" w:eastAsia="en-US"/>
        </w:rPr>
      </w:pPr>
      <w:r w:rsidRPr="007362E8">
        <w:rPr>
          <w:rFonts w:eastAsia="Calibri"/>
          <w:i/>
          <w:color w:val="000000"/>
          <w:szCs w:val="22"/>
          <w:lang w:val="pl-PL" w:eastAsia="en-US"/>
        </w:rPr>
        <w:t>W imieniu Parlamentu Europejskiego</w:t>
      </w:r>
      <w:r w:rsidRPr="007362E8">
        <w:rPr>
          <w:rFonts w:eastAsia="Calibri"/>
          <w:i/>
          <w:color w:val="000000"/>
          <w:szCs w:val="22"/>
          <w:lang w:val="pl-PL" w:eastAsia="en-US"/>
        </w:rPr>
        <w:tab/>
        <w:t>W imieniu Rady</w:t>
      </w:r>
    </w:p>
    <w:p w14:paraId="6CA3DB5F" w14:textId="77777777" w:rsidR="007362E8" w:rsidRPr="007362E8" w:rsidRDefault="007362E8" w:rsidP="007362E8">
      <w:pPr>
        <w:tabs>
          <w:tab w:val="left" w:pos="4252"/>
        </w:tabs>
        <w:rPr>
          <w:rFonts w:eastAsia="Calibri"/>
          <w:i/>
          <w:color w:val="000000"/>
          <w:szCs w:val="22"/>
          <w:lang w:val="pl-PL" w:eastAsia="en-US"/>
        </w:rPr>
      </w:pPr>
      <w:r w:rsidRPr="007362E8">
        <w:rPr>
          <w:rFonts w:eastAsia="Calibri"/>
          <w:i/>
          <w:color w:val="000000"/>
          <w:szCs w:val="22"/>
          <w:lang w:val="pl-PL" w:eastAsia="en-US"/>
        </w:rPr>
        <w:t>Przewodnicząca</w:t>
      </w:r>
      <w:r w:rsidRPr="007362E8">
        <w:rPr>
          <w:rFonts w:eastAsia="Calibri"/>
          <w:i/>
          <w:color w:val="000000"/>
          <w:szCs w:val="22"/>
          <w:lang w:val="pl-PL" w:eastAsia="en-US"/>
        </w:rPr>
        <w:tab/>
        <w:t>Przewodniczący</w:t>
      </w:r>
    </w:p>
    <w:p w14:paraId="6523C917" w14:textId="77777777" w:rsidR="007362E8" w:rsidRPr="007362E8" w:rsidRDefault="007362E8" w:rsidP="007362E8">
      <w:pPr>
        <w:spacing w:after="160" w:line="278" w:lineRule="auto"/>
        <w:rPr>
          <w:rFonts w:eastAsia="Calibri"/>
          <w:i/>
          <w:color w:val="000000"/>
          <w:szCs w:val="22"/>
          <w:lang w:val="pl-PL" w:eastAsia="en-US"/>
        </w:rPr>
      </w:pPr>
      <w:r w:rsidRPr="007362E8">
        <w:rPr>
          <w:rFonts w:eastAsia="Calibri"/>
          <w:i/>
          <w:color w:val="000000"/>
          <w:szCs w:val="22"/>
          <w:lang w:val="pl-PL" w:eastAsia="en-US"/>
        </w:rPr>
        <w:br w:type="page"/>
      </w:r>
    </w:p>
    <w:p w14:paraId="28E661AE" w14:textId="77777777" w:rsidR="007362E8" w:rsidRPr="007362E8" w:rsidRDefault="007362E8" w:rsidP="007362E8">
      <w:pPr>
        <w:tabs>
          <w:tab w:val="left" w:pos="4252"/>
        </w:tabs>
        <w:rPr>
          <w:rFonts w:eastAsia="Calibri"/>
          <w:i/>
          <w:color w:val="000000"/>
          <w:szCs w:val="22"/>
          <w:lang w:val="pl-PL" w:eastAsia="en-US"/>
        </w:rPr>
        <w:sectPr w:rsidR="007362E8" w:rsidRPr="007362E8" w:rsidSect="007362E8">
          <w:headerReference w:type="even" r:id="rId15"/>
          <w:headerReference w:type="default" r:id="rId16"/>
          <w:footerReference w:type="even" r:id="rId17"/>
          <w:footerReference w:type="default" r:id="rId18"/>
          <w:headerReference w:type="first" r:id="rId19"/>
          <w:footerReference w:type="first" r:id="rId20"/>
          <w:type w:val="continuous"/>
          <w:pgSz w:w="11907" w:h="16840" w:code="9"/>
          <w:pgMar w:top="1134" w:right="1418" w:bottom="1134" w:left="1418" w:header="709" w:footer="709" w:gutter="0"/>
          <w:pgNumType w:start="1"/>
          <w:cols w:space="720"/>
          <w:docGrid w:linePitch="360"/>
        </w:sectPr>
      </w:pPr>
    </w:p>
    <w:p w14:paraId="293E2063" w14:textId="77777777" w:rsidR="007362E8" w:rsidRPr="007362E8" w:rsidRDefault="007362E8" w:rsidP="007362E8">
      <w:pPr>
        <w:spacing w:before="120" w:after="120" w:line="360" w:lineRule="auto"/>
        <w:jc w:val="center"/>
        <w:rPr>
          <w:rFonts w:eastAsia="Calibri"/>
          <w:i/>
          <w:iCs/>
          <w:color w:val="000000"/>
          <w:kern w:val="2"/>
          <w:szCs w:val="24"/>
          <w:lang w:val="pl-PL" w:eastAsia="en-US"/>
          <w14:ligatures w14:val="standardContextual"/>
        </w:rPr>
      </w:pPr>
      <w:r w:rsidRPr="007362E8">
        <w:rPr>
          <w:rFonts w:eastAsia="Calibri"/>
          <w:i/>
          <w:color w:val="000000"/>
          <w:kern w:val="2"/>
          <w:szCs w:val="24"/>
          <w:lang w:val="pl-PL" w:eastAsia="en-US"/>
          <w14:ligatures w14:val="standardContextual"/>
        </w:rPr>
        <w:lastRenderedPageBreak/>
        <w:t>ZAŁĄCZNIK I</w:t>
      </w:r>
    </w:p>
    <w:p w14:paraId="4F6D3714" w14:textId="77777777" w:rsidR="007362E8" w:rsidRPr="007362E8" w:rsidRDefault="007362E8" w:rsidP="007362E8">
      <w:pPr>
        <w:spacing w:before="120" w:after="120" w:line="360" w:lineRule="auto"/>
        <w:rPr>
          <w:rFonts w:eastAsia="Calibri"/>
          <w:color w:val="000000"/>
          <w:kern w:val="2"/>
          <w:szCs w:val="24"/>
          <w:lang w:val="pl-PL" w:eastAsia="en-US"/>
          <w14:ligatures w14:val="standardContextual"/>
        </w:rPr>
      </w:pPr>
      <w:r w:rsidRPr="007362E8">
        <w:rPr>
          <w:rFonts w:eastAsia="Calibri"/>
          <w:color w:val="000000"/>
          <w:kern w:val="2"/>
          <w:szCs w:val="24"/>
          <w:lang w:val="pl-PL" w:eastAsia="en-US"/>
          <w14:ligatures w14:val="standardContextual"/>
        </w:rPr>
        <w:t xml:space="preserve">W załącznikach I </w:t>
      </w:r>
      <w:proofErr w:type="spellStart"/>
      <w:r w:rsidRPr="007362E8">
        <w:rPr>
          <w:rFonts w:eastAsia="Calibri"/>
          <w:color w:val="000000"/>
          <w:kern w:val="2"/>
          <w:szCs w:val="24"/>
          <w:lang w:val="pl-PL" w:eastAsia="en-US"/>
          <w14:ligatures w14:val="standardContextual"/>
        </w:rPr>
        <w:t>i</w:t>
      </w:r>
      <w:proofErr w:type="spellEnd"/>
      <w:r w:rsidRPr="007362E8">
        <w:rPr>
          <w:rFonts w:eastAsia="Calibri"/>
          <w:color w:val="000000"/>
          <w:kern w:val="2"/>
          <w:szCs w:val="24"/>
          <w:lang w:val="pl-PL" w:eastAsia="en-US"/>
          <w14:ligatures w14:val="standardContextual"/>
        </w:rPr>
        <w:t xml:space="preserve"> XV do rozporządzenia (UE) 2021/2115 wprowadza się następujące zmiany:</w:t>
      </w:r>
    </w:p>
    <w:p w14:paraId="2BE6CE30" w14:textId="77777777" w:rsidR="007362E8" w:rsidRPr="007362E8" w:rsidRDefault="007362E8" w:rsidP="007362E8">
      <w:pPr>
        <w:tabs>
          <w:tab w:val="num" w:pos="850"/>
        </w:tabs>
        <w:spacing w:before="120" w:after="120" w:line="360" w:lineRule="auto"/>
        <w:ind w:left="850" w:hanging="850"/>
        <w:rPr>
          <w:rFonts w:eastAsia="Calibri"/>
          <w:color w:val="000000"/>
          <w:szCs w:val="24"/>
          <w:lang w:val="pl-PL" w:eastAsia="en-US"/>
        </w:rPr>
      </w:pPr>
      <w:r w:rsidRPr="007362E8">
        <w:rPr>
          <w:rFonts w:eastAsia="Calibri"/>
          <w:color w:val="000000"/>
          <w:szCs w:val="24"/>
          <w:lang w:val="pl-PL" w:eastAsia="en-US"/>
        </w:rPr>
        <w:t>1)</w:t>
      </w:r>
      <w:r w:rsidRPr="007362E8">
        <w:rPr>
          <w:rFonts w:eastAsia="Calibri"/>
          <w:color w:val="000000"/>
          <w:szCs w:val="24"/>
          <w:lang w:val="pl-PL" w:eastAsia="en-US"/>
        </w:rPr>
        <w:tab/>
        <w:t>w załączniku I w tabeli „Monitorowanie – PRODUKT Rodzaje interwencji i związane z nimi wskaźniki produktu” po pozycji „Płatności kryzysowe dla rolników w następstwie klęsk żywiołowych, niekorzystnych zjawisk klimatycznych lub katastrof (art. 78a)” dodaje się pozycję w brzmieniu:</w:t>
      </w:r>
    </w:p>
    <w:p w14:paraId="5080CBB2" w14:textId="77777777" w:rsidR="007362E8" w:rsidRPr="007362E8" w:rsidRDefault="007362E8" w:rsidP="007362E8">
      <w:pPr>
        <w:tabs>
          <w:tab w:val="num" w:pos="850"/>
        </w:tabs>
        <w:spacing w:before="120" w:after="120" w:line="360" w:lineRule="auto"/>
        <w:ind w:left="850" w:hanging="850"/>
        <w:rPr>
          <w:rFonts w:eastAsia="Calibri"/>
          <w:color w:val="000000"/>
          <w:szCs w:val="24"/>
          <w:lang w:val="pl-PL" w:eastAsia="en-US"/>
        </w:rPr>
      </w:pPr>
      <w:r w:rsidRPr="007362E8">
        <w:rPr>
          <w:rFonts w:eastAsia="Calibri"/>
          <w:color w:val="000000"/>
          <w:szCs w:val="24"/>
          <w:lang w:val="pl-PL" w:eastAsia="en-US"/>
        </w:rPr>
        <w:t>„</w:t>
      </w:r>
    </w:p>
    <w:tbl>
      <w:tblPr>
        <w:tblStyle w:val="TableGrid"/>
        <w:tblW w:w="0" w:type="auto"/>
        <w:tblInd w:w="426" w:type="dxa"/>
        <w:tblLook w:val="04A0" w:firstRow="1" w:lastRow="0" w:firstColumn="1" w:lastColumn="0" w:noHBand="0" w:noVBand="1"/>
      </w:tblPr>
      <w:tblGrid>
        <w:gridCol w:w="4348"/>
        <w:gridCol w:w="4285"/>
      </w:tblGrid>
      <w:tr w:rsidR="007362E8" w:rsidRPr="00DF764D" w14:paraId="645BDFAA" w14:textId="77777777" w:rsidTr="00B25FEC">
        <w:tc>
          <w:tcPr>
            <w:tcW w:w="4461" w:type="dxa"/>
          </w:tcPr>
          <w:p w14:paraId="781357B5" w14:textId="77777777" w:rsidR="007362E8" w:rsidRPr="007362E8" w:rsidRDefault="007362E8" w:rsidP="007362E8">
            <w:pPr>
              <w:spacing w:after="160" w:line="360" w:lineRule="auto"/>
              <w:rPr>
                <w:rFonts w:eastAsia="Aptos"/>
                <w:color w:val="000000"/>
                <w:kern w:val="2"/>
                <w:szCs w:val="24"/>
                <w:lang w:val="pl-PL" w:eastAsia="en-US"/>
                <w14:ligatures w14:val="standardContextual"/>
              </w:rPr>
            </w:pPr>
            <w:r w:rsidRPr="007362E8">
              <w:rPr>
                <w:rFonts w:eastAsia="Aptos"/>
                <w:color w:val="000000"/>
                <w:kern w:val="2"/>
                <w:szCs w:val="24"/>
                <w:lang w:val="pl-PL" w:eastAsia="en-US"/>
                <w14:ligatures w14:val="standardContextual"/>
              </w:rPr>
              <w:t>Wsparcie dla rolników dotkniętych znacznym wzrostem cen nawozów spowodowanym kryzysem na Bliskim Wschodzie (art. 78b)</w:t>
            </w:r>
          </w:p>
        </w:tc>
        <w:tc>
          <w:tcPr>
            <w:tcW w:w="4402" w:type="dxa"/>
          </w:tcPr>
          <w:p w14:paraId="1918B81D" w14:textId="77777777" w:rsidR="007362E8" w:rsidRPr="007362E8" w:rsidRDefault="007362E8" w:rsidP="007362E8">
            <w:pPr>
              <w:spacing w:after="160" w:line="360" w:lineRule="auto"/>
              <w:rPr>
                <w:rFonts w:eastAsia="Aptos"/>
                <w:color w:val="000000"/>
                <w:kern w:val="2"/>
                <w:szCs w:val="24"/>
                <w:lang w:val="pl-PL" w:eastAsia="en-US"/>
                <w14:ligatures w14:val="standardContextual"/>
              </w:rPr>
            </w:pPr>
            <w:r w:rsidRPr="007362E8">
              <w:rPr>
                <w:rFonts w:eastAsia="Aptos"/>
                <w:color w:val="000000"/>
                <w:kern w:val="2"/>
                <w:szCs w:val="24"/>
                <w:lang w:val="pl-PL" w:eastAsia="en-US"/>
                <w14:ligatures w14:val="standardContextual"/>
              </w:rPr>
              <w:t>O.9b Liczba rolników korzystających ze wsparcia w następstwie znacznego wzrostu cen nawozów</w:t>
            </w:r>
          </w:p>
        </w:tc>
      </w:tr>
    </w:tbl>
    <w:p w14:paraId="33A06043" w14:textId="77777777" w:rsidR="007362E8" w:rsidRPr="007362E8" w:rsidRDefault="007362E8" w:rsidP="007362E8">
      <w:pPr>
        <w:tabs>
          <w:tab w:val="num" w:pos="850"/>
        </w:tabs>
        <w:spacing w:before="120" w:after="120" w:line="360" w:lineRule="auto"/>
        <w:ind w:left="850" w:hanging="850"/>
        <w:rPr>
          <w:rFonts w:eastAsia="Calibri"/>
          <w:color w:val="000000"/>
          <w:szCs w:val="24"/>
          <w:lang w:val="pl-PL" w:eastAsia="en-US"/>
        </w:rPr>
      </w:pPr>
      <w:r w:rsidRPr="007362E8">
        <w:rPr>
          <w:rFonts w:eastAsia="Calibri"/>
          <w:color w:val="000000"/>
          <w:szCs w:val="24"/>
          <w:lang w:val="pl-PL" w:eastAsia="en-US"/>
        </w:rPr>
        <w:t>”;</w:t>
      </w:r>
    </w:p>
    <w:p w14:paraId="2A99CC93" w14:textId="77777777" w:rsidR="007362E8" w:rsidRPr="007362E8" w:rsidRDefault="007362E8" w:rsidP="007362E8">
      <w:pPr>
        <w:tabs>
          <w:tab w:val="num" w:pos="850"/>
        </w:tabs>
        <w:spacing w:before="120" w:after="120" w:line="360" w:lineRule="auto"/>
        <w:ind w:left="850" w:hanging="850"/>
        <w:rPr>
          <w:rFonts w:eastAsia="Calibri"/>
          <w:color w:val="000000"/>
          <w:szCs w:val="24"/>
          <w:lang w:val="pl-PL" w:eastAsia="en-US"/>
        </w:rPr>
      </w:pPr>
      <w:r w:rsidRPr="007362E8">
        <w:rPr>
          <w:rFonts w:eastAsia="Calibri"/>
          <w:color w:val="000000"/>
          <w:szCs w:val="24"/>
          <w:lang w:val="pl-PL" w:eastAsia="en-US"/>
        </w:rPr>
        <w:t>2)</w:t>
      </w:r>
      <w:r w:rsidRPr="007362E8">
        <w:rPr>
          <w:rFonts w:eastAsia="Calibri"/>
          <w:color w:val="000000"/>
          <w:szCs w:val="24"/>
          <w:lang w:val="pl-PL" w:eastAsia="en-US"/>
        </w:rPr>
        <w:tab/>
        <w:t>tytuł załącznika XV otrzymuje brzmienie:</w:t>
      </w:r>
    </w:p>
    <w:p w14:paraId="6949DBE5" w14:textId="77777777" w:rsidR="007362E8" w:rsidRPr="007362E8" w:rsidRDefault="007362E8" w:rsidP="007362E8">
      <w:pPr>
        <w:spacing w:before="120" w:after="120" w:line="360" w:lineRule="auto"/>
        <w:ind w:left="426" w:firstLine="294"/>
        <w:rPr>
          <w:rFonts w:eastAsia="Calibri"/>
          <w:i/>
          <w:color w:val="000000"/>
          <w:kern w:val="2"/>
          <w:szCs w:val="24"/>
          <w:lang w:val="pl-PL" w:eastAsia="en-US"/>
          <w14:ligatures w14:val="standardContextual"/>
        </w:rPr>
      </w:pPr>
      <w:r w:rsidRPr="007362E8">
        <w:rPr>
          <w:rFonts w:eastAsia="Calibri"/>
          <w:i/>
          <w:color w:val="000000"/>
          <w:kern w:val="2"/>
          <w:szCs w:val="24"/>
          <w:lang w:val="pl-PL" w:eastAsia="en-US"/>
          <w14:ligatures w14:val="standardContextual"/>
        </w:rPr>
        <w:t>„Załącznik XV</w:t>
      </w:r>
    </w:p>
    <w:p w14:paraId="5185DEBF" w14:textId="77777777" w:rsidR="007362E8" w:rsidRPr="007362E8" w:rsidRDefault="007362E8" w:rsidP="007362E8">
      <w:pPr>
        <w:spacing w:before="120" w:after="120" w:line="360" w:lineRule="auto"/>
        <w:ind w:left="720"/>
        <w:rPr>
          <w:rFonts w:eastAsia="Calibri"/>
          <w:color w:val="000000"/>
          <w:kern w:val="2"/>
          <w:szCs w:val="24"/>
          <w:lang w:val="pl-PL" w:eastAsia="en-US"/>
          <w14:ligatures w14:val="standardContextual"/>
        </w:rPr>
      </w:pPr>
      <w:r w:rsidRPr="007362E8">
        <w:rPr>
          <w:rFonts w:eastAsia="Calibri"/>
          <w:color w:val="000000"/>
          <w:kern w:val="2"/>
          <w:szCs w:val="24"/>
          <w:lang w:val="pl-PL" w:eastAsia="en-US"/>
          <w14:ligatures w14:val="standardContextual"/>
        </w:rPr>
        <w:t>Maksymalna kwota na państwo członkowskie, którą można zarezerwować na płatności kryzysowe dla rolników, o której mowa w art. 78a, i na wsparcie dla rolników, o którym mowa w art. 78b.”.</w:t>
      </w:r>
    </w:p>
    <w:p w14:paraId="17BF1736" w14:textId="77777777" w:rsidR="007362E8" w:rsidRPr="007362E8" w:rsidRDefault="007362E8" w:rsidP="007362E8">
      <w:pPr>
        <w:spacing w:after="160" w:line="278" w:lineRule="auto"/>
        <w:rPr>
          <w:rFonts w:eastAsia="Calibri"/>
          <w:color w:val="000000"/>
          <w:kern w:val="2"/>
          <w:szCs w:val="22"/>
          <w:lang w:val="pl-PL" w:eastAsia="en-US"/>
          <w14:ligatures w14:val="standardContextual"/>
        </w:rPr>
      </w:pPr>
      <w:r w:rsidRPr="007362E8">
        <w:rPr>
          <w:rFonts w:eastAsia="Calibri"/>
          <w:color w:val="000000"/>
          <w:kern w:val="2"/>
          <w:szCs w:val="22"/>
          <w:lang w:val="pl-PL" w:eastAsia="en-US"/>
          <w14:ligatures w14:val="standardContextual"/>
        </w:rPr>
        <w:br w:type="page"/>
      </w:r>
    </w:p>
    <w:p w14:paraId="18EA3395" w14:textId="77777777" w:rsidR="007362E8" w:rsidRPr="007362E8" w:rsidRDefault="007362E8" w:rsidP="007362E8">
      <w:pPr>
        <w:spacing w:before="120" w:after="120" w:line="360" w:lineRule="auto"/>
        <w:jc w:val="center"/>
        <w:rPr>
          <w:rFonts w:eastAsia="Calibri"/>
          <w:i/>
          <w:iCs/>
          <w:color w:val="000000"/>
          <w:kern w:val="2"/>
          <w:szCs w:val="22"/>
          <w:lang w:val="pl-PL" w:eastAsia="en-US"/>
          <w14:ligatures w14:val="standardContextual"/>
        </w:rPr>
      </w:pPr>
      <w:r w:rsidRPr="007362E8">
        <w:rPr>
          <w:rFonts w:eastAsia="Calibri"/>
          <w:i/>
          <w:color w:val="000000"/>
          <w:kern w:val="2"/>
          <w:szCs w:val="22"/>
          <w:lang w:val="pl-PL" w:eastAsia="en-US"/>
          <w14:ligatures w14:val="standardContextual"/>
        </w:rPr>
        <w:lastRenderedPageBreak/>
        <w:t xml:space="preserve">ZAŁĄCZNIK II </w:t>
      </w:r>
    </w:p>
    <w:p w14:paraId="6BC9A11C" w14:textId="77777777" w:rsidR="007362E8" w:rsidRPr="007362E8" w:rsidRDefault="007362E8" w:rsidP="007362E8">
      <w:pPr>
        <w:spacing w:before="120" w:after="120" w:line="360" w:lineRule="auto"/>
        <w:jc w:val="center"/>
        <w:rPr>
          <w:rFonts w:eastAsia="Calibri"/>
          <w:i/>
          <w:iCs/>
          <w:color w:val="000000"/>
          <w:kern w:val="2"/>
          <w:szCs w:val="22"/>
          <w:lang w:val="pl-PL" w:eastAsia="en-US"/>
          <w14:ligatures w14:val="standardContextual"/>
        </w:rPr>
      </w:pPr>
      <w:r w:rsidRPr="007362E8">
        <w:rPr>
          <w:rFonts w:eastAsia="Calibri"/>
          <w:i/>
          <w:color w:val="000000"/>
          <w:kern w:val="2"/>
          <w:szCs w:val="22"/>
          <w:lang w:val="pl-PL" w:eastAsia="en-US"/>
          <w14:ligatures w14:val="standardContextual"/>
        </w:rPr>
        <w:t xml:space="preserve">„Załącznik XVI </w:t>
      </w:r>
    </w:p>
    <w:p w14:paraId="3136A20A" w14:textId="77777777" w:rsidR="007362E8" w:rsidRPr="007362E8" w:rsidRDefault="007362E8" w:rsidP="007362E8">
      <w:pPr>
        <w:spacing w:before="120" w:after="120" w:line="360" w:lineRule="auto"/>
        <w:jc w:val="center"/>
        <w:rPr>
          <w:rFonts w:eastAsia="Calibri"/>
          <w:b/>
          <w:bCs/>
          <w:i/>
          <w:iCs/>
          <w:color w:val="000000"/>
          <w:kern w:val="2"/>
          <w:szCs w:val="22"/>
          <w:lang w:val="pl-PL" w:eastAsia="en-US"/>
          <w14:ligatures w14:val="standardContextual"/>
        </w:rPr>
      </w:pPr>
      <w:r w:rsidRPr="007362E8">
        <w:rPr>
          <w:rFonts w:eastAsia="Calibri"/>
          <w:b/>
          <w:i/>
          <w:color w:val="000000"/>
          <w:kern w:val="2"/>
          <w:szCs w:val="22"/>
          <w:lang w:val="pl-PL" w:eastAsia="en-US"/>
          <w14:ligatures w14:val="standardContextual"/>
        </w:rPr>
        <w:t xml:space="preserve">KWOTY MAKSYMALNE, O KTÓRYCH MOWA W ART. 103A </w:t>
      </w:r>
    </w:p>
    <w:p w14:paraId="17F31EA5" w14:textId="77777777" w:rsidR="007362E8" w:rsidRPr="007362E8" w:rsidRDefault="007362E8" w:rsidP="007362E8">
      <w:pPr>
        <w:spacing w:before="120" w:after="120" w:line="360" w:lineRule="auto"/>
        <w:rPr>
          <w:rFonts w:eastAsia="Calibri"/>
          <w:i/>
          <w:iCs/>
          <w:color w:val="000000"/>
          <w:kern w:val="2"/>
          <w:szCs w:val="22"/>
          <w:lang w:val="pl-PL" w:eastAsia="en-US"/>
          <w14:ligatures w14:val="standardContextual"/>
        </w:rPr>
      </w:pPr>
      <w:r w:rsidRPr="007362E8">
        <w:rPr>
          <w:rFonts w:eastAsia="Calibri"/>
          <w:i/>
          <w:color w:val="000000"/>
          <w:kern w:val="2"/>
          <w:szCs w:val="22"/>
          <w:lang w:val="pl-PL" w:eastAsia="en-US"/>
          <w14:ligatures w14:val="standardContextual"/>
        </w:rPr>
        <w:t xml:space="preserve">Maksymalna kwota zwiększenia przydziałów na płatności bezpośrednie na rok kalendarzowy 2027 na państwo członkowskie </w:t>
      </w:r>
    </w:p>
    <w:tbl>
      <w:tblPr>
        <w:tblStyle w:val="TableGrid1"/>
        <w:tblW w:w="0" w:type="auto"/>
        <w:tblInd w:w="1696" w:type="dxa"/>
        <w:tblLook w:val="04A0" w:firstRow="1" w:lastRow="0" w:firstColumn="1" w:lastColumn="0" w:noHBand="0" w:noVBand="1"/>
      </w:tblPr>
      <w:tblGrid>
        <w:gridCol w:w="2417"/>
        <w:gridCol w:w="2374"/>
      </w:tblGrid>
      <w:tr w:rsidR="007362E8" w:rsidRPr="007362E8" w14:paraId="51FFAC98" w14:textId="77777777" w:rsidTr="00B25FEC">
        <w:trPr>
          <w:trHeight w:val="300"/>
        </w:trPr>
        <w:tc>
          <w:tcPr>
            <w:tcW w:w="2417" w:type="dxa"/>
            <w:noWrap/>
          </w:tcPr>
          <w:p w14:paraId="64EB5E94" w14:textId="77777777" w:rsidR="007362E8" w:rsidRPr="007362E8" w:rsidRDefault="007362E8" w:rsidP="007362E8">
            <w:pPr>
              <w:spacing w:before="120" w:after="120" w:line="278" w:lineRule="auto"/>
              <w:rPr>
                <w:rFonts w:ascii="Times New Roman" w:hAnsi="Times New Roman"/>
                <w:color w:val="000000"/>
                <w:lang w:val="pl-PL"/>
              </w:rPr>
            </w:pPr>
          </w:p>
        </w:tc>
        <w:tc>
          <w:tcPr>
            <w:tcW w:w="2374" w:type="dxa"/>
            <w:noWrap/>
          </w:tcPr>
          <w:p w14:paraId="34984E46"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EUR (w </w:t>
            </w:r>
            <w:proofErr w:type="spellStart"/>
            <w:r w:rsidRPr="007362E8">
              <w:rPr>
                <w:rFonts w:ascii="Times New Roman" w:hAnsi="Times New Roman"/>
                <w:color w:val="000000"/>
                <w:lang w:val="en-GB"/>
              </w:rPr>
              <w:t>cenach</w:t>
            </w:r>
            <w:proofErr w:type="spellEnd"/>
            <w:r w:rsidRPr="007362E8">
              <w:rPr>
                <w:rFonts w:ascii="Times New Roman" w:hAnsi="Times New Roman"/>
                <w:color w:val="000000"/>
                <w:lang w:val="en-GB"/>
              </w:rPr>
              <w:t xml:space="preserve"> </w:t>
            </w:r>
            <w:proofErr w:type="spellStart"/>
            <w:r w:rsidRPr="007362E8">
              <w:rPr>
                <w:rFonts w:ascii="Times New Roman" w:hAnsi="Times New Roman"/>
                <w:color w:val="000000"/>
                <w:lang w:val="en-GB"/>
              </w:rPr>
              <w:t>bieżących</w:t>
            </w:r>
            <w:proofErr w:type="spellEnd"/>
            <w:r w:rsidRPr="007362E8">
              <w:rPr>
                <w:rFonts w:ascii="Times New Roman" w:hAnsi="Times New Roman"/>
                <w:color w:val="000000"/>
                <w:lang w:val="en-GB"/>
              </w:rPr>
              <w:t>)</w:t>
            </w:r>
          </w:p>
        </w:tc>
      </w:tr>
      <w:tr w:rsidR="007362E8" w:rsidRPr="007362E8" w14:paraId="1DB9B420" w14:textId="77777777" w:rsidTr="00B25FEC">
        <w:trPr>
          <w:trHeight w:val="300"/>
        </w:trPr>
        <w:tc>
          <w:tcPr>
            <w:tcW w:w="2417" w:type="dxa"/>
            <w:noWrap/>
            <w:hideMark/>
          </w:tcPr>
          <w:p w14:paraId="588D22E7"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Belgia</w:t>
            </w:r>
            <w:proofErr w:type="spellEnd"/>
          </w:p>
        </w:tc>
        <w:tc>
          <w:tcPr>
            <w:tcW w:w="2374" w:type="dxa"/>
            <w:noWrap/>
            <w:hideMark/>
          </w:tcPr>
          <w:p w14:paraId="3980D009"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20 700 224</w:t>
            </w:r>
          </w:p>
        </w:tc>
      </w:tr>
      <w:tr w:rsidR="007362E8" w:rsidRPr="007362E8" w14:paraId="17B142AC" w14:textId="77777777" w:rsidTr="00B25FEC">
        <w:trPr>
          <w:trHeight w:val="300"/>
        </w:trPr>
        <w:tc>
          <w:tcPr>
            <w:tcW w:w="2417" w:type="dxa"/>
            <w:noWrap/>
            <w:hideMark/>
          </w:tcPr>
          <w:p w14:paraId="783FF4B5"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Bułgaria</w:t>
            </w:r>
            <w:proofErr w:type="spellEnd"/>
          </w:p>
        </w:tc>
        <w:tc>
          <w:tcPr>
            <w:tcW w:w="2374" w:type="dxa"/>
            <w:noWrap/>
            <w:hideMark/>
          </w:tcPr>
          <w:p w14:paraId="489BAFBA"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84 648 793</w:t>
            </w:r>
          </w:p>
        </w:tc>
      </w:tr>
      <w:tr w:rsidR="007362E8" w:rsidRPr="007362E8" w14:paraId="0A20074B" w14:textId="77777777" w:rsidTr="00B25FEC">
        <w:trPr>
          <w:trHeight w:val="300"/>
        </w:trPr>
        <w:tc>
          <w:tcPr>
            <w:tcW w:w="2417" w:type="dxa"/>
            <w:noWrap/>
            <w:hideMark/>
          </w:tcPr>
          <w:p w14:paraId="06577AA2"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Czechy</w:t>
            </w:r>
            <w:proofErr w:type="spellEnd"/>
          </w:p>
        </w:tc>
        <w:tc>
          <w:tcPr>
            <w:tcW w:w="2374" w:type="dxa"/>
            <w:noWrap/>
            <w:hideMark/>
          </w:tcPr>
          <w:p w14:paraId="65084A87"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64 796 927</w:t>
            </w:r>
          </w:p>
        </w:tc>
      </w:tr>
      <w:tr w:rsidR="007362E8" w:rsidRPr="007362E8" w14:paraId="683C3A6B" w14:textId="77777777" w:rsidTr="00B25FEC">
        <w:trPr>
          <w:trHeight w:val="300"/>
        </w:trPr>
        <w:tc>
          <w:tcPr>
            <w:tcW w:w="2417" w:type="dxa"/>
            <w:noWrap/>
            <w:hideMark/>
          </w:tcPr>
          <w:p w14:paraId="09C49174" w14:textId="77777777" w:rsidR="007362E8" w:rsidRPr="007362E8" w:rsidRDefault="007362E8" w:rsidP="007362E8">
            <w:pPr>
              <w:spacing w:before="120" w:after="120" w:line="278" w:lineRule="auto"/>
              <w:rPr>
                <w:rFonts w:ascii="Times New Roman" w:hAnsi="Times New Roman"/>
                <w:color w:val="000000"/>
                <w:lang w:val="en-GB"/>
              </w:rPr>
            </w:pPr>
            <w:r w:rsidRPr="007362E8">
              <w:rPr>
                <w:rFonts w:ascii="Times New Roman" w:hAnsi="Times New Roman"/>
                <w:color w:val="000000"/>
                <w:lang w:val="en-GB"/>
              </w:rPr>
              <w:t>Dania</w:t>
            </w:r>
          </w:p>
        </w:tc>
        <w:tc>
          <w:tcPr>
            <w:tcW w:w="2374" w:type="dxa"/>
            <w:noWrap/>
            <w:hideMark/>
          </w:tcPr>
          <w:p w14:paraId="550CD460"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18 983 515</w:t>
            </w:r>
          </w:p>
        </w:tc>
      </w:tr>
      <w:tr w:rsidR="007362E8" w:rsidRPr="007362E8" w14:paraId="47B42624" w14:textId="77777777" w:rsidTr="00B25FEC">
        <w:trPr>
          <w:trHeight w:val="300"/>
        </w:trPr>
        <w:tc>
          <w:tcPr>
            <w:tcW w:w="2417" w:type="dxa"/>
            <w:noWrap/>
            <w:hideMark/>
          </w:tcPr>
          <w:p w14:paraId="699A0903"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Niemcy</w:t>
            </w:r>
            <w:proofErr w:type="spellEnd"/>
          </w:p>
        </w:tc>
        <w:tc>
          <w:tcPr>
            <w:tcW w:w="2374" w:type="dxa"/>
            <w:noWrap/>
            <w:hideMark/>
          </w:tcPr>
          <w:p w14:paraId="5558B8BE"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273 089 935</w:t>
            </w:r>
          </w:p>
        </w:tc>
      </w:tr>
      <w:tr w:rsidR="007362E8" w:rsidRPr="007362E8" w14:paraId="5E8DFD24" w14:textId="77777777" w:rsidTr="00B25FEC">
        <w:trPr>
          <w:trHeight w:val="300"/>
        </w:trPr>
        <w:tc>
          <w:tcPr>
            <w:tcW w:w="2417" w:type="dxa"/>
            <w:noWrap/>
            <w:hideMark/>
          </w:tcPr>
          <w:p w14:paraId="65281A1A" w14:textId="77777777" w:rsidR="007362E8" w:rsidRPr="007362E8" w:rsidRDefault="007362E8" w:rsidP="007362E8">
            <w:pPr>
              <w:spacing w:before="120" w:after="120" w:line="278" w:lineRule="auto"/>
              <w:rPr>
                <w:rFonts w:ascii="Times New Roman" w:hAnsi="Times New Roman"/>
                <w:color w:val="000000"/>
                <w:lang w:val="en-GB"/>
              </w:rPr>
            </w:pPr>
            <w:r w:rsidRPr="007362E8">
              <w:rPr>
                <w:rFonts w:ascii="Times New Roman" w:hAnsi="Times New Roman"/>
                <w:color w:val="000000"/>
                <w:lang w:val="en-GB"/>
              </w:rPr>
              <w:t>Estonia</w:t>
            </w:r>
          </w:p>
        </w:tc>
        <w:tc>
          <w:tcPr>
            <w:tcW w:w="2374" w:type="dxa"/>
            <w:noWrap/>
            <w:hideMark/>
          </w:tcPr>
          <w:p w14:paraId="4E7E4E48"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26 404 994</w:t>
            </w:r>
          </w:p>
        </w:tc>
      </w:tr>
      <w:tr w:rsidR="007362E8" w:rsidRPr="007362E8" w14:paraId="25F47E19" w14:textId="77777777" w:rsidTr="00B25FEC">
        <w:trPr>
          <w:trHeight w:val="300"/>
        </w:trPr>
        <w:tc>
          <w:tcPr>
            <w:tcW w:w="2417" w:type="dxa"/>
            <w:noWrap/>
            <w:hideMark/>
          </w:tcPr>
          <w:p w14:paraId="083537E1"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Irlandia</w:t>
            </w:r>
            <w:proofErr w:type="spellEnd"/>
          </w:p>
        </w:tc>
        <w:tc>
          <w:tcPr>
            <w:tcW w:w="2374" w:type="dxa"/>
            <w:noWrap/>
            <w:hideMark/>
          </w:tcPr>
          <w:p w14:paraId="7CAD787E"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77 910 157</w:t>
            </w:r>
          </w:p>
        </w:tc>
      </w:tr>
      <w:tr w:rsidR="007362E8" w:rsidRPr="007362E8" w14:paraId="663EFC6A" w14:textId="77777777" w:rsidTr="00B25FEC">
        <w:trPr>
          <w:trHeight w:val="300"/>
        </w:trPr>
        <w:tc>
          <w:tcPr>
            <w:tcW w:w="2417" w:type="dxa"/>
            <w:noWrap/>
            <w:hideMark/>
          </w:tcPr>
          <w:p w14:paraId="2F965688"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Grecja</w:t>
            </w:r>
            <w:proofErr w:type="spellEnd"/>
          </w:p>
        </w:tc>
        <w:tc>
          <w:tcPr>
            <w:tcW w:w="2374" w:type="dxa"/>
            <w:noWrap/>
            <w:hideMark/>
          </w:tcPr>
          <w:p w14:paraId="358263E4"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139 238 400</w:t>
            </w:r>
          </w:p>
        </w:tc>
      </w:tr>
      <w:tr w:rsidR="007362E8" w:rsidRPr="007362E8" w14:paraId="1CF1DFF8" w14:textId="77777777" w:rsidTr="00B25FEC">
        <w:trPr>
          <w:trHeight w:val="300"/>
        </w:trPr>
        <w:tc>
          <w:tcPr>
            <w:tcW w:w="2417" w:type="dxa"/>
            <w:noWrap/>
            <w:hideMark/>
          </w:tcPr>
          <w:p w14:paraId="19665F81"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Hiszpania</w:t>
            </w:r>
            <w:proofErr w:type="spellEnd"/>
          </w:p>
        </w:tc>
        <w:tc>
          <w:tcPr>
            <w:tcW w:w="2374" w:type="dxa"/>
            <w:noWrap/>
            <w:hideMark/>
          </w:tcPr>
          <w:p w14:paraId="076A880C"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324 114 848</w:t>
            </w:r>
          </w:p>
        </w:tc>
      </w:tr>
      <w:tr w:rsidR="007362E8" w:rsidRPr="007362E8" w14:paraId="271B0D7E" w14:textId="77777777" w:rsidTr="00B25FEC">
        <w:trPr>
          <w:trHeight w:val="300"/>
        </w:trPr>
        <w:tc>
          <w:tcPr>
            <w:tcW w:w="2417" w:type="dxa"/>
            <w:noWrap/>
            <w:hideMark/>
          </w:tcPr>
          <w:p w14:paraId="0629FBFF"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Francja</w:t>
            </w:r>
            <w:proofErr w:type="spellEnd"/>
          </w:p>
        </w:tc>
        <w:tc>
          <w:tcPr>
            <w:tcW w:w="2374" w:type="dxa"/>
            <w:noWrap/>
            <w:hideMark/>
          </w:tcPr>
          <w:p w14:paraId="13B52361"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364 860 018</w:t>
            </w:r>
          </w:p>
        </w:tc>
      </w:tr>
      <w:tr w:rsidR="007362E8" w:rsidRPr="007362E8" w14:paraId="0A7BBBEE" w14:textId="77777777" w:rsidTr="00B25FEC">
        <w:trPr>
          <w:trHeight w:val="300"/>
        </w:trPr>
        <w:tc>
          <w:tcPr>
            <w:tcW w:w="2417" w:type="dxa"/>
            <w:noWrap/>
            <w:hideMark/>
          </w:tcPr>
          <w:p w14:paraId="53E158AA"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Chorwacja</w:t>
            </w:r>
            <w:proofErr w:type="spellEnd"/>
          </w:p>
        </w:tc>
        <w:tc>
          <w:tcPr>
            <w:tcW w:w="2374" w:type="dxa"/>
            <w:noWrap/>
            <w:hideMark/>
          </w:tcPr>
          <w:p w14:paraId="07134CF3"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74 326 850</w:t>
            </w:r>
          </w:p>
        </w:tc>
      </w:tr>
      <w:tr w:rsidR="007362E8" w:rsidRPr="007362E8" w14:paraId="396EBA40" w14:textId="77777777" w:rsidTr="00B25FEC">
        <w:trPr>
          <w:trHeight w:val="300"/>
        </w:trPr>
        <w:tc>
          <w:tcPr>
            <w:tcW w:w="2417" w:type="dxa"/>
            <w:noWrap/>
            <w:hideMark/>
          </w:tcPr>
          <w:p w14:paraId="47E54F09"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Włochy</w:t>
            </w:r>
            <w:proofErr w:type="spellEnd"/>
          </w:p>
        </w:tc>
        <w:tc>
          <w:tcPr>
            <w:tcW w:w="2374" w:type="dxa"/>
            <w:noWrap/>
            <w:hideMark/>
          </w:tcPr>
          <w:p w14:paraId="4315E13D"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337 480 344</w:t>
            </w:r>
          </w:p>
        </w:tc>
      </w:tr>
    </w:tbl>
    <w:p w14:paraId="67EC01F7" w14:textId="77777777" w:rsidR="007362E8" w:rsidRPr="007362E8" w:rsidRDefault="007362E8" w:rsidP="007362E8">
      <w:pPr>
        <w:spacing w:after="160" w:line="278" w:lineRule="auto"/>
        <w:rPr>
          <w:rFonts w:eastAsia="Aptos"/>
          <w:color w:val="000000"/>
          <w:kern w:val="2"/>
          <w:szCs w:val="24"/>
          <w:lang w:val="pl-PL" w:eastAsia="en-US"/>
          <w14:ligatures w14:val="standardContextual"/>
        </w:rPr>
      </w:pPr>
      <w:r w:rsidRPr="007362E8">
        <w:rPr>
          <w:rFonts w:eastAsia="Aptos"/>
          <w:color w:val="000000"/>
          <w:kern w:val="2"/>
          <w:szCs w:val="24"/>
          <w:lang w:val="pl-PL" w:eastAsia="en-US"/>
          <w14:ligatures w14:val="standardContextual"/>
        </w:rPr>
        <w:br w:type="page"/>
      </w:r>
    </w:p>
    <w:tbl>
      <w:tblPr>
        <w:tblStyle w:val="TableGrid1"/>
        <w:tblW w:w="0" w:type="auto"/>
        <w:tblInd w:w="1696" w:type="dxa"/>
        <w:tblLook w:val="04A0" w:firstRow="1" w:lastRow="0" w:firstColumn="1" w:lastColumn="0" w:noHBand="0" w:noVBand="1"/>
      </w:tblPr>
      <w:tblGrid>
        <w:gridCol w:w="2417"/>
        <w:gridCol w:w="2374"/>
      </w:tblGrid>
      <w:tr w:rsidR="007362E8" w:rsidRPr="007362E8" w14:paraId="2EAF9002" w14:textId="77777777" w:rsidTr="00B25FEC">
        <w:trPr>
          <w:trHeight w:val="300"/>
        </w:trPr>
        <w:tc>
          <w:tcPr>
            <w:tcW w:w="2417" w:type="dxa"/>
            <w:noWrap/>
            <w:hideMark/>
          </w:tcPr>
          <w:p w14:paraId="64143CF7"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lastRenderedPageBreak/>
              <w:t>Cypr</w:t>
            </w:r>
            <w:proofErr w:type="spellEnd"/>
          </w:p>
        </w:tc>
        <w:tc>
          <w:tcPr>
            <w:tcW w:w="2374" w:type="dxa"/>
            <w:noWrap/>
            <w:hideMark/>
          </w:tcPr>
          <w:p w14:paraId="7773C092"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5 942 629</w:t>
            </w:r>
          </w:p>
        </w:tc>
      </w:tr>
      <w:tr w:rsidR="007362E8" w:rsidRPr="007362E8" w14:paraId="3B642D11" w14:textId="77777777" w:rsidTr="00B25FEC">
        <w:trPr>
          <w:trHeight w:val="300"/>
        </w:trPr>
        <w:tc>
          <w:tcPr>
            <w:tcW w:w="2417" w:type="dxa"/>
            <w:noWrap/>
            <w:hideMark/>
          </w:tcPr>
          <w:p w14:paraId="20347704"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Łotwa</w:t>
            </w:r>
            <w:proofErr w:type="spellEnd"/>
          </w:p>
        </w:tc>
        <w:tc>
          <w:tcPr>
            <w:tcW w:w="2374" w:type="dxa"/>
            <w:noWrap/>
            <w:hideMark/>
          </w:tcPr>
          <w:p w14:paraId="17C6A993"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35 248 552</w:t>
            </w:r>
          </w:p>
        </w:tc>
      </w:tr>
      <w:tr w:rsidR="007362E8" w:rsidRPr="007362E8" w14:paraId="4EF3C6AE" w14:textId="77777777" w:rsidTr="00B25FEC">
        <w:trPr>
          <w:trHeight w:val="300"/>
        </w:trPr>
        <w:tc>
          <w:tcPr>
            <w:tcW w:w="2417" w:type="dxa"/>
            <w:noWrap/>
            <w:hideMark/>
          </w:tcPr>
          <w:p w14:paraId="0D21B5A7" w14:textId="77777777" w:rsidR="007362E8" w:rsidRPr="007362E8" w:rsidRDefault="007362E8" w:rsidP="007362E8">
            <w:pPr>
              <w:spacing w:before="120" w:after="120" w:line="278" w:lineRule="auto"/>
              <w:rPr>
                <w:rFonts w:ascii="Times New Roman" w:hAnsi="Times New Roman"/>
                <w:color w:val="000000"/>
                <w:lang w:val="en-GB"/>
              </w:rPr>
            </w:pPr>
            <w:r w:rsidRPr="007362E8">
              <w:rPr>
                <w:rFonts w:ascii="Times New Roman" w:hAnsi="Times New Roman"/>
                <w:color w:val="000000"/>
                <w:lang w:val="en-GB"/>
              </w:rPr>
              <w:t>Litwa</w:t>
            </w:r>
          </w:p>
        </w:tc>
        <w:tc>
          <w:tcPr>
            <w:tcW w:w="2374" w:type="dxa"/>
            <w:noWrap/>
            <w:hideMark/>
          </w:tcPr>
          <w:p w14:paraId="61427E4A"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58 648 549</w:t>
            </w:r>
          </w:p>
        </w:tc>
      </w:tr>
      <w:tr w:rsidR="007362E8" w:rsidRPr="007362E8" w14:paraId="4CAA108D" w14:textId="77777777" w:rsidTr="00B25FEC">
        <w:trPr>
          <w:trHeight w:val="300"/>
        </w:trPr>
        <w:tc>
          <w:tcPr>
            <w:tcW w:w="2417" w:type="dxa"/>
            <w:noWrap/>
            <w:hideMark/>
          </w:tcPr>
          <w:p w14:paraId="7919ED54"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Luksemburg</w:t>
            </w:r>
            <w:proofErr w:type="spellEnd"/>
          </w:p>
        </w:tc>
        <w:tc>
          <w:tcPr>
            <w:tcW w:w="2374" w:type="dxa"/>
            <w:noWrap/>
            <w:hideMark/>
          </w:tcPr>
          <w:p w14:paraId="72B2B3D6"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3 077 661</w:t>
            </w:r>
          </w:p>
        </w:tc>
      </w:tr>
      <w:tr w:rsidR="007362E8" w:rsidRPr="007362E8" w14:paraId="1D561B83" w14:textId="77777777" w:rsidTr="00B25FEC">
        <w:trPr>
          <w:trHeight w:val="300"/>
        </w:trPr>
        <w:tc>
          <w:tcPr>
            <w:tcW w:w="2417" w:type="dxa"/>
            <w:noWrap/>
            <w:hideMark/>
          </w:tcPr>
          <w:p w14:paraId="3349DC25"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Węgry</w:t>
            </w:r>
            <w:proofErr w:type="spellEnd"/>
          </w:p>
        </w:tc>
        <w:tc>
          <w:tcPr>
            <w:tcW w:w="2374" w:type="dxa"/>
            <w:noWrap/>
            <w:hideMark/>
          </w:tcPr>
          <w:p w14:paraId="338F5900"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104 217 287</w:t>
            </w:r>
          </w:p>
        </w:tc>
      </w:tr>
      <w:tr w:rsidR="007362E8" w:rsidRPr="007362E8" w14:paraId="19C0497D" w14:textId="77777777" w:rsidTr="00B25FEC">
        <w:trPr>
          <w:trHeight w:val="300"/>
        </w:trPr>
        <w:tc>
          <w:tcPr>
            <w:tcW w:w="2417" w:type="dxa"/>
            <w:noWrap/>
            <w:hideMark/>
          </w:tcPr>
          <w:p w14:paraId="0B6A2126" w14:textId="77777777" w:rsidR="007362E8" w:rsidRPr="007362E8" w:rsidRDefault="007362E8" w:rsidP="007362E8">
            <w:pPr>
              <w:spacing w:before="120" w:after="120" w:line="278" w:lineRule="auto"/>
              <w:rPr>
                <w:rFonts w:ascii="Times New Roman" w:hAnsi="Times New Roman"/>
                <w:color w:val="000000"/>
                <w:lang w:val="en-GB"/>
              </w:rPr>
            </w:pPr>
            <w:r w:rsidRPr="007362E8">
              <w:rPr>
                <w:rFonts w:ascii="Times New Roman" w:hAnsi="Times New Roman"/>
                <w:color w:val="000000"/>
                <w:lang w:val="en-GB"/>
              </w:rPr>
              <w:t>Malta</w:t>
            </w:r>
          </w:p>
        </w:tc>
        <w:tc>
          <w:tcPr>
            <w:tcW w:w="2374" w:type="dxa"/>
            <w:noWrap/>
            <w:hideMark/>
          </w:tcPr>
          <w:p w14:paraId="018656E5"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4 996 124</w:t>
            </w:r>
          </w:p>
        </w:tc>
      </w:tr>
      <w:tr w:rsidR="007362E8" w:rsidRPr="007362E8" w14:paraId="2FCEDF8B" w14:textId="77777777" w:rsidTr="00B25FEC">
        <w:trPr>
          <w:trHeight w:val="300"/>
        </w:trPr>
        <w:tc>
          <w:tcPr>
            <w:tcW w:w="2417" w:type="dxa"/>
            <w:noWrap/>
            <w:hideMark/>
          </w:tcPr>
          <w:p w14:paraId="00D00008"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Niderlandy</w:t>
            </w:r>
            <w:proofErr w:type="spellEnd"/>
          </w:p>
        </w:tc>
        <w:tc>
          <w:tcPr>
            <w:tcW w:w="2374" w:type="dxa"/>
            <w:noWrap/>
            <w:hideMark/>
          </w:tcPr>
          <w:p w14:paraId="469DD3B0"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18 317 092</w:t>
            </w:r>
          </w:p>
        </w:tc>
      </w:tr>
      <w:tr w:rsidR="007362E8" w:rsidRPr="007362E8" w14:paraId="25A56A5C" w14:textId="77777777" w:rsidTr="00B25FEC">
        <w:trPr>
          <w:trHeight w:val="300"/>
        </w:trPr>
        <w:tc>
          <w:tcPr>
            <w:tcW w:w="2417" w:type="dxa"/>
            <w:noWrap/>
            <w:hideMark/>
          </w:tcPr>
          <w:p w14:paraId="2E62A19A" w14:textId="77777777" w:rsidR="007362E8" w:rsidRPr="007362E8" w:rsidRDefault="007362E8" w:rsidP="007362E8">
            <w:pPr>
              <w:spacing w:before="120" w:after="120" w:line="278" w:lineRule="auto"/>
              <w:rPr>
                <w:rFonts w:ascii="Times New Roman" w:hAnsi="Times New Roman"/>
                <w:color w:val="000000"/>
                <w:lang w:val="en-GB"/>
              </w:rPr>
            </w:pPr>
            <w:r w:rsidRPr="007362E8">
              <w:rPr>
                <w:rFonts w:ascii="Times New Roman" w:hAnsi="Times New Roman"/>
                <w:color w:val="000000"/>
                <w:lang w:val="en-GB"/>
              </w:rPr>
              <w:t>Austria</w:t>
            </w:r>
          </w:p>
        </w:tc>
        <w:tc>
          <w:tcPr>
            <w:tcW w:w="2374" w:type="dxa"/>
            <w:noWrap/>
            <w:hideMark/>
          </w:tcPr>
          <w:p w14:paraId="18DE5D13"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130 006 188</w:t>
            </w:r>
          </w:p>
        </w:tc>
      </w:tr>
      <w:tr w:rsidR="007362E8" w:rsidRPr="007362E8" w14:paraId="43866745" w14:textId="77777777" w:rsidTr="00B25FEC">
        <w:trPr>
          <w:trHeight w:val="300"/>
        </w:trPr>
        <w:tc>
          <w:tcPr>
            <w:tcW w:w="2417" w:type="dxa"/>
            <w:noWrap/>
            <w:hideMark/>
          </w:tcPr>
          <w:p w14:paraId="55EE17B3" w14:textId="77777777" w:rsidR="007362E8" w:rsidRPr="007362E8" w:rsidRDefault="007362E8" w:rsidP="007362E8">
            <w:pPr>
              <w:spacing w:before="120" w:after="120" w:line="278" w:lineRule="auto"/>
              <w:rPr>
                <w:rFonts w:ascii="Times New Roman" w:hAnsi="Times New Roman"/>
                <w:color w:val="000000"/>
                <w:lang w:val="en-GB"/>
              </w:rPr>
            </w:pPr>
            <w:r w:rsidRPr="007362E8">
              <w:rPr>
                <w:rFonts w:ascii="Times New Roman" w:hAnsi="Times New Roman"/>
                <w:color w:val="000000"/>
                <w:lang w:val="en-GB"/>
              </w:rPr>
              <w:t>Polska</w:t>
            </w:r>
          </w:p>
        </w:tc>
        <w:tc>
          <w:tcPr>
            <w:tcW w:w="2374" w:type="dxa"/>
            <w:noWrap/>
            <w:hideMark/>
          </w:tcPr>
          <w:p w14:paraId="2A10046C"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396 000 462</w:t>
            </w:r>
          </w:p>
        </w:tc>
      </w:tr>
      <w:tr w:rsidR="007362E8" w:rsidRPr="007362E8" w14:paraId="746E59F7" w14:textId="77777777" w:rsidTr="00B25FEC">
        <w:trPr>
          <w:trHeight w:val="300"/>
        </w:trPr>
        <w:tc>
          <w:tcPr>
            <w:tcW w:w="2417" w:type="dxa"/>
            <w:noWrap/>
            <w:hideMark/>
          </w:tcPr>
          <w:p w14:paraId="16349936"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Portugalia</w:t>
            </w:r>
            <w:proofErr w:type="spellEnd"/>
          </w:p>
        </w:tc>
        <w:tc>
          <w:tcPr>
            <w:tcW w:w="2374" w:type="dxa"/>
            <w:noWrap/>
            <w:hideMark/>
          </w:tcPr>
          <w:p w14:paraId="7AE6699B"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162 165 186</w:t>
            </w:r>
          </w:p>
        </w:tc>
      </w:tr>
      <w:tr w:rsidR="007362E8" w:rsidRPr="007362E8" w14:paraId="2E268BEB" w14:textId="77777777" w:rsidTr="00B25FEC">
        <w:trPr>
          <w:trHeight w:val="300"/>
        </w:trPr>
        <w:tc>
          <w:tcPr>
            <w:tcW w:w="2417" w:type="dxa"/>
            <w:noWrap/>
            <w:hideMark/>
          </w:tcPr>
          <w:p w14:paraId="487E3FE8"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Rumunia</w:t>
            </w:r>
            <w:proofErr w:type="spellEnd"/>
          </w:p>
        </w:tc>
        <w:tc>
          <w:tcPr>
            <w:tcW w:w="2374" w:type="dxa"/>
            <w:noWrap/>
            <w:hideMark/>
          </w:tcPr>
          <w:p w14:paraId="2E6685C4"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290 114 968</w:t>
            </w:r>
          </w:p>
        </w:tc>
      </w:tr>
      <w:tr w:rsidR="007362E8" w:rsidRPr="007362E8" w14:paraId="764B5AE2" w14:textId="77777777" w:rsidTr="00B25FEC">
        <w:trPr>
          <w:trHeight w:val="300"/>
        </w:trPr>
        <w:tc>
          <w:tcPr>
            <w:tcW w:w="2417" w:type="dxa"/>
            <w:noWrap/>
            <w:hideMark/>
          </w:tcPr>
          <w:p w14:paraId="17D27670"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Słowenia</w:t>
            </w:r>
            <w:proofErr w:type="spellEnd"/>
          </w:p>
        </w:tc>
        <w:tc>
          <w:tcPr>
            <w:tcW w:w="2374" w:type="dxa"/>
            <w:noWrap/>
            <w:hideMark/>
          </w:tcPr>
          <w:p w14:paraId="001665C8"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27 542 548</w:t>
            </w:r>
          </w:p>
        </w:tc>
      </w:tr>
      <w:tr w:rsidR="007362E8" w:rsidRPr="007362E8" w14:paraId="008E1F64" w14:textId="77777777" w:rsidTr="00B25FEC">
        <w:trPr>
          <w:trHeight w:val="300"/>
        </w:trPr>
        <w:tc>
          <w:tcPr>
            <w:tcW w:w="2417" w:type="dxa"/>
            <w:noWrap/>
            <w:hideMark/>
          </w:tcPr>
          <w:p w14:paraId="43EA76E8"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Słowacja</w:t>
            </w:r>
            <w:proofErr w:type="spellEnd"/>
          </w:p>
        </w:tc>
        <w:tc>
          <w:tcPr>
            <w:tcW w:w="2374" w:type="dxa"/>
            <w:noWrap/>
            <w:hideMark/>
          </w:tcPr>
          <w:p w14:paraId="14E06BA4"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77 723 373</w:t>
            </w:r>
          </w:p>
        </w:tc>
      </w:tr>
      <w:tr w:rsidR="007362E8" w:rsidRPr="007362E8" w14:paraId="46B1134B" w14:textId="77777777" w:rsidTr="00B25FEC">
        <w:trPr>
          <w:trHeight w:val="300"/>
        </w:trPr>
        <w:tc>
          <w:tcPr>
            <w:tcW w:w="2417" w:type="dxa"/>
            <w:noWrap/>
            <w:hideMark/>
          </w:tcPr>
          <w:p w14:paraId="6756E444" w14:textId="77777777" w:rsidR="007362E8" w:rsidRPr="007362E8" w:rsidRDefault="007362E8" w:rsidP="007362E8">
            <w:pPr>
              <w:spacing w:before="120" w:after="120" w:line="278" w:lineRule="auto"/>
              <w:rPr>
                <w:rFonts w:ascii="Times New Roman" w:hAnsi="Times New Roman"/>
                <w:color w:val="000000"/>
                <w:lang w:val="en-GB"/>
              </w:rPr>
            </w:pPr>
            <w:r w:rsidRPr="007362E8">
              <w:rPr>
                <w:rFonts w:ascii="Times New Roman" w:hAnsi="Times New Roman"/>
                <w:color w:val="000000"/>
                <w:lang w:val="en-GB"/>
              </w:rPr>
              <w:t>Finlandia</w:t>
            </w:r>
          </w:p>
        </w:tc>
        <w:tc>
          <w:tcPr>
            <w:tcW w:w="2374" w:type="dxa"/>
            <w:noWrap/>
            <w:hideMark/>
          </w:tcPr>
          <w:p w14:paraId="0B7FF39A"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106 364 987</w:t>
            </w:r>
          </w:p>
        </w:tc>
      </w:tr>
      <w:tr w:rsidR="007362E8" w:rsidRPr="007362E8" w14:paraId="544B40E3" w14:textId="77777777" w:rsidTr="00B25FEC">
        <w:trPr>
          <w:trHeight w:val="300"/>
        </w:trPr>
        <w:tc>
          <w:tcPr>
            <w:tcW w:w="2417" w:type="dxa"/>
            <w:noWrap/>
            <w:hideMark/>
          </w:tcPr>
          <w:p w14:paraId="123DEE81"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Szwecja</w:t>
            </w:r>
            <w:proofErr w:type="spellEnd"/>
          </w:p>
        </w:tc>
        <w:tc>
          <w:tcPr>
            <w:tcW w:w="2374" w:type="dxa"/>
            <w:noWrap/>
            <w:hideMark/>
          </w:tcPr>
          <w:p w14:paraId="6CF37E90" w14:textId="77777777" w:rsidR="007362E8" w:rsidRPr="007362E8" w:rsidRDefault="007362E8" w:rsidP="007362E8">
            <w:pPr>
              <w:spacing w:before="120" w:after="120" w:line="278" w:lineRule="auto"/>
              <w:jc w:val="right"/>
              <w:rPr>
                <w:rFonts w:ascii="Times New Roman" w:hAnsi="Times New Roman"/>
                <w:color w:val="000000"/>
                <w:lang w:val="en-GB"/>
              </w:rPr>
            </w:pPr>
            <w:r w:rsidRPr="007362E8">
              <w:rPr>
                <w:rFonts w:ascii="Times New Roman" w:hAnsi="Times New Roman"/>
                <w:color w:val="000000"/>
                <w:lang w:val="en-GB"/>
              </w:rPr>
              <w:t>63 566 922</w:t>
            </w:r>
          </w:p>
        </w:tc>
      </w:tr>
    </w:tbl>
    <w:p w14:paraId="713F7BC7" w14:textId="77777777" w:rsidR="007362E8" w:rsidRPr="007362E8" w:rsidRDefault="007362E8" w:rsidP="007362E8">
      <w:pPr>
        <w:spacing w:after="160" w:line="278" w:lineRule="auto"/>
        <w:rPr>
          <w:rFonts w:eastAsia="Calibri"/>
          <w:i/>
          <w:color w:val="000000"/>
          <w:kern w:val="2"/>
          <w:szCs w:val="22"/>
          <w:lang w:val="pl-PL" w:eastAsia="en-US"/>
          <w14:ligatures w14:val="standardContextual"/>
        </w:rPr>
      </w:pPr>
      <w:r w:rsidRPr="007362E8">
        <w:rPr>
          <w:rFonts w:eastAsia="Calibri"/>
          <w:i/>
          <w:color w:val="000000"/>
          <w:kern w:val="2"/>
          <w:szCs w:val="22"/>
          <w:lang w:val="pl-PL" w:eastAsia="en-US"/>
          <w14:ligatures w14:val="standardContextual"/>
        </w:rPr>
        <w:br w:type="page"/>
      </w:r>
    </w:p>
    <w:p w14:paraId="2B7C64B9" w14:textId="77777777" w:rsidR="007362E8" w:rsidRPr="007362E8" w:rsidRDefault="007362E8" w:rsidP="007362E8">
      <w:pPr>
        <w:spacing w:after="200" w:line="276" w:lineRule="auto"/>
        <w:rPr>
          <w:rFonts w:eastAsia="Calibri"/>
          <w:i/>
          <w:iCs/>
          <w:color w:val="000000"/>
          <w:kern w:val="2"/>
          <w:szCs w:val="22"/>
          <w:lang w:val="pl-PL" w:eastAsia="en-US"/>
          <w14:ligatures w14:val="standardContextual"/>
        </w:rPr>
      </w:pPr>
      <w:r w:rsidRPr="007362E8">
        <w:rPr>
          <w:rFonts w:eastAsia="Calibri"/>
          <w:i/>
          <w:color w:val="000000"/>
          <w:kern w:val="2"/>
          <w:szCs w:val="22"/>
          <w:lang w:val="pl-PL" w:eastAsia="en-US"/>
          <w14:ligatures w14:val="standardContextual"/>
        </w:rPr>
        <w:lastRenderedPageBreak/>
        <w:t xml:space="preserve">Maksymalna kwota zmniejszenia przydziałów na płatności bezpośrednie na rok kalendarzowy 2027 na państwo członkowskie </w:t>
      </w:r>
    </w:p>
    <w:tbl>
      <w:tblPr>
        <w:tblStyle w:val="TableGrid2"/>
        <w:tblW w:w="0" w:type="auto"/>
        <w:tblInd w:w="1696" w:type="dxa"/>
        <w:tblLook w:val="04A0" w:firstRow="1" w:lastRow="0" w:firstColumn="1" w:lastColumn="0" w:noHBand="0" w:noVBand="1"/>
      </w:tblPr>
      <w:tblGrid>
        <w:gridCol w:w="2417"/>
        <w:gridCol w:w="2374"/>
      </w:tblGrid>
      <w:tr w:rsidR="007362E8" w:rsidRPr="007362E8" w14:paraId="2042171C" w14:textId="77777777" w:rsidTr="00B25FEC">
        <w:trPr>
          <w:trHeight w:val="300"/>
        </w:trPr>
        <w:tc>
          <w:tcPr>
            <w:tcW w:w="2417" w:type="dxa"/>
            <w:noWrap/>
            <w:vAlign w:val="center"/>
          </w:tcPr>
          <w:p w14:paraId="5E30E88B" w14:textId="77777777" w:rsidR="007362E8" w:rsidRPr="007362E8" w:rsidRDefault="007362E8" w:rsidP="007362E8">
            <w:pPr>
              <w:spacing w:before="120" w:after="120" w:line="278" w:lineRule="auto"/>
              <w:rPr>
                <w:rFonts w:ascii="Times New Roman" w:hAnsi="Times New Roman"/>
                <w:color w:val="000000"/>
                <w:lang w:val="pl-PL"/>
              </w:rPr>
            </w:pPr>
          </w:p>
        </w:tc>
        <w:tc>
          <w:tcPr>
            <w:tcW w:w="2374" w:type="dxa"/>
            <w:noWrap/>
            <w:vAlign w:val="center"/>
          </w:tcPr>
          <w:p w14:paraId="15560673"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EUR (w </w:t>
            </w:r>
            <w:proofErr w:type="spellStart"/>
            <w:r w:rsidRPr="007362E8">
              <w:rPr>
                <w:rFonts w:ascii="Times New Roman" w:hAnsi="Times New Roman"/>
                <w:color w:val="000000"/>
                <w:lang w:val="en-GB"/>
              </w:rPr>
              <w:t>cenach</w:t>
            </w:r>
            <w:proofErr w:type="spellEnd"/>
            <w:r w:rsidRPr="007362E8">
              <w:rPr>
                <w:rFonts w:ascii="Times New Roman" w:hAnsi="Times New Roman"/>
                <w:color w:val="000000"/>
                <w:lang w:val="en-GB"/>
              </w:rPr>
              <w:t xml:space="preserve"> </w:t>
            </w:r>
            <w:proofErr w:type="spellStart"/>
            <w:r w:rsidRPr="007362E8">
              <w:rPr>
                <w:rFonts w:ascii="Times New Roman" w:hAnsi="Times New Roman"/>
                <w:color w:val="000000"/>
                <w:lang w:val="en-GB"/>
              </w:rPr>
              <w:t>bieżących</w:t>
            </w:r>
            <w:proofErr w:type="spellEnd"/>
            <w:r w:rsidRPr="007362E8">
              <w:rPr>
                <w:rFonts w:ascii="Times New Roman" w:hAnsi="Times New Roman"/>
                <w:color w:val="000000"/>
                <w:lang w:val="en-GB"/>
              </w:rPr>
              <w:t>)</w:t>
            </w:r>
          </w:p>
        </w:tc>
      </w:tr>
      <w:tr w:rsidR="007362E8" w:rsidRPr="007362E8" w14:paraId="3873E53E" w14:textId="77777777" w:rsidTr="00B25FEC">
        <w:trPr>
          <w:trHeight w:val="300"/>
        </w:trPr>
        <w:tc>
          <w:tcPr>
            <w:tcW w:w="2417" w:type="dxa"/>
            <w:noWrap/>
            <w:vAlign w:val="center"/>
            <w:hideMark/>
          </w:tcPr>
          <w:p w14:paraId="227D62E4"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Belgia</w:t>
            </w:r>
            <w:proofErr w:type="spellEnd"/>
          </w:p>
        </w:tc>
        <w:tc>
          <w:tcPr>
            <w:tcW w:w="2374" w:type="dxa"/>
            <w:noWrap/>
            <w:vAlign w:val="center"/>
            <w:hideMark/>
          </w:tcPr>
          <w:p w14:paraId="3F4796E0"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123 731 481</w:t>
            </w:r>
          </w:p>
        </w:tc>
      </w:tr>
      <w:tr w:rsidR="007362E8" w:rsidRPr="007362E8" w14:paraId="1C2C26EE" w14:textId="77777777" w:rsidTr="00B25FEC">
        <w:trPr>
          <w:trHeight w:val="300"/>
        </w:trPr>
        <w:tc>
          <w:tcPr>
            <w:tcW w:w="2417" w:type="dxa"/>
            <w:noWrap/>
            <w:vAlign w:val="center"/>
            <w:hideMark/>
          </w:tcPr>
          <w:p w14:paraId="512E5B81"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Bułgaria</w:t>
            </w:r>
            <w:proofErr w:type="spellEnd"/>
          </w:p>
        </w:tc>
        <w:tc>
          <w:tcPr>
            <w:tcW w:w="2374" w:type="dxa"/>
            <w:noWrap/>
            <w:vAlign w:val="center"/>
            <w:hideMark/>
          </w:tcPr>
          <w:p w14:paraId="7A7957D9"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207 943 425</w:t>
            </w:r>
          </w:p>
        </w:tc>
      </w:tr>
      <w:tr w:rsidR="007362E8" w:rsidRPr="007362E8" w14:paraId="4D2F2052" w14:textId="77777777" w:rsidTr="00B25FEC">
        <w:trPr>
          <w:trHeight w:val="300"/>
        </w:trPr>
        <w:tc>
          <w:tcPr>
            <w:tcW w:w="2417" w:type="dxa"/>
            <w:noWrap/>
            <w:vAlign w:val="center"/>
            <w:hideMark/>
          </w:tcPr>
          <w:p w14:paraId="64DE3F1E"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Czechy</w:t>
            </w:r>
            <w:proofErr w:type="spellEnd"/>
          </w:p>
        </w:tc>
        <w:tc>
          <w:tcPr>
            <w:tcW w:w="2374" w:type="dxa"/>
            <w:noWrap/>
            <w:vAlign w:val="center"/>
            <w:hideMark/>
          </w:tcPr>
          <w:p w14:paraId="3D2846C1"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213 736 824</w:t>
            </w:r>
          </w:p>
        </w:tc>
      </w:tr>
      <w:tr w:rsidR="007362E8" w:rsidRPr="007362E8" w14:paraId="1AB1CA3E" w14:textId="77777777" w:rsidTr="00B25FEC">
        <w:trPr>
          <w:trHeight w:val="300"/>
        </w:trPr>
        <w:tc>
          <w:tcPr>
            <w:tcW w:w="2417" w:type="dxa"/>
            <w:noWrap/>
            <w:vAlign w:val="center"/>
            <w:hideMark/>
          </w:tcPr>
          <w:p w14:paraId="23F7CB33" w14:textId="77777777" w:rsidR="007362E8" w:rsidRPr="007362E8" w:rsidRDefault="007362E8" w:rsidP="007362E8">
            <w:pPr>
              <w:spacing w:before="120" w:after="120" w:line="278" w:lineRule="auto"/>
              <w:rPr>
                <w:rFonts w:ascii="Times New Roman" w:hAnsi="Times New Roman"/>
                <w:color w:val="000000"/>
                <w:lang w:val="en-GB"/>
              </w:rPr>
            </w:pPr>
            <w:r w:rsidRPr="007362E8">
              <w:rPr>
                <w:rFonts w:ascii="Times New Roman" w:hAnsi="Times New Roman"/>
                <w:color w:val="000000"/>
                <w:lang w:val="en-GB"/>
              </w:rPr>
              <w:t>Dania</w:t>
            </w:r>
          </w:p>
        </w:tc>
        <w:tc>
          <w:tcPr>
            <w:tcW w:w="2374" w:type="dxa"/>
            <w:noWrap/>
            <w:vAlign w:val="center"/>
            <w:hideMark/>
          </w:tcPr>
          <w:p w14:paraId="743B1C18"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215 591 819</w:t>
            </w:r>
          </w:p>
        </w:tc>
      </w:tr>
      <w:tr w:rsidR="007362E8" w:rsidRPr="007362E8" w14:paraId="62B98663" w14:textId="77777777" w:rsidTr="00B25FEC">
        <w:trPr>
          <w:trHeight w:val="300"/>
        </w:trPr>
        <w:tc>
          <w:tcPr>
            <w:tcW w:w="2417" w:type="dxa"/>
            <w:noWrap/>
            <w:vAlign w:val="center"/>
            <w:hideMark/>
          </w:tcPr>
          <w:p w14:paraId="31A87A60"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Niemcy</w:t>
            </w:r>
            <w:proofErr w:type="spellEnd"/>
          </w:p>
        </w:tc>
        <w:tc>
          <w:tcPr>
            <w:tcW w:w="2374" w:type="dxa"/>
            <w:noWrap/>
            <w:vAlign w:val="center"/>
            <w:hideMark/>
          </w:tcPr>
          <w:p w14:paraId="276B8427"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1 228 923 865</w:t>
            </w:r>
          </w:p>
        </w:tc>
      </w:tr>
      <w:tr w:rsidR="007362E8" w:rsidRPr="007362E8" w14:paraId="4958D413" w14:textId="77777777" w:rsidTr="00B25FEC">
        <w:trPr>
          <w:trHeight w:val="300"/>
        </w:trPr>
        <w:tc>
          <w:tcPr>
            <w:tcW w:w="2417" w:type="dxa"/>
            <w:noWrap/>
            <w:vAlign w:val="center"/>
            <w:hideMark/>
          </w:tcPr>
          <w:p w14:paraId="026562FA" w14:textId="77777777" w:rsidR="007362E8" w:rsidRPr="007362E8" w:rsidRDefault="007362E8" w:rsidP="007362E8">
            <w:pPr>
              <w:spacing w:before="120" w:after="120" w:line="278" w:lineRule="auto"/>
              <w:rPr>
                <w:rFonts w:ascii="Times New Roman" w:hAnsi="Times New Roman"/>
                <w:color w:val="000000"/>
                <w:lang w:val="en-GB"/>
              </w:rPr>
            </w:pPr>
            <w:r w:rsidRPr="007362E8">
              <w:rPr>
                <w:rFonts w:ascii="Times New Roman" w:hAnsi="Times New Roman"/>
                <w:color w:val="000000"/>
                <w:lang w:val="en-GB"/>
              </w:rPr>
              <w:t>Estonia</w:t>
            </w:r>
          </w:p>
        </w:tc>
        <w:tc>
          <w:tcPr>
            <w:tcW w:w="2374" w:type="dxa"/>
            <w:noWrap/>
            <w:vAlign w:val="center"/>
            <w:hideMark/>
          </w:tcPr>
          <w:p w14:paraId="0692D097"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51 254 687</w:t>
            </w:r>
          </w:p>
        </w:tc>
      </w:tr>
      <w:tr w:rsidR="007362E8" w:rsidRPr="007362E8" w14:paraId="4A523895" w14:textId="77777777" w:rsidTr="00B25FEC">
        <w:trPr>
          <w:trHeight w:val="300"/>
        </w:trPr>
        <w:tc>
          <w:tcPr>
            <w:tcW w:w="2417" w:type="dxa"/>
            <w:noWrap/>
            <w:vAlign w:val="center"/>
            <w:hideMark/>
          </w:tcPr>
          <w:p w14:paraId="6FCCB59B"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Irlandia</w:t>
            </w:r>
            <w:proofErr w:type="spellEnd"/>
          </w:p>
        </w:tc>
        <w:tc>
          <w:tcPr>
            <w:tcW w:w="2374" w:type="dxa"/>
            <w:noWrap/>
            <w:vAlign w:val="center"/>
            <w:hideMark/>
          </w:tcPr>
          <w:p w14:paraId="1B5FEEA0"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296 570 499</w:t>
            </w:r>
          </w:p>
        </w:tc>
      </w:tr>
      <w:tr w:rsidR="007362E8" w:rsidRPr="007362E8" w14:paraId="20FDF663" w14:textId="77777777" w:rsidTr="00B25FEC">
        <w:trPr>
          <w:trHeight w:val="300"/>
        </w:trPr>
        <w:tc>
          <w:tcPr>
            <w:tcW w:w="2417" w:type="dxa"/>
            <w:noWrap/>
            <w:vAlign w:val="center"/>
            <w:hideMark/>
          </w:tcPr>
          <w:p w14:paraId="4F517868"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Grecja</w:t>
            </w:r>
            <w:proofErr w:type="spellEnd"/>
          </w:p>
        </w:tc>
        <w:tc>
          <w:tcPr>
            <w:tcW w:w="2374" w:type="dxa"/>
            <w:noWrap/>
            <w:vAlign w:val="center"/>
            <w:hideMark/>
          </w:tcPr>
          <w:p w14:paraId="0385042D"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472 915 011</w:t>
            </w:r>
          </w:p>
        </w:tc>
      </w:tr>
      <w:tr w:rsidR="007362E8" w:rsidRPr="007362E8" w14:paraId="0079CD89" w14:textId="77777777" w:rsidTr="00B25FEC">
        <w:trPr>
          <w:trHeight w:val="300"/>
        </w:trPr>
        <w:tc>
          <w:tcPr>
            <w:tcW w:w="2417" w:type="dxa"/>
            <w:noWrap/>
            <w:vAlign w:val="center"/>
            <w:hideMark/>
          </w:tcPr>
          <w:p w14:paraId="49E1E4BE"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Hiszpania</w:t>
            </w:r>
            <w:proofErr w:type="spellEnd"/>
          </w:p>
        </w:tc>
        <w:tc>
          <w:tcPr>
            <w:tcW w:w="2374" w:type="dxa"/>
            <w:noWrap/>
            <w:vAlign w:val="center"/>
            <w:hideMark/>
          </w:tcPr>
          <w:p w14:paraId="7A113060"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1 209 271 990</w:t>
            </w:r>
          </w:p>
        </w:tc>
      </w:tr>
      <w:tr w:rsidR="007362E8" w:rsidRPr="007362E8" w14:paraId="69294157" w14:textId="77777777" w:rsidTr="00B25FEC">
        <w:trPr>
          <w:trHeight w:val="300"/>
        </w:trPr>
        <w:tc>
          <w:tcPr>
            <w:tcW w:w="2417" w:type="dxa"/>
            <w:noWrap/>
            <w:vAlign w:val="center"/>
            <w:hideMark/>
          </w:tcPr>
          <w:p w14:paraId="5BCEC195"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Francja</w:t>
            </w:r>
            <w:proofErr w:type="spellEnd"/>
          </w:p>
        </w:tc>
        <w:tc>
          <w:tcPr>
            <w:tcW w:w="2374" w:type="dxa"/>
            <w:noWrap/>
            <w:vAlign w:val="center"/>
            <w:hideMark/>
          </w:tcPr>
          <w:p w14:paraId="25E54F8B"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1 821 250 134</w:t>
            </w:r>
          </w:p>
        </w:tc>
      </w:tr>
      <w:tr w:rsidR="007362E8" w:rsidRPr="007362E8" w14:paraId="799F8BD8" w14:textId="77777777" w:rsidTr="00B25FEC">
        <w:trPr>
          <w:trHeight w:val="300"/>
        </w:trPr>
        <w:tc>
          <w:tcPr>
            <w:tcW w:w="2417" w:type="dxa"/>
            <w:noWrap/>
            <w:vAlign w:val="center"/>
            <w:hideMark/>
          </w:tcPr>
          <w:p w14:paraId="6EBC8922"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Chorwacja</w:t>
            </w:r>
            <w:proofErr w:type="spellEnd"/>
          </w:p>
        </w:tc>
        <w:tc>
          <w:tcPr>
            <w:tcW w:w="2374" w:type="dxa"/>
            <w:noWrap/>
            <w:vAlign w:val="center"/>
            <w:hideMark/>
          </w:tcPr>
          <w:p w14:paraId="51E5D815"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93 692 559</w:t>
            </w:r>
          </w:p>
        </w:tc>
      </w:tr>
      <w:tr w:rsidR="007362E8" w:rsidRPr="007362E8" w14:paraId="64A347E9" w14:textId="77777777" w:rsidTr="00B25FEC">
        <w:trPr>
          <w:trHeight w:val="300"/>
        </w:trPr>
        <w:tc>
          <w:tcPr>
            <w:tcW w:w="2417" w:type="dxa"/>
            <w:noWrap/>
            <w:vAlign w:val="center"/>
            <w:hideMark/>
          </w:tcPr>
          <w:p w14:paraId="78C4E516"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Włochy</w:t>
            </w:r>
            <w:proofErr w:type="spellEnd"/>
          </w:p>
        </w:tc>
        <w:tc>
          <w:tcPr>
            <w:tcW w:w="2374" w:type="dxa"/>
            <w:noWrap/>
            <w:vAlign w:val="center"/>
            <w:hideMark/>
          </w:tcPr>
          <w:p w14:paraId="34957481"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907 132 289</w:t>
            </w:r>
          </w:p>
        </w:tc>
      </w:tr>
      <w:tr w:rsidR="007362E8" w:rsidRPr="007362E8" w14:paraId="25695BEB" w14:textId="77777777" w:rsidTr="00B25FEC">
        <w:trPr>
          <w:trHeight w:val="300"/>
        </w:trPr>
        <w:tc>
          <w:tcPr>
            <w:tcW w:w="2417" w:type="dxa"/>
            <w:noWrap/>
            <w:vAlign w:val="center"/>
            <w:hideMark/>
          </w:tcPr>
          <w:p w14:paraId="670AA7AF"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Cypr</w:t>
            </w:r>
            <w:proofErr w:type="spellEnd"/>
          </w:p>
        </w:tc>
        <w:tc>
          <w:tcPr>
            <w:tcW w:w="2374" w:type="dxa"/>
            <w:noWrap/>
            <w:vAlign w:val="center"/>
            <w:hideMark/>
          </w:tcPr>
          <w:p w14:paraId="1ECFCFF3"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11 911 885</w:t>
            </w:r>
          </w:p>
        </w:tc>
      </w:tr>
      <w:tr w:rsidR="007362E8" w:rsidRPr="007362E8" w14:paraId="5ED04595" w14:textId="77777777" w:rsidTr="00B25FEC">
        <w:trPr>
          <w:trHeight w:val="300"/>
        </w:trPr>
        <w:tc>
          <w:tcPr>
            <w:tcW w:w="2417" w:type="dxa"/>
            <w:noWrap/>
            <w:vAlign w:val="center"/>
            <w:hideMark/>
          </w:tcPr>
          <w:p w14:paraId="55F81A84"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Łotwa</w:t>
            </w:r>
            <w:proofErr w:type="spellEnd"/>
          </w:p>
        </w:tc>
        <w:tc>
          <w:tcPr>
            <w:tcW w:w="2374" w:type="dxa"/>
            <w:noWrap/>
            <w:vAlign w:val="center"/>
            <w:hideMark/>
          </w:tcPr>
          <w:p w14:paraId="2A1E131F"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91 120 936</w:t>
            </w:r>
          </w:p>
        </w:tc>
      </w:tr>
      <w:tr w:rsidR="007362E8" w:rsidRPr="007362E8" w14:paraId="4811922F" w14:textId="77777777" w:rsidTr="00B25FEC">
        <w:trPr>
          <w:trHeight w:val="300"/>
        </w:trPr>
        <w:tc>
          <w:tcPr>
            <w:tcW w:w="2417" w:type="dxa"/>
            <w:noWrap/>
            <w:vAlign w:val="center"/>
            <w:hideMark/>
          </w:tcPr>
          <w:p w14:paraId="770A3D3E" w14:textId="77777777" w:rsidR="007362E8" w:rsidRPr="007362E8" w:rsidRDefault="007362E8" w:rsidP="007362E8">
            <w:pPr>
              <w:spacing w:before="120" w:after="120" w:line="278" w:lineRule="auto"/>
              <w:rPr>
                <w:rFonts w:ascii="Times New Roman" w:hAnsi="Times New Roman"/>
                <w:color w:val="000000"/>
                <w:lang w:val="en-GB"/>
              </w:rPr>
            </w:pPr>
            <w:r w:rsidRPr="007362E8">
              <w:rPr>
                <w:rFonts w:ascii="Times New Roman" w:hAnsi="Times New Roman"/>
                <w:color w:val="000000"/>
                <w:lang w:val="en-GB"/>
              </w:rPr>
              <w:t>Litwa</w:t>
            </w:r>
          </w:p>
        </w:tc>
        <w:tc>
          <w:tcPr>
            <w:tcW w:w="2374" w:type="dxa"/>
            <w:noWrap/>
            <w:vAlign w:val="center"/>
            <w:hideMark/>
          </w:tcPr>
          <w:p w14:paraId="5EDC64BD"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153 178 204</w:t>
            </w:r>
          </w:p>
        </w:tc>
      </w:tr>
    </w:tbl>
    <w:p w14:paraId="6521E1A6" w14:textId="77777777" w:rsidR="007362E8" w:rsidRPr="007362E8" w:rsidRDefault="007362E8" w:rsidP="007362E8">
      <w:pPr>
        <w:spacing w:after="160" w:line="278" w:lineRule="auto"/>
        <w:rPr>
          <w:rFonts w:eastAsia="Aptos"/>
          <w:color w:val="000000"/>
          <w:kern w:val="2"/>
          <w:szCs w:val="24"/>
          <w:lang w:val="pl-PL" w:eastAsia="en-US"/>
          <w14:ligatures w14:val="standardContextual"/>
        </w:rPr>
      </w:pPr>
      <w:r w:rsidRPr="007362E8">
        <w:rPr>
          <w:rFonts w:eastAsia="Aptos"/>
          <w:color w:val="000000"/>
          <w:kern w:val="2"/>
          <w:szCs w:val="24"/>
          <w:lang w:val="pl-PL" w:eastAsia="en-US"/>
          <w14:ligatures w14:val="standardContextual"/>
        </w:rPr>
        <w:br w:type="page"/>
      </w:r>
    </w:p>
    <w:tbl>
      <w:tblPr>
        <w:tblStyle w:val="TableGrid2"/>
        <w:tblW w:w="0" w:type="auto"/>
        <w:tblInd w:w="1696" w:type="dxa"/>
        <w:tblLook w:val="04A0" w:firstRow="1" w:lastRow="0" w:firstColumn="1" w:lastColumn="0" w:noHBand="0" w:noVBand="1"/>
      </w:tblPr>
      <w:tblGrid>
        <w:gridCol w:w="2417"/>
        <w:gridCol w:w="2374"/>
      </w:tblGrid>
      <w:tr w:rsidR="007362E8" w:rsidRPr="007362E8" w14:paraId="6D984247" w14:textId="77777777" w:rsidTr="00B25FEC">
        <w:trPr>
          <w:trHeight w:val="300"/>
        </w:trPr>
        <w:tc>
          <w:tcPr>
            <w:tcW w:w="2417" w:type="dxa"/>
            <w:noWrap/>
            <w:vAlign w:val="center"/>
            <w:hideMark/>
          </w:tcPr>
          <w:p w14:paraId="5FDA8F92"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lastRenderedPageBreak/>
              <w:t>Luksemburg</w:t>
            </w:r>
            <w:proofErr w:type="spellEnd"/>
          </w:p>
        </w:tc>
        <w:tc>
          <w:tcPr>
            <w:tcW w:w="2374" w:type="dxa"/>
            <w:noWrap/>
            <w:vAlign w:val="center"/>
            <w:hideMark/>
          </w:tcPr>
          <w:p w14:paraId="5EC2ADF4"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8 186 957</w:t>
            </w:r>
          </w:p>
        </w:tc>
      </w:tr>
      <w:tr w:rsidR="007362E8" w:rsidRPr="007362E8" w14:paraId="1C806181" w14:textId="77777777" w:rsidTr="00B25FEC">
        <w:trPr>
          <w:trHeight w:val="300"/>
        </w:trPr>
        <w:tc>
          <w:tcPr>
            <w:tcW w:w="2417" w:type="dxa"/>
            <w:noWrap/>
            <w:vAlign w:val="center"/>
            <w:hideMark/>
          </w:tcPr>
          <w:p w14:paraId="0533996E"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Węgry</w:t>
            </w:r>
            <w:proofErr w:type="spellEnd"/>
          </w:p>
        </w:tc>
        <w:tc>
          <w:tcPr>
            <w:tcW w:w="2374" w:type="dxa"/>
            <w:noWrap/>
            <w:vAlign w:val="center"/>
            <w:hideMark/>
          </w:tcPr>
          <w:p w14:paraId="2791B959"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310 796 291</w:t>
            </w:r>
          </w:p>
        </w:tc>
      </w:tr>
      <w:tr w:rsidR="007362E8" w:rsidRPr="007362E8" w14:paraId="05623B87" w14:textId="77777777" w:rsidTr="00B25FEC">
        <w:trPr>
          <w:trHeight w:val="300"/>
        </w:trPr>
        <w:tc>
          <w:tcPr>
            <w:tcW w:w="2417" w:type="dxa"/>
            <w:noWrap/>
            <w:vAlign w:val="center"/>
            <w:hideMark/>
          </w:tcPr>
          <w:p w14:paraId="042940FF" w14:textId="77777777" w:rsidR="007362E8" w:rsidRPr="007362E8" w:rsidRDefault="007362E8" w:rsidP="007362E8">
            <w:pPr>
              <w:spacing w:before="120" w:after="120" w:line="278" w:lineRule="auto"/>
              <w:rPr>
                <w:rFonts w:ascii="Times New Roman" w:hAnsi="Times New Roman"/>
                <w:color w:val="000000"/>
                <w:lang w:val="en-GB"/>
              </w:rPr>
            </w:pPr>
            <w:r w:rsidRPr="007362E8">
              <w:rPr>
                <w:rFonts w:ascii="Times New Roman" w:hAnsi="Times New Roman"/>
                <w:color w:val="000000"/>
                <w:lang w:val="en-GB"/>
              </w:rPr>
              <w:t>Malta</w:t>
            </w:r>
          </w:p>
        </w:tc>
        <w:tc>
          <w:tcPr>
            <w:tcW w:w="2374" w:type="dxa"/>
            <w:noWrap/>
            <w:vAlign w:val="center"/>
            <w:hideMark/>
          </w:tcPr>
          <w:p w14:paraId="3DAF33C7"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1 148 505</w:t>
            </w:r>
          </w:p>
        </w:tc>
      </w:tr>
      <w:tr w:rsidR="007362E8" w:rsidRPr="007362E8" w14:paraId="5773E1F9" w14:textId="77777777" w:rsidTr="00B25FEC">
        <w:trPr>
          <w:trHeight w:val="300"/>
        </w:trPr>
        <w:tc>
          <w:tcPr>
            <w:tcW w:w="2417" w:type="dxa"/>
            <w:noWrap/>
            <w:vAlign w:val="center"/>
            <w:hideMark/>
          </w:tcPr>
          <w:p w14:paraId="2492628A"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Niderlandy</w:t>
            </w:r>
            <w:proofErr w:type="spellEnd"/>
          </w:p>
        </w:tc>
        <w:tc>
          <w:tcPr>
            <w:tcW w:w="2374" w:type="dxa"/>
            <w:noWrap/>
            <w:vAlign w:val="center"/>
            <w:hideMark/>
          </w:tcPr>
          <w:p w14:paraId="1EDB2053"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179 345 582</w:t>
            </w:r>
          </w:p>
        </w:tc>
      </w:tr>
      <w:tr w:rsidR="007362E8" w:rsidRPr="007362E8" w14:paraId="7DB3B7DD" w14:textId="77777777" w:rsidTr="00B25FEC">
        <w:trPr>
          <w:trHeight w:val="300"/>
        </w:trPr>
        <w:tc>
          <w:tcPr>
            <w:tcW w:w="2417" w:type="dxa"/>
            <w:noWrap/>
            <w:vAlign w:val="center"/>
            <w:hideMark/>
          </w:tcPr>
          <w:p w14:paraId="13B0F4C9" w14:textId="77777777" w:rsidR="007362E8" w:rsidRPr="007362E8" w:rsidRDefault="007362E8" w:rsidP="007362E8">
            <w:pPr>
              <w:spacing w:before="120" w:after="120" w:line="278" w:lineRule="auto"/>
              <w:rPr>
                <w:rFonts w:ascii="Times New Roman" w:hAnsi="Times New Roman"/>
                <w:color w:val="000000"/>
                <w:lang w:val="en-GB"/>
              </w:rPr>
            </w:pPr>
            <w:r w:rsidRPr="007362E8">
              <w:rPr>
                <w:rFonts w:ascii="Times New Roman" w:hAnsi="Times New Roman"/>
                <w:color w:val="000000"/>
                <w:lang w:val="en-GB"/>
              </w:rPr>
              <w:t>Austria</w:t>
            </w:r>
          </w:p>
        </w:tc>
        <w:tc>
          <w:tcPr>
            <w:tcW w:w="2374" w:type="dxa"/>
            <w:noWrap/>
            <w:vAlign w:val="center"/>
            <w:hideMark/>
          </w:tcPr>
          <w:p w14:paraId="06AB8902"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169 395 462</w:t>
            </w:r>
          </w:p>
        </w:tc>
      </w:tr>
      <w:tr w:rsidR="007362E8" w:rsidRPr="007362E8" w14:paraId="6B8CF199" w14:textId="77777777" w:rsidTr="00B25FEC">
        <w:trPr>
          <w:trHeight w:val="300"/>
        </w:trPr>
        <w:tc>
          <w:tcPr>
            <w:tcW w:w="2417" w:type="dxa"/>
            <w:noWrap/>
            <w:vAlign w:val="center"/>
            <w:hideMark/>
          </w:tcPr>
          <w:p w14:paraId="72A18494" w14:textId="77777777" w:rsidR="007362E8" w:rsidRPr="007362E8" w:rsidRDefault="007362E8" w:rsidP="007362E8">
            <w:pPr>
              <w:spacing w:before="120" w:after="120" w:line="278" w:lineRule="auto"/>
              <w:rPr>
                <w:rFonts w:ascii="Times New Roman" w:hAnsi="Times New Roman"/>
                <w:color w:val="000000"/>
                <w:lang w:val="en-GB"/>
              </w:rPr>
            </w:pPr>
            <w:r w:rsidRPr="007362E8">
              <w:rPr>
                <w:rFonts w:ascii="Times New Roman" w:hAnsi="Times New Roman"/>
                <w:color w:val="000000"/>
                <w:lang w:val="en-GB"/>
              </w:rPr>
              <w:t>Polska</w:t>
            </w:r>
          </w:p>
        </w:tc>
        <w:tc>
          <w:tcPr>
            <w:tcW w:w="2374" w:type="dxa"/>
            <w:noWrap/>
            <w:vAlign w:val="center"/>
            <w:hideMark/>
          </w:tcPr>
          <w:p w14:paraId="3968262A"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796 492 035</w:t>
            </w:r>
          </w:p>
        </w:tc>
      </w:tr>
      <w:tr w:rsidR="007362E8" w:rsidRPr="007362E8" w14:paraId="5583FEC6" w14:textId="77777777" w:rsidTr="00B25FEC">
        <w:trPr>
          <w:trHeight w:val="300"/>
        </w:trPr>
        <w:tc>
          <w:tcPr>
            <w:tcW w:w="2417" w:type="dxa"/>
            <w:noWrap/>
            <w:vAlign w:val="center"/>
            <w:hideMark/>
          </w:tcPr>
          <w:p w14:paraId="191D5A58"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Portugalia</w:t>
            </w:r>
            <w:proofErr w:type="spellEnd"/>
          </w:p>
        </w:tc>
        <w:tc>
          <w:tcPr>
            <w:tcW w:w="2374" w:type="dxa"/>
            <w:noWrap/>
            <w:vAlign w:val="center"/>
            <w:hideMark/>
          </w:tcPr>
          <w:p w14:paraId="161F9AD8"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159 948 413</w:t>
            </w:r>
          </w:p>
        </w:tc>
      </w:tr>
      <w:tr w:rsidR="007362E8" w:rsidRPr="007362E8" w14:paraId="59BAC156" w14:textId="77777777" w:rsidTr="00B25FEC">
        <w:trPr>
          <w:trHeight w:val="300"/>
        </w:trPr>
        <w:tc>
          <w:tcPr>
            <w:tcW w:w="2417" w:type="dxa"/>
            <w:noWrap/>
            <w:vAlign w:val="center"/>
            <w:hideMark/>
          </w:tcPr>
          <w:p w14:paraId="43D1D582"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Rumunia</w:t>
            </w:r>
            <w:proofErr w:type="spellEnd"/>
          </w:p>
        </w:tc>
        <w:tc>
          <w:tcPr>
            <w:tcW w:w="2374" w:type="dxa"/>
            <w:noWrap/>
            <w:vAlign w:val="center"/>
            <w:hideMark/>
          </w:tcPr>
          <w:p w14:paraId="63F8C56D"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507 398 799</w:t>
            </w:r>
          </w:p>
        </w:tc>
      </w:tr>
      <w:tr w:rsidR="007362E8" w:rsidRPr="007362E8" w14:paraId="010E404D" w14:textId="77777777" w:rsidTr="00B25FEC">
        <w:trPr>
          <w:trHeight w:val="300"/>
        </w:trPr>
        <w:tc>
          <w:tcPr>
            <w:tcW w:w="2417" w:type="dxa"/>
            <w:noWrap/>
            <w:vAlign w:val="center"/>
            <w:hideMark/>
          </w:tcPr>
          <w:p w14:paraId="6C97D8CE"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Słowenia</w:t>
            </w:r>
            <w:proofErr w:type="spellEnd"/>
          </w:p>
        </w:tc>
        <w:tc>
          <w:tcPr>
            <w:tcW w:w="2374" w:type="dxa"/>
            <w:noWrap/>
            <w:vAlign w:val="center"/>
            <w:hideMark/>
          </w:tcPr>
          <w:p w14:paraId="18654B81"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32 882 513</w:t>
            </w:r>
          </w:p>
        </w:tc>
      </w:tr>
      <w:tr w:rsidR="007362E8" w:rsidRPr="007362E8" w14:paraId="2DE030BE" w14:textId="77777777" w:rsidTr="00B25FEC">
        <w:trPr>
          <w:trHeight w:val="300"/>
        </w:trPr>
        <w:tc>
          <w:tcPr>
            <w:tcW w:w="2417" w:type="dxa"/>
            <w:noWrap/>
            <w:vAlign w:val="center"/>
            <w:hideMark/>
          </w:tcPr>
          <w:p w14:paraId="1AC57270"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Słowacja</w:t>
            </w:r>
            <w:proofErr w:type="spellEnd"/>
          </w:p>
        </w:tc>
        <w:tc>
          <w:tcPr>
            <w:tcW w:w="2374" w:type="dxa"/>
            <w:noWrap/>
            <w:vAlign w:val="center"/>
            <w:hideMark/>
          </w:tcPr>
          <w:p w14:paraId="23C3E977"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103 868 686</w:t>
            </w:r>
          </w:p>
        </w:tc>
      </w:tr>
      <w:tr w:rsidR="007362E8" w:rsidRPr="007362E8" w14:paraId="4D053859" w14:textId="77777777" w:rsidTr="00B25FEC">
        <w:trPr>
          <w:trHeight w:val="300"/>
        </w:trPr>
        <w:tc>
          <w:tcPr>
            <w:tcW w:w="2417" w:type="dxa"/>
            <w:noWrap/>
            <w:vAlign w:val="center"/>
            <w:hideMark/>
          </w:tcPr>
          <w:p w14:paraId="0CBAB531" w14:textId="77777777" w:rsidR="007362E8" w:rsidRPr="007362E8" w:rsidRDefault="007362E8" w:rsidP="007362E8">
            <w:pPr>
              <w:spacing w:before="120" w:after="120" w:line="278" w:lineRule="auto"/>
              <w:rPr>
                <w:rFonts w:ascii="Times New Roman" w:hAnsi="Times New Roman"/>
                <w:color w:val="000000"/>
                <w:lang w:val="en-GB"/>
              </w:rPr>
            </w:pPr>
            <w:r w:rsidRPr="007362E8">
              <w:rPr>
                <w:rFonts w:ascii="Times New Roman" w:hAnsi="Times New Roman"/>
                <w:color w:val="000000"/>
                <w:lang w:val="en-GB"/>
              </w:rPr>
              <w:t>Finlandia</w:t>
            </w:r>
          </w:p>
        </w:tc>
        <w:tc>
          <w:tcPr>
            <w:tcW w:w="2374" w:type="dxa"/>
            <w:noWrap/>
            <w:vAlign w:val="center"/>
            <w:hideMark/>
          </w:tcPr>
          <w:p w14:paraId="71C5D18E"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131 201 466</w:t>
            </w:r>
          </w:p>
        </w:tc>
      </w:tr>
      <w:tr w:rsidR="007362E8" w:rsidRPr="007362E8" w14:paraId="65159403" w14:textId="77777777" w:rsidTr="00B25FEC">
        <w:trPr>
          <w:trHeight w:val="300"/>
        </w:trPr>
        <w:tc>
          <w:tcPr>
            <w:tcW w:w="2417" w:type="dxa"/>
            <w:noWrap/>
            <w:vAlign w:val="center"/>
            <w:hideMark/>
          </w:tcPr>
          <w:p w14:paraId="5C4F8506" w14:textId="77777777" w:rsidR="007362E8" w:rsidRPr="007362E8" w:rsidRDefault="007362E8" w:rsidP="007362E8">
            <w:pPr>
              <w:spacing w:before="120" w:after="120" w:line="278" w:lineRule="auto"/>
              <w:rPr>
                <w:rFonts w:ascii="Times New Roman" w:hAnsi="Times New Roman"/>
                <w:color w:val="000000"/>
                <w:lang w:val="en-GB"/>
              </w:rPr>
            </w:pPr>
            <w:proofErr w:type="spellStart"/>
            <w:r w:rsidRPr="007362E8">
              <w:rPr>
                <w:rFonts w:ascii="Times New Roman" w:hAnsi="Times New Roman"/>
                <w:color w:val="000000"/>
                <w:lang w:val="en-GB"/>
              </w:rPr>
              <w:t>Szwecja</w:t>
            </w:r>
            <w:proofErr w:type="spellEnd"/>
          </w:p>
        </w:tc>
        <w:tc>
          <w:tcPr>
            <w:tcW w:w="2374" w:type="dxa"/>
            <w:noWrap/>
            <w:vAlign w:val="center"/>
            <w:hideMark/>
          </w:tcPr>
          <w:p w14:paraId="71AF1716" w14:textId="77777777" w:rsidR="007362E8" w:rsidRPr="007362E8" w:rsidRDefault="007362E8" w:rsidP="007362E8">
            <w:pPr>
              <w:spacing w:after="160" w:line="278" w:lineRule="auto"/>
              <w:jc w:val="right"/>
              <w:rPr>
                <w:rFonts w:ascii="Times New Roman" w:hAnsi="Times New Roman"/>
                <w:color w:val="000000"/>
                <w:lang w:val="en-GB"/>
              </w:rPr>
            </w:pPr>
            <w:r w:rsidRPr="007362E8">
              <w:rPr>
                <w:rFonts w:ascii="Times New Roman" w:hAnsi="Times New Roman"/>
                <w:color w:val="000000"/>
                <w:lang w:val="en-GB"/>
              </w:rPr>
              <w:t>171 704 104”</w:t>
            </w:r>
          </w:p>
        </w:tc>
      </w:tr>
    </w:tbl>
    <w:p w14:paraId="442457E4" w14:textId="15B056C4" w:rsidR="009F28EF" w:rsidRPr="009F28EF" w:rsidRDefault="009A3BE1" w:rsidP="009A3BE1">
      <w:pPr>
        <w:keepNext/>
        <w:spacing w:before="600" w:after="120" w:line="360" w:lineRule="auto"/>
        <w:rPr>
          <w:szCs w:val="24"/>
        </w:rPr>
      </w:pPr>
      <w:r>
        <w:rPr>
          <w:rFonts w:eastAsia="Calibri"/>
          <w:i/>
          <w:color w:val="000000"/>
          <w:kern w:val="2"/>
          <w:szCs w:val="22"/>
          <w:lang w:val="pl-PL" w:eastAsia="en-US"/>
          <w14:ligatures w14:val="standardContextual"/>
        </w:rPr>
        <w:t>”</w:t>
      </w:r>
    </w:p>
    <w:sectPr w:rsidR="009F28EF" w:rsidRPr="009F28EF" w:rsidSect="00666512">
      <w:headerReference w:type="even" r:id="rId21"/>
      <w:headerReference w:type="default" r:id="rId22"/>
      <w:footerReference w:type="even" r:id="rId23"/>
      <w:footerReference w:type="default" r:id="rId24"/>
      <w:headerReference w:type="first" r:id="rId25"/>
      <w:footerReference w:type="first" r:id="rId26"/>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9EDE1" w14:textId="77777777" w:rsidR="007362E8" w:rsidRDefault="007362E8" w:rsidP="009C4014">
      <w:r>
        <w:separator/>
      </w:r>
    </w:p>
  </w:endnote>
  <w:endnote w:type="continuationSeparator" w:id="0">
    <w:p w14:paraId="6377559C" w14:textId="77777777" w:rsidR="007362E8" w:rsidRDefault="007362E8"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BFCE" w14:textId="77777777" w:rsidR="007362E8" w:rsidRDefault="007362E8">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FA771" w14:textId="77777777" w:rsidR="007362E8" w:rsidRDefault="007362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AE8C5" w14:textId="77777777" w:rsidR="007362E8" w:rsidRDefault="007362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8220" w14:textId="77777777" w:rsidR="007362E8" w:rsidRPr="002551FB" w:rsidRDefault="007362E8" w:rsidP="002551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2E911" w14:textId="77777777" w:rsidR="007362E8" w:rsidRPr="00A87090" w:rsidRDefault="007362E8" w:rsidP="00A8709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13DBA" w14:textId="77777777" w:rsidR="007362E8" w:rsidRPr="002551FB" w:rsidRDefault="007362E8" w:rsidP="002551F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DE16E" w14:textId="77777777" w:rsidR="00185E15" w:rsidRDefault="00185E15">
    <w:pP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BC25" w14:textId="77777777" w:rsidR="00185E15" w:rsidRDefault="00185E1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F1348"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84666" w14:textId="77777777" w:rsidR="007362E8" w:rsidRDefault="007362E8" w:rsidP="009C4014">
      <w:r>
        <w:separator/>
      </w:r>
    </w:p>
  </w:footnote>
  <w:footnote w:type="continuationSeparator" w:id="0">
    <w:p w14:paraId="11F2496D" w14:textId="77777777" w:rsidR="007362E8" w:rsidRDefault="007362E8" w:rsidP="009C4014">
      <w:r>
        <w:continuationSeparator/>
      </w:r>
    </w:p>
  </w:footnote>
  <w:footnote w:id="1">
    <w:p w14:paraId="0264C590" w14:textId="0DC369C5" w:rsidR="007362E8" w:rsidRPr="00A87090" w:rsidRDefault="007362E8" w:rsidP="007362E8">
      <w:pPr>
        <w:pStyle w:val="FootnoteText"/>
        <w:ind w:left="850" w:hanging="850"/>
        <w:rPr>
          <w:color w:val="000000"/>
          <w:sz w:val="24"/>
          <w:lang w:val="pl-PL"/>
        </w:rPr>
      </w:pPr>
      <w:r w:rsidRPr="00A87090">
        <w:rPr>
          <w:rStyle w:val="FootnoteReference"/>
          <w:color w:val="000000"/>
          <w:sz w:val="24"/>
          <w:szCs w:val="24"/>
        </w:rPr>
        <w:footnoteRef/>
      </w:r>
      <w:r w:rsidRPr="00A87090">
        <w:rPr>
          <w:color w:val="000000"/>
          <w:sz w:val="24"/>
          <w:szCs w:val="24"/>
          <w:lang w:val="pl-PL"/>
        </w:rPr>
        <w:t xml:space="preserve"> </w:t>
      </w:r>
      <w:r w:rsidRPr="00A87090">
        <w:rPr>
          <w:color w:val="000000"/>
          <w:sz w:val="24"/>
          <w:szCs w:val="24"/>
          <w:lang w:val="pl-PL"/>
        </w:rPr>
        <w:tab/>
        <w:t>Stanowisko Parlamentu Europejskiego z dnia</w:t>
      </w:r>
      <w:r>
        <w:rPr>
          <w:color w:val="000000"/>
          <w:sz w:val="24"/>
          <w:szCs w:val="24"/>
          <w:lang w:val="pl-PL"/>
        </w:rPr>
        <w:t xml:space="preserve"> </w:t>
      </w:r>
      <w:r w:rsidR="00326CED">
        <w:rPr>
          <w:color w:val="000000"/>
          <w:sz w:val="24"/>
          <w:szCs w:val="24"/>
          <w:lang w:val="pl-PL"/>
        </w:rPr>
        <w:t>7 lipca 2026 r.</w:t>
      </w:r>
    </w:p>
  </w:footnote>
  <w:footnote w:id="2">
    <w:p w14:paraId="6EFBDE41" w14:textId="77777777" w:rsidR="007362E8" w:rsidRPr="00A87090" w:rsidRDefault="007362E8" w:rsidP="007362E8">
      <w:pPr>
        <w:ind w:left="850" w:hanging="850"/>
        <w:rPr>
          <w:color w:val="000000"/>
          <w:lang w:val="pl-PL"/>
        </w:rPr>
      </w:pPr>
      <w:r w:rsidRPr="00A87090">
        <w:rPr>
          <w:rStyle w:val="FootnoteReference"/>
          <w:color w:val="000000"/>
        </w:rPr>
        <w:footnoteRef/>
      </w:r>
      <w:r w:rsidRPr="00A87090">
        <w:rPr>
          <w:color w:val="000000"/>
          <w:lang w:val="pl-PL"/>
        </w:rPr>
        <w:tab/>
        <w:t xml:space="preserve">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 (Dz.U. L 435 z 6.12.2021, s. 1, ELI: </w:t>
      </w:r>
      <w:hyperlink r:id="rId1" w:history="1">
        <w:r w:rsidRPr="00A87090">
          <w:rPr>
            <w:rStyle w:val="Hyperlink"/>
            <w:lang w:val="pl-PL"/>
          </w:rPr>
          <w:t>http://data.europa.eu/eli/reg/2021/2115/oj</w:t>
        </w:r>
      </w:hyperlink>
      <w:r w:rsidRPr="00A87090">
        <w:rPr>
          <w:color w:val="000000"/>
          <w:lang w:val="pl-PL"/>
        </w:rPr>
        <w:t xml:space="preserve">). </w:t>
      </w:r>
    </w:p>
  </w:footnote>
  <w:footnote w:id="3">
    <w:p w14:paraId="4F8A659E" w14:textId="77777777" w:rsidR="007362E8" w:rsidRPr="00A87090" w:rsidRDefault="007362E8" w:rsidP="007362E8">
      <w:pPr>
        <w:ind w:left="850" w:hanging="850"/>
        <w:rPr>
          <w:color w:val="000000"/>
          <w:lang w:val="pl-PL"/>
        </w:rPr>
      </w:pPr>
      <w:r w:rsidRPr="00A87090">
        <w:rPr>
          <w:rStyle w:val="FootnoteReference"/>
          <w:color w:val="000000"/>
        </w:rPr>
        <w:footnoteRef/>
      </w:r>
      <w:r w:rsidRPr="00A87090">
        <w:rPr>
          <w:color w:val="000000"/>
          <w:lang w:val="pl-PL"/>
        </w:rPr>
        <w:tab/>
        <w:t xml:space="preserve">Rozporządzenie Parlamentu Europejskiego i Rady (UE) 2021/2116 z dnia 2 grudnia 2021 r. w sprawie finansowania wspólnej polityki rolnej, zarządzania nią i monitorowania jej oraz uchylenia rozporządzenia (UE) nr 1306/2013 (Dz.U. L 435 z 6.12.2021, s. 187, ELI: </w:t>
      </w:r>
      <w:hyperlink r:id="rId2" w:history="1">
        <w:r w:rsidRPr="00A87090">
          <w:rPr>
            <w:rStyle w:val="Hyperlink"/>
            <w:lang w:val="pl-PL"/>
          </w:rPr>
          <w:t>http://data.europa.eu/eli/reg/2021/2116/oj</w:t>
        </w:r>
      </w:hyperlink>
      <w:r w:rsidRPr="00A87090">
        <w:rPr>
          <w:color w:val="000000"/>
          <w:lang w:val="pl-PL"/>
        </w:rPr>
        <w:t>).</w:t>
      </w:r>
    </w:p>
  </w:footnote>
  <w:footnote w:id="4">
    <w:p w14:paraId="0B692E80" w14:textId="47BC9C88" w:rsidR="007362E8" w:rsidRPr="00A87090" w:rsidRDefault="007362E8" w:rsidP="007362E8">
      <w:pPr>
        <w:ind w:left="850" w:hanging="850"/>
        <w:rPr>
          <w:color w:val="000000"/>
          <w:lang w:val="pl-PL"/>
        </w:rPr>
      </w:pPr>
      <w:r w:rsidRPr="00A87090">
        <w:rPr>
          <w:rStyle w:val="FootnoteReference"/>
          <w:color w:val="000000"/>
        </w:rPr>
        <w:footnoteRef/>
      </w:r>
      <w:r w:rsidRPr="00A87090">
        <w:rPr>
          <w:color w:val="000000"/>
          <w:lang w:val="pl-PL"/>
        </w:rPr>
        <w:tab/>
      </w:r>
      <w:bookmarkStart w:id="9" w:name="https://eur-lex.europa.eu/legal-content/"/>
      <w:r w:rsidRPr="009A3BE1">
        <w:rPr>
          <w:color w:val="000000"/>
          <w:lang w:val="pl-PL"/>
        </w:rPr>
        <w:t>Dyrektywa Rady 91/676/EWG z dnia 12 grudnia 1991 r. dotycząca ochrony wód przed zanieczyszczeniami powodowanymi przez azotany pochodzenia rolniczego</w:t>
      </w:r>
      <w:bookmarkEnd w:id="9"/>
      <w:r w:rsidRPr="00A87090">
        <w:rPr>
          <w:color w:val="000000"/>
          <w:lang w:val="pl-PL"/>
        </w:rPr>
        <w:t xml:space="preserve"> (Dz.U. L 375 z 31.12.1991, s. 1, ELI: </w:t>
      </w:r>
      <w:hyperlink r:id="rId3" w:history="1">
        <w:r w:rsidRPr="00A87090">
          <w:rPr>
            <w:rStyle w:val="Hyperlink"/>
            <w:lang w:val="pl-PL"/>
          </w:rPr>
          <w:t>http://data.europa.eu/eli/dir/1991/676/oj</w:t>
        </w:r>
      </w:hyperlink>
      <w:r w:rsidRPr="00A87090">
        <w:rPr>
          <w:color w:val="000000"/>
          <w:lang w:val="pl-PL"/>
        </w:rPr>
        <w:t xml:space="preserve">). </w:t>
      </w:r>
    </w:p>
  </w:footnote>
  <w:footnote w:id="5">
    <w:p w14:paraId="5D299EA5" w14:textId="77777777" w:rsidR="007362E8" w:rsidRPr="00A87090" w:rsidRDefault="007362E8" w:rsidP="007362E8">
      <w:pPr>
        <w:ind w:left="850" w:hanging="850"/>
        <w:rPr>
          <w:color w:val="000000"/>
          <w:lang w:val="pl-PL"/>
        </w:rPr>
      </w:pPr>
      <w:r w:rsidRPr="00A87090">
        <w:rPr>
          <w:rStyle w:val="FootnoteReference"/>
          <w:color w:val="000000"/>
        </w:rPr>
        <w:footnoteRef/>
      </w:r>
      <w:r w:rsidRPr="00A87090">
        <w:rPr>
          <w:color w:val="000000"/>
          <w:lang w:val="pl-PL"/>
        </w:rPr>
        <w:tab/>
        <w:t xml:space="preserve">Rozporządzenie Parlamentu Europejskiego i Rady (UE, </w:t>
      </w:r>
      <w:proofErr w:type="spellStart"/>
      <w:r w:rsidRPr="00A87090">
        <w:rPr>
          <w:color w:val="000000"/>
          <w:lang w:val="pl-PL"/>
        </w:rPr>
        <w:t>Euratom</w:t>
      </w:r>
      <w:proofErr w:type="spellEnd"/>
      <w:r w:rsidRPr="00A87090">
        <w:rPr>
          <w:color w:val="000000"/>
          <w:lang w:val="pl-PL"/>
        </w:rPr>
        <w:t xml:space="preserve">) 2024/2509 z dnia 23 września 2024 r. w sprawie zasad finansowych mających zastosowanie do budżetu ogólnego Unii, Dz.U. L, 2024/2509, 26.9.2024, ELI: </w:t>
      </w:r>
      <w:hyperlink r:id="rId4" w:history="1">
        <w:r w:rsidRPr="00A87090">
          <w:rPr>
            <w:rStyle w:val="Hyperlink"/>
            <w:lang w:val="pl-PL"/>
          </w:rPr>
          <w:t>http://data.europa.eu/eli/reg/2024/2509/oj</w:t>
        </w:r>
      </w:hyperlink>
      <w:r w:rsidRPr="00A87090">
        <w:rPr>
          <w:color w:val="000000"/>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B1F5" w14:textId="77777777" w:rsidR="007362E8" w:rsidRDefault="007362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819C9" w14:textId="77777777" w:rsidR="007362E8" w:rsidRDefault="007362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A782" w14:textId="77777777" w:rsidR="007362E8" w:rsidRDefault="007362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7F7FC" w14:textId="77777777" w:rsidR="007362E8" w:rsidRDefault="007362E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E6587" w14:textId="77777777" w:rsidR="007362E8" w:rsidRPr="00A87090" w:rsidRDefault="007362E8" w:rsidP="00A8709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21010" w14:textId="77777777" w:rsidR="007362E8" w:rsidRDefault="007362E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250DB" w14:textId="77777777" w:rsidR="00185E15" w:rsidRDefault="00185E1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0CAB1" w14:textId="77777777" w:rsidR="00185E15" w:rsidRDefault="00185E1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E6968"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318876973">
    <w:abstractNumId w:val="3"/>
  </w:num>
  <w:num w:numId="2" w16cid:durableId="1192887630">
    <w:abstractNumId w:val="2"/>
  </w:num>
  <w:num w:numId="3" w16cid:durableId="1874070984">
    <w:abstractNumId w:val="1"/>
  </w:num>
  <w:num w:numId="4" w16cid:durableId="1519192865">
    <w:abstractNumId w:val="0"/>
  </w:num>
  <w:num w:numId="5" w16cid:durableId="931471037">
    <w:abstractNumId w:val="6"/>
  </w:num>
  <w:num w:numId="6" w16cid:durableId="1065103473">
    <w:abstractNumId w:val="5"/>
  </w:num>
  <w:num w:numId="7" w16cid:durableId="837648216">
    <w:abstractNumId w:val="4"/>
  </w:num>
  <w:num w:numId="8" w16cid:durableId="716206018">
    <w:abstractNumId w:val="7"/>
  </w:num>
  <w:num w:numId="9" w16cid:durableId="20665627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2E8"/>
    <w:rsid w:val="00013B2A"/>
    <w:rsid w:val="000C2BFE"/>
    <w:rsid w:val="000F27A9"/>
    <w:rsid w:val="000F6208"/>
    <w:rsid w:val="00125CBC"/>
    <w:rsid w:val="00172070"/>
    <w:rsid w:val="00185E15"/>
    <w:rsid w:val="001D4BBF"/>
    <w:rsid w:val="001D63A8"/>
    <w:rsid w:val="0024190E"/>
    <w:rsid w:val="002924A9"/>
    <w:rsid w:val="002A1D4E"/>
    <w:rsid w:val="002B4BCF"/>
    <w:rsid w:val="002F1925"/>
    <w:rsid w:val="00300C61"/>
    <w:rsid w:val="00312A38"/>
    <w:rsid w:val="003202DD"/>
    <w:rsid w:val="00326CED"/>
    <w:rsid w:val="003775B9"/>
    <w:rsid w:val="00397B2A"/>
    <w:rsid w:val="003E1189"/>
    <w:rsid w:val="003F4DFE"/>
    <w:rsid w:val="00425111"/>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B4982"/>
    <w:rsid w:val="006E5420"/>
    <w:rsid w:val="006F135E"/>
    <w:rsid w:val="007362E8"/>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865B7"/>
    <w:rsid w:val="009A3BE1"/>
    <w:rsid w:val="009B79B7"/>
    <w:rsid w:val="009B7E10"/>
    <w:rsid w:val="009C4014"/>
    <w:rsid w:val="009D1217"/>
    <w:rsid w:val="009F28EF"/>
    <w:rsid w:val="00A1739E"/>
    <w:rsid w:val="00B54C72"/>
    <w:rsid w:val="00B85C1E"/>
    <w:rsid w:val="00C15516"/>
    <w:rsid w:val="00C16C81"/>
    <w:rsid w:val="00C57739"/>
    <w:rsid w:val="00C65BE8"/>
    <w:rsid w:val="00CA020B"/>
    <w:rsid w:val="00CB451F"/>
    <w:rsid w:val="00CC4897"/>
    <w:rsid w:val="00D202A4"/>
    <w:rsid w:val="00D91669"/>
    <w:rsid w:val="00DF097A"/>
    <w:rsid w:val="00DF53A8"/>
    <w:rsid w:val="00DF764D"/>
    <w:rsid w:val="00E039BF"/>
    <w:rsid w:val="00E11822"/>
    <w:rsid w:val="00E73B02"/>
    <w:rsid w:val="00E74BF3"/>
    <w:rsid w:val="00EC3F4B"/>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6DAD1"/>
  <w15:chartTrackingRefBased/>
  <w15:docId w15:val="{E7FB9D2B-A704-42E6-9C71-CEBDF06C5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uiPriority w:val="99"/>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link w:val="HeaderChar"/>
    <w:uiPriority w:val="99"/>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Hyperlink">
    <w:name w:val="Hyperlink"/>
    <w:uiPriority w:val="99"/>
    <w:rsid w:val="007362E8"/>
    <w:rPr>
      <w:color w:val="0000FF"/>
      <w:u w:val="single"/>
    </w:rPr>
  </w:style>
  <w:style w:type="character" w:styleId="CommentReference">
    <w:name w:val="annotation reference"/>
    <w:rsid w:val="007362E8"/>
    <w:rPr>
      <w:rFonts w:cs="Times New Roman"/>
      <w:sz w:val="16"/>
      <w:szCs w:val="16"/>
    </w:rPr>
  </w:style>
  <w:style w:type="paragraph" w:styleId="CommentText">
    <w:name w:val="annotation text"/>
    <w:basedOn w:val="Normal"/>
    <w:link w:val="CommentTextChar"/>
    <w:rsid w:val="007362E8"/>
    <w:pPr>
      <w:spacing w:before="120" w:after="120"/>
      <w:jc w:val="both"/>
    </w:pPr>
    <w:rPr>
      <w:sz w:val="20"/>
    </w:rPr>
  </w:style>
  <w:style w:type="character" w:customStyle="1" w:styleId="CommentTextChar">
    <w:name w:val="Comment Text Char"/>
    <w:basedOn w:val="DefaultParagraphFont"/>
    <w:link w:val="CommentText"/>
    <w:rsid w:val="007362E8"/>
    <w:rPr>
      <w:lang w:val="fr-FR"/>
    </w:rPr>
  </w:style>
  <w:style w:type="character" w:customStyle="1" w:styleId="HeaderChar">
    <w:name w:val="Header Char"/>
    <w:basedOn w:val="DefaultParagraphFont"/>
    <w:link w:val="Header"/>
    <w:uiPriority w:val="99"/>
    <w:rsid w:val="007362E8"/>
    <w:rPr>
      <w:sz w:val="24"/>
      <w:lang w:val="fr-FR"/>
    </w:rPr>
  </w:style>
  <w:style w:type="character" w:customStyle="1" w:styleId="FooterChar">
    <w:name w:val="Footer Char"/>
    <w:basedOn w:val="DefaultParagraphFont"/>
    <w:link w:val="Footer"/>
    <w:uiPriority w:val="99"/>
    <w:rsid w:val="007362E8"/>
    <w:rPr>
      <w:sz w:val="22"/>
      <w:lang w:val="fr-FR"/>
    </w:rPr>
  </w:style>
  <w:style w:type="table" w:styleId="TableGrid">
    <w:name w:val="Table Grid"/>
    <w:basedOn w:val="TableNormal"/>
    <w:rsid w:val="007362E8"/>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362E8"/>
    <w:rPr>
      <w:rFonts w:ascii="Aptos" w:eastAsia="Aptos" w:hAnsi="Aptos"/>
      <w:kern w:val="2"/>
      <w:sz w:val="24"/>
      <w:szCs w:val="24"/>
      <w:lang w:val="pl-PL"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362E8"/>
    <w:rPr>
      <w:rFonts w:ascii="Aptos" w:eastAsia="Aptos" w:hAnsi="Aptos"/>
      <w:kern w:val="2"/>
      <w:sz w:val="24"/>
      <w:szCs w:val="24"/>
      <w:lang w:val="pl-PL"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 Type="http://schemas.openxmlformats.org/officeDocument/2006/relationships/hyperlink" Target="http://data.europa.eu/eli/reg/2021/2115/oj" TargetMode="External"/><Relationship Id="rId4"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29</Pages>
  <Words>4292</Words>
  <Characters>26831</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ZALESKI Tomasz</dc:creator>
  <cp:keywords/>
  <cp:lastModifiedBy>ZALESKI Tomasz</cp:lastModifiedBy>
  <cp:revision>2</cp:revision>
  <cp:lastPrinted>2014-08-07T13:15:00Z</cp:lastPrinted>
  <dcterms:created xsi:type="dcterms:W3CDTF">2026-07-07T11:49:00Z</dcterms:created>
  <dcterms:modified xsi:type="dcterms:W3CDTF">2026-07-07T11:49:00Z</dcterms:modified>
</cp:coreProperties>
</file>