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77393E" w14:paraId="677FD0DA" w14:textId="77777777" w:rsidTr="00425111">
        <w:trPr>
          <w:trHeight w:hRule="exact" w:val="1418"/>
        </w:trPr>
        <w:tc>
          <w:tcPr>
            <w:tcW w:w="6804" w:type="dxa"/>
            <w:shd w:val="clear" w:color="auto" w:fill="auto"/>
            <w:vAlign w:val="center"/>
          </w:tcPr>
          <w:p w14:paraId="6EDF25CB" w14:textId="77777777" w:rsidR="00757DD5" w:rsidRPr="0077393E" w:rsidRDefault="007538A7" w:rsidP="00425111">
            <w:pPr>
              <w:pStyle w:val="EPName"/>
              <w:rPr>
                <w:lang w:val="sk-SK"/>
              </w:rPr>
            </w:pPr>
            <w:r w:rsidRPr="0077393E">
              <w:rPr>
                <w:lang w:val="sk-SK"/>
              </w:rPr>
              <w:t>Európsky parlament</w:t>
            </w:r>
          </w:p>
          <w:p w14:paraId="01B9E0D9" w14:textId="77777777" w:rsidR="00757DD5" w:rsidRPr="0077393E" w:rsidRDefault="007538A7" w:rsidP="00425111">
            <w:pPr>
              <w:pStyle w:val="EPTerm"/>
              <w:rPr>
                <w:rStyle w:val="HideTWBExt"/>
                <w:vanish w:val="0"/>
                <w:lang w:val="sk-SK"/>
              </w:rPr>
            </w:pPr>
            <w:r w:rsidRPr="0077393E">
              <w:rPr>
                <w:lang w:val="sk-SK"/>
              </w:rPr>
              <w:t>2024-2029</w:t>
            </w:r>
          </w:p>
        </w:tc>
        <w:tc>
          <w:tcPr>
            <w:tcW w:w="2268" w:type="dxa"/>
            <w:shd w:val="clear" w:color="auto" w:fill="auto"/>
          </w:tcPr>
          <w:p w14:paraId="52F3A14C" w14:textId="77777777" w:rsidR="00757DD5" w:rsidRPr="0077393E" w:rsidRDefault="00172070" w:rsidP="00425111">
            <w:pPr>
              <w:pStyle w:val="EPLogo"/>
              <w:rPr>
                <w:lang w:val="sk-SK"/>
              </w:rPr>
            </w:pPr>
            <w:r w:rsidRPr="0077393E">
              <w:rPr>
                <w:noProof/>
                <w:lang w:val="sk-SK"/>
              </w:rPr>
              <w:drawing>
                <wp:inline distT="0" distB="0" distL="0" distR="0" wp14:anchorId="09BEFE1D" wp14:editId="7F2741E6">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14:paraId="2D7C2FC9" w14:textId="77777777" w:rsidR="008E7632" w:rsidRPr="0077393E" w:rsidRDefault="008E7632" w:rsidP="008E7632">
      <w:pPr>
        <w:pStyle w:val="LineTop"/>
        <w:rPr>
          <w:lang w:val="sk-SK"/>
        </w:rPr>
      </w:pPr>
    </w:p>
    <w:p w14:paraId="1041FDC6" w14:textId="77777777" w:rsidR="008E7632" w:rsidRPr="0077393E" w:rsidRDefault="007538A7" w:rsidP="008E7632">
      <w:pPr>
        <w:pStyle w:val="ZSessionDoc"/>
        <w:rPr>
          <w:b/>
          <w:i w:val="0"/>
          <w:lang w:val="sk-SK"/>
        </w:rPr>
      </w:pPr>
      <w:r w:rsidRPr="0077393E">
        <w:rPr>
          <w:b/>
          <w:i w:val="0"/>
          <w:lang w:val="sk-SK"/>
        </w:rPr>
        <w:t>PRIJATÉ TEXTY</w:t>
      </w:r>
    </w:p>
    <w:p w14:paraId="4EB160E8" w14:textId="77777777" w:rsidR="008E7632" w:rsidRPr="0077393E" w:rsidRDefault="007538A7" w:rsidP="008E7632">
      <w:pPr>
        <w:pStyle w:val="LineBottom"/>
        <w:rPr>
          <w:lang w:val="sk-SK"/>
        </w:rPr>
      </w:pPr>
      <w:r w:rsidRPr="0077393E">
        <w:rPr>
          <w:rFonts w:cs="Arial"/>
          <w:i/>
          <w:sz w:val="20"/>
          <w:szCs w:val="22"/>
          <w:lang w:val="sk-SK"/>
        </w:rPr>
        <w:t xml:space="preserve"> </w:t>
      </w:r>
    </w:p>
    <w:p w14:paraId="05DF852B" w14:textId="15A4FFAD" w:rsidR="009C4014" w:rsidRPr="0077393E" w:rsidRDefault="007538A7" w:rsidP="008E7632">
      <w:pPr>
        <w:pStyle w:val="ATHeading1"/>
        <w:spacing w:before="480"/>
        <w:rPr>
          <w:lang w:val="sk-SK"/>
        </w:rPr>
      </w:pPr>
      <w:bookmarkStart w:id="0" w:name="TA_Heading"/>
      <w:r w:rsidRPr="0077393E">
        <w:rPr>
          <w:lang w:val="sk-SK"/>
        </w:rPr>
        <w:t>P10_TA(202</w:t>
      </w:r>
      <w:r w:rsidR="00AF646C" w:rsidRPr="0077393E">
        <w:rPr>
          <w:lang w:val="sk-SK"/>
        </w:rPr>
        <w:t>6</w:t>
      </w:r>
      <w:r w:rsidRPr="0077393E">
        <w:rPr>
          <w:lang w:val="sk-SK"/>
        </w:rPr>
        <w:t>)</w:t>
      </w:r>
      <w:bookmarkStart w:id="1" w:name="TANumber"/>
      <w:bookmarkEnd w:id="0"/>
      <w:r w:rsidRPr="0077393E">
        <w:rPr>
          <w:lang w:val="sk-SK"/>
        </w:rPr>
        <w:t>0</w:t>
      </w:r>
      <w:r w:rsidR="0077393E" w:rsidRPr="0077393E">
        <w:rPr>
          <w:lang w:val="sk-SK"/>
        </w:rPr>
        <w:t>240</w:t>
      </w:r>
      <w:bookmarkEnd w:id="1"/>
    </w:p>
    <w:p w14:paraId="7D4DE7C5" w14:textId="206D2E62" w:rsidR="0022397C" w:rsidRPr="0077393E" w:rsidRDefault="00BE6341" w:rsidP="00BE6341">
      <w:pPr>
        <w:pStyle w:val="ATHeading2"/>
        <w:rPr>
          <w:bCs/>
          <w:lang w:val="sk-SK"/>
        </w:rPr>
      </w:pPr>
      <w:bookmarkStart w:id="2" w:name="title"/>
      <w:r w:rsidRPr="0077393E">
        <w:rPr>
          <w:bCs/>
          <w:lang w:val="sk-SK"/>
        </w:rPr>
        <w:t>Dočasná podpora a vyplácanie preddavkov v súvislosti so zvýšenými cenami hnojív v dôsledku krízy na Blízkom východe</w:t>
      </w:r>
    </w:p>
    <w:bookmarkEnd w:id="2"/>
    <w:p w14:paraId="246757F0" w14:textId="0040C88A" w:rsidR="009C4014" w:rsidRPr="0077393E" w:rsidRDefault="009C4014" w:rsidP="009C4014">
      <w:pPr>
        <w:rPr>
          <w:i/>
          <w:vanish/>
          <w:lang w:val="sk-SK"/>
        </w:rPr>
      </w:pPr>
      <w:r w:rsidRPr="0077393E">
        <w:rPr>
          <w:i/>
          <w:lang w:val="sk-SK"/>
        </w:rPr>
        <w:fldChar w:fldCharType="begin"/>
      </w:r>
      <w:r w:rsidRPr="0077393E">
        <w:rPr>
          <w:i/>
          <w:lang w:val="sk-SK"/>
        </w:rPr>
        <w:instrText xml:space="preserve"> TC"</w:instrText>
      </w:r>
      <w:bookmarkStart w:id="3" w:name="DocNumber"/>
      <w:r w:rsidR="007538A7" w:rsidRPr="0077393E">
        <w:rPr>
          <w:i/>
          <w:lang w:val="sk-SK"/>
        </w:rPr>
        <w:instrText>(C10-0</w:instrText>
      </w:r>
      <w:r w:rsidR="0022397C" w:rsidRPr="0077393E">
        <w:rPr>
          <w:i/>
          <w:lang w:val="sk-SK"/>
        </w:rPr>
        <w:instrText>1</w:instrText>
      </w:r>
      <w:r w:rsidR="00BE6341" w:rsidRPr="0077393E">
        <w:rPr>
          <w:i/>
          <w:lang w:val="sk-SK"/>
        </w:rPr>
        <w:instrText>39</w:instrText>
      </w:r>
      <w:r w:rsidR="007538A7" w:rsidRPr="0077393E">
        <w:rPr>
          <w:i/>
          <w:lang w:val="sk-SK"/>
        </w:rPr>
        <w:instrText>/202</w:instrText>
      </w:r>
      <w:r w:rsidR="0022397C" w:rsidRPr="0077393E">
        <w:rPr>
          <w:i/>
          <w:lang w:val="sk-SK"/>
        </w:rPr>
        <w:instrText>6</w:instrText>
      </w:r>
      <w:r w:rsidR="007538A7" w:rsidRPr="0077393E">
        <w:rPr>
          <w:i/>
          <w:lang w:val="sk-SK"/>
        </w:rPr>
        <w:instrText>)</w:instrText>
      </w:r>
      <w:bookmarkEnd w:id="3"/>
      <w:r w:rsidRPr="0077393E">
        <w:rPr>
          <w:i/>
          <w:lang w:val="sk-SK"/>
        </w:rPr>
        <w:instrText xml:space="preserve">"\l3 \n&gt; \* MERGEFORMAT </w:instrText>
      </w:r>
      <w:r w:rsidRPr="0077393E">
        <w:rPr>
          <w:i/>
          <w:lang w:val="sk-SK"/>
        </w:rPr>
        <w:fldChar w:fldCharType="end"/>
      </w:r>
    </w:p>
    <w:p w14:paraId="2BA55D58" w14:textId="0CEF47A5" w:rsidR="007538A7" w:rsidRPr="0077393E" w:rsidRDefault="007538A7" w:rsidP="009C4014">
      <w:pPr>
        <w:rPr>
          <w:vanish/>
          <w:lang w:val="sk-SK"/>
        </w:rPr>
      </w:pPr>
      <w:bookmarkStart w:id="4" w:name="Commission"/>
      <w:r w:rsidRPr="0077393E">
        <w:rPr>
          <w:vanish/>
          <w:lang w:val="sk-SK"/>
        </w:rPr>
        <w:t xml:space="preserve">Výbor pre </w:t>
      </w:r>
      <w:r w:rsidR="00BE6341" w:rsidRPr="0077393E">
        <w:rPr>
          <w:vanish/>
          <w:lang w:val="sk-SK"/>
        </w:rPr>
        <w:t>poľnohospodárstvo a rozvoj vidieka</w:t>
      </w:r>
    </w:p>
    <w:p w14:paraId="01FAB391" w14:textId="3E0D3591" w:rsidR="009C4014" w:rsidRPr="0077393E" w:rsidRDefault="007538A7" w:rsidP="009C4014">
      <w:pPr>
        <w:rPr>
          <w:vanish/>
          <w:lang w:val="sk-SK"/>
        </w:rPr>
      </w:pPr>
      <w:bookmarkStart w:id="5" w:name="PE"/>
      <w:bookmarkEnd w:id="4"/>
      <w:r w:rsidRPr="0077393E">
        <w:rPr>
          <w:vanish/>
          <w:lang w:val="sk-SK"/>
        </w:rPr>
        <w:t>PE</w:t>
      </w:r>
      <w:r w:rsidR="002F51FD" w:rsidRPr="0077393E">
        <w:rPr>
          <w:vanish/>
          <w:lang w:val="sk-SK"/>
        </w:rPr>
        <w:t>78</w:t>
      </w:r>
      <w:r w:rsidR="0022397C" w:rsidRPr="0077393E">
        <w:rPr>
          <w:vanish/>
          <w:lang w:val="sk-SK"/>
        </w:rPr>
        <w:t>9</w:t>
      </w:r>
      <w:r w:rsidRPr="0077393E">
        <w:rPr>
          <w:vanish/>
          <w:lang w:val="sk-SK"/>
        </w:rPr>
        <w:t>.</w:t>
      </w:r>
      <w:r w:rsidR="0022397C" w:rsidRPr="0077393E">
        <w:rPr>
          <w:vanish/>
          <w:lang w:val="sk-SK"/>
        </w:rPr>
        <w:t>799</w:t>
      </w:r>
      <w:bookmarkEnd w:id="5"/>
    </w:p>
    <w:p w14:paraId="09C776CE" w14:textId="21DA5352" w:rsidR="009C4014" w:rsidRPr="0077393E" w:rsidRDefault="007538A7" w:rsidP="007538A7">
      <w:pPr>
        <w:pStyle w:val="ATHeading3"/>
        <w:rPr>
          <w:lang w:val="sk-SK"/>
        </w:rPr>
      </w:pPr>
      <w:bookmarkStart w:id="6" w:name="Sujet"/>
      <w:r w:rsidRPr="0077393E">
        <w:rPr>
          <w:lang w:val="sk-SK"/>
        </w:rPr>
        <w:t>Legislatívne uznesenie Európskeho parlamentu z</w:t>
      </w:r>
      <w:r w:rsidR="0038654B" w:rsidRPr="0077393E">
        <w:rPr>
          <w:lang w:val="sk-SK"/>
        </w:rPr>
        <w:t>o</w:t>
      </w:r>
      <w:r w:rsidR="00E653E8" w:rsidRPr="0077393E">
        <w:rPr>
          <w:lang w:val="sk-SK"/>
        </w:rPr>
        <w:t> </w:t>
      </w:r>
      <w:r w:rsidR="00BE6341" w:rsidRPr="0077393E">
        <w:rPr>
          <w:lang w:val="sk-SK"/>
        </w:rPr>
        <w:t>7</w:t>
      </w:r>
      <w:r w:rsidRPr="0077393E">
        <w:rPr>
          <w:lang w:val="sk-SK"/>
        </w:rPr>
        <w:t xml:space="preserve">. </w:t>
      </w:r>
      <w:r w:rsidR="0022397C" w:rsidRPr="0077393E">
        <w:rPr>
          <w:lang w:val="sk-SK"/>
        </w:rPr>
        <w:t>j</w:t>
      </w:r>
      <w:r w:rsidR="00E16C10" w:rsidRPr="0077393E">
        <w:rPr>
          <w:lang w:val="sk-SK"/>
        </w:rPr>
        <w:t>ú</w:t>
      </w:r>
      <w:r w:rsidR="00BE6341" w:rsidRPr="0077393E">
        <w:rPr>
          <w:lang w:val="sk-SK"/>
        </w:rPr>
        <w:t>l</w:t>
      </w:r>
      <w:r w:rsidR="0022397C" w:rsidRPr="0077393E">
        <w:rPr>
          <w:lang w:val="sk-SK"/>
        </w:rPr>
        <w:t>a</w:t>
      </w:r>
      <w:r w:rsidR="00FA69B2" w:rsidRPr="0077393E">
        <w:rPr>
          <w:lang w:val="sk-SK"/>
        </w:rPr>
        <w:t xml:space="preserve"> </w:t>
      </w:r>
      <w:r w:rsidRPr="0077393E">
        <w:rPr>
          <w:lang w:val="sk-SK"/>
        </w:rPr>
        <w:t>202</w:t>
      </w:r>
      <w:r w:rsidR="00A01E0F" w:rsidRPr="0077393E">
        <w:rPr>
          <w:lang w:val="sk-SK"/>
        </w:rPr>
        <w:t>6</w:t>
      </w:r>
      <w:r w:rsidRPr="0077393E">
        <w:rPr>
          <w:lang w:val="sk-SK"/>
        </w:rPr>
        <w:t xml:space="preserve"> o návrhu nariadenia Európskeho parlamentu a Rady,</w:t>
      </w:r>
      <w:r w:rsidR="00F34246" w:rsidRPr="0077393E">
        <w:rPr>
          <w:lang w:val="sk-SK"/>
        </w:rPr>
        <w:t xml:space="preserve"> </w:t>
      </w:r>
      <w:bookmarkStart w:id="7" w:name="References"/>
      <w:bookmarkEnd w:id="6"/>
      <w:r w:rsidR="00BE6341" w:rsidRPr="0077393E">
        <w:rPr>
          <w:lang w:val="sk-SK"/>
        </w:rPr>
        <w:t>ktorým sa mení nariadenie (EÚ) 2021/2115, pokiaľ ide o osobitný typ intervencie na poskytnutie výnimočnej dočasnej podpory v rámci Európskeho poľnohospodárskeho fondu pre rozvoj vidieka (EPFRV) a možnosť upraviť alokácie na priame platby na kalendárny rok 2027, a nariadenie (EÚ) 2021/2116, pokiaľ ide o flexibilnejšie pravidlá vyplácania preddavkov v reakcii na zvýšené ceny hnojív v dôsledku krízy na Blízkom východe</w:t>
      </w:r>
      <w:r w:rsidR="00E16C10" w:rsidRPr="0077393E">
        <w:rPr>
          <w:lang w:val="sk-SK"/>
        </w:rPr>
        <w:t xml:space="preserve"> </w:t>
      </w:r>
      <w:r w:rsidRPr="0077393E">
        <w:rPr>
          <w:lang w:val="sk-SK"/>
        </w:rPr>
        <w:t>(</w:t>
      </w:r>
      <w:r w:rsidR="00BE6341" w:rsidRPr="0077393E">
        <w:rPr>
          <w:lang w:val="sk-SK"/>
        </w:rPr>
        <w:t>COM(2026)0282 – C10-0139/2026 – 2026/0150(COD</w:t>
      </w:r>
      <w:r w:rsidRPr="0077393E">
        <w:rPr>
          <w:lang w:val="sk-SK"/>
        </w:rPr>
        <w:t>))</w:t>
      </w:r>
      <w:bookmarkEnd w:id="7"/>
    </w:p>
    <w:p w14:paraId="146FB103" w14:textId="77777777" w:rsidR="001D2CEA" w:rsidRPr="0077393E" w:rsidRDefault="001D2CEA" w:rsidP="00645044">
      <w:pPr>
        <w:spacing w:before="120" w:after="240"/>
        <w:rPr>
          <w:b/>
          <w:bCs/>
          <w:lang w:val="sk-SK"/>
        </w:rPr>
      </w:pPr>
      <w:r w:rsidRPr="0077393E">
        <w:rPr>
          <w:b/>
          <w:bCs/>
          <w:lang w:val="sk-SK"/>
        </w:rPr>
        <w:t>(Riadny legislatívny postup: prvé čítanie)</w:t>
      </w:r>
    </w:p>
    <w:p w14:paraId="1BE67D29" w14:textId="77777777" w:rsidR="001D2CEA" w:rsidRPr="0077393E" w:rsidRDefault="001D2CEA" w:rsidP="00E653E8">
      <w:pPr>
        <w:pStyle w:val="Normal12"/>
        <w:spacing w:before="120"/>
        <w:rPr>
          <w:i/>
          <w:szCs w:val="24"/>
          <w:lang w:val="sk-SK"/>
        </w:rPr>
      </w:pPr>
      <w:bookmarkStart w:id="8" w:name="TextBodyBegin"/>
      <w:bookmarkEnd w:id="8"/>
      <w:r w:rsidRPr="0077393E">
        <w:rPr>
          <w:i/>
          <w:szCs w:val="24"/>
          <w:lang w:val="sk-SK"/>
        </w:rPr>
        <w:t>Európsky parlament,</w:t>
      </w:r>
    </w:p>
    <w:p w14:paraId="745C42CB" w14:textId="73E2FAF3" w:rsidR="001D2CEA" w:rsidRPr="0077393E" w:rsidRDefault="001D2CEA" w:rsidP="001D2CEA">
      <w:pPr>
        <w:pStyle w:val="NormalHanging12a"/>
      </w:pPr>
      <w:r w:rsidRPr="0077393E">
        <w:t>–</w:t>
      </w:r>
      <w:r w:rsidRPr="0077393E">
        <w:tab/>
        <w:t>so zreteľom na návrh Komisie pre Európsky parlament a Radu (</w:t>
      </w:r>
      <w:r w:rsidR="00BE6341" w:rsidRPr="0077393E">
        <w:rPr>
          <w:snapToGrid w:val="0"/>
        </w:rPr>
        <w:t>COM(2026)0282</w:t>
      </w:r>
      <w:r w:rsidRPr="0077393E">
        <w:t>),</w:t>
      </w:r>
    </w:p>
    <w:p w14:paraId="127B48BB" w14:textId="3D8CB4B5" w:rsidR="001D2CEA" w:rsidRPr="0077393E" w:rsidRDefault="001D2CEA" w:rsidP="001D2CEA">
      <w:pPr>
        <w:pStyle w:val="NormalHanging12a"/>
      </w:pPr>
      <w:r w:rsidRPr="0077393E">
        <w:t>–</w:t>
      </w:r>
      <w:r w:rsidRPr="0077393E">
        <w:tab/>
        <w:t xml:space="preserve">so zreteľom na článok 294 ods. 2 a článok </w:t>
      </w:r>
      <w:r w:rsidR="00BE6341" w:rsidRPr="0077393E">
        <w:t>43</w:t>
      </w:r>
      <w:r w:rsidR="007F3C6F" w:rsidRPr="0077393E">
        <w:t xml:space="preserve"> </w:t>
      </w:r>
      <w:r w:rsidR="005C2AE5" w:rsidRPr="0077393E">
        <w:t xml:space="preserve">ods. </w:t>
      </w:r>
      <w:r w:rsidR="00BE6341" w:rsidRPr="0077393E">
        <w:t>2</w:t>
      </w:r>
      <w:r w:rsidRPr="0077393E">
        <w:t xml:space="preserve"> Zmluvy o fungovaní Európskej únie, v súlade s ktorými Komisia predložila návrh Európskemu parlamentu (C10</w:t>
      </w:r>
      <w:r w:rsidRPr="0077393E">
        <w:noBreakHyphen/>
      </w:r>
      <w:r w:rsidR="00E653E8" w:rsidRPr="0077393E">
        <w:t>0</w:t>
      </w:r>
      <w:r w:rsidR="00E16C10" w:rsidRPr="0077393E">
        <w:t>1</w:t>
      </w:r>
      <w:r w:rsidR="00BE6341" w:rsidRPr="0077393E">
        <w:t>39</w:t>
      </w:r>
      <w:r w:rsidRPr="0077393E">
        <w:t>/202</w:t>
      </w:r>
      <w:r w:rsidR="00E16C10" w:rsidRPr="0077393E">
        <w:t>6</w:t>
      </w:r>
      <w:r w:rsidRPr="0077393E">
        <w:t>),</w:t>
      </w:r>
    </w:p>
    <w:p w14:paraId="1EA1DF77" w14:textId="77777777" w:rsidR="001D2CEA" w:rsidRPr="0077393E" w:rsidRDefault="001D2CEA" w:rsidP="001D2CEA">
      <w:pPr>
        <w:pStyle w:val="NormalHanging12a"/>
      </w:pPr>
      <w:r w:rsidRPr="0077393E">
        <w:t>–</w:t>
      </w:r>
      <w:r w:rsidRPr="0077393E">
        <w:tab/>
        <w:t>so zreteľom na článok 294 ods. 3 Zmluvy o fungovaní Európskej únie,</w:t>
      </w:r>
    </w:p>
    <w:p w14:paraId="43068E2E" w14:textId="039CB187" w:rsidR="001D2CEA" w:rsidRPr="0077393E" w:rsidRDefault="001D2CEA" w:rsidP="001D2CEA">
      <w:pPr>
        <w:pStyle w:val="NormalHanging12a"/>
        <w:rPr>
          <w:rFonts w:eastAsia="Calibri" w:cs="Arial"/>
          <w:noProof/>
          <w:szCs w:val="22"/>
          <w:lang w:eastAsia="en-US"/>
        </w:rPr>
      </w:pPr>
      <w:r w:rsidRPr="0077393E">
        <w:t>–</w:t>
      </w:r>
      <w:r w:rsidRPr="0077393E">
        <w:tab/>
      </w:r>
      <w:r w:rsidR="00BE6341" w:rsidRPr="0077393E">
        <w:t>po porade s</w:t>
      </w:r>
      <w:r w:rsidRPr="0077393E">
        <w:rPr>
          <w:rFonts w:eastAsia="Calibri" w:cs="Arial"/>
          <w:noProof/>
          <w:szCs w:val="22"/>
          <w:lang w:eastAsia="en-US"/>
        </w:rPr>
        <w:t xml:space="preserve"> Európsk</w:t>
      </w:r>
      <w:r w:rsidR="00BE6341" w:rsidRPr="0077393E">
        <w:rPr>
          <w:rFonts w:eastAsia="Calibri" w:cs="Arial"/>
          <w:noProof/>
          <w:szCs w:val="22"/>
          <w:lang w:eastAsia="en-US"/>
        </w:rPr>
        <w:t>ym</w:t>
      </w:r>
      <w:r w:rsidRPr="0077393E">
        <w:rPr>
          <w:rFonts w:eastAsia="Calibri" w:cs="Arial"/>
          <w:noProof/>
          <w:szCs w:val="22"/>
          <w:lang w:eastAsia="en-US"/>
        </w:rPr>
        <w:t xml:space="preserve"> hospodársk</w:t>
      </w:r>
      <w:r w:rsidR="00BE6341" w:rsidRPr="0077393E">
        <w:rPr>
          <w:rFonts w:eastAsia="Calibri" w:cs="Arial"/>
          <w:noProof/>
          <w:szCs w:val="22"/>
          <w:lang w:eastAsia="en-US"/>
        </w:rPr>
        <w:t>ym</w:t>
      </w:r>
      <w:r w:rsidRPr="0077393E">
        <w:rPr>
          <w:rFonts w:eastAsia="Calibri" w:cs="Arial"/>
          <w:noProof/>
          <w:szCs w:val="22"/>
          <w:lang w:eastAsia="en-US"/>
        </w:rPr>
        <w:t xml:space="preserve"> a</w:t>
      </w:r>
      <w:r w:rsidR="00BE6341" w:rsidRPr="0077393E">
        <w:rPr>
          <w:rFonts w:eastAsia="Calibri" w:cs="Arial"/>
          <w:noProof/>
          <w:szCs w:val="22"/>
          <w:lang w:eastAsia="en-US"/>
        </w:rPr>
        <w:t> </w:t>
      </w:r>
      <w:r w:rsidRPr="0077393E">
        <w:rPr>
          <w:rFonts w:eastAsia="Calibri" w:cs="Arial"/>
          <w:noProof/>
          <w:szCs w:val="22"/>
          <w:lang w:eastAsia="en-US"/>
        </w:rPr>
        <w:t>sociáln</w:t>
      </w:r>
      <w:r w:rsidR="00BE6341" w:rsidRPr="0077393E">
        <w:rPr>
          <w:rFonts w:eastAsia="Calibri" w:cs="Arial"/>
          <w:noProof/>
          <w:szCs w:val="22"/>
          <w:lang w:eastAsia="en-US"/>
        </w:rPr>
        <w:t>ym</w:t>
      </w:r>
      <w:r w:rsidRPr="0077393E">
        <w:rPr>
          <w:rFonts w:eastAsia="Calibri" w:cs="Arial"/>
          <w:noProof/>
          <w:szCs w:val="22"/>
          <w:lang w:eastAsia="en-US"/>
        </w:rPr>
        <w:t xml:space="preserve"> výbor</w:t>
      </w:r>
      <w:r w:rsidR="00BE6341" w:rsidRPr="0077393E">
        <w:rPr>
          <w:rFonts w:eastAsia="Calibri" w:cs="Arial"/>
          <w:noProof/>
          <w:szCs w:val="22"/>
          <w:lang w:eastAsia="en-US"/>
        </w:rPr>
        <w:t>om</w:t>
      </w:r>
      <w:r w:rsidRPr="0077393E">
        <w:rPr>
          <w:rFonts w:eastAsia="Calibri" w:cs="Arial"/>
          <w:noProof/>
          <w:szCs w:val="22"/>
          <w:lang w:eastAsia="en-US"/>
        </w:rPr>
        <w:t>,</w:t>
      </w:r>
    </w:p>
    <w:p w14:paraId="6FC2B098" w14:textId="1D9EB5E3" w:rsidR="00BE6341" w:rsidRPr="0077393E" w:rsidRDefault="00BE6341" w:rsidP="001D2CEA">
      <w:pPr>
        <w:pStyle w:val="NormalHanging12a"/>
        <w:rPr>
          <w:rFonts w:eastAsia="Calibri" w:cs="Arial"/>
          <w:noProof/>
          <w:szCs w:val="22"/>
          <w:lang w:eastAsia="en-US"/>
        </w:rPr>
      </w:pPr>
      <w:r w:rsidRPr="0077393E">
        <w:rPr>
          <w:rFonts w:eastAsia="Calibri" w:cs="Arial"/>
          <w:noProof/>
          <w:szCs w:val="22"/>
          <w:lang w:eastAsia="en-US"/>
        </w:rPr>
        <w:t>–</w:t>
      </w:r>
      <w:r w:rsidRPr="0077393E">
        <w:rPr>
          <w:rFonts w:eastAsia="Calibri" w:cs="Arial"/>
          <w:noProof/>
          <w:szCs w:val="22"/>
          <w:lang w:eastAsia="en-US"/>
        </w:rPr>
        <w:tab/>
        <w:t>so zreteľom na záväzok zástupcu Rady, vyjadrený v liste zo 17. júna 2026, schváliť pozíciu Európskeho parlamentu v súlade s článkom 294 ods. 4 Zmluvy o fungovaní Európskej únie,</w:t>
      </w:r>
    </w:p>
    <w:p w14:paraId="5178B4FA" w14:textId="77777777" w:rsidR="001D2CEA" w:rsidRPr="0077393E" w:rsidRDefault="001D2CEA" w:rsidP="001D2CEA">
      <w:pPr>
        <w:pStyle w:val="NormalHanging12a"/>
      </w:pPr>
      <w:r w:rsidRPr="0077393E">
        <w:t>–</w:t>
      </w:r>
      <w:r w:rsidRPr="0077393E">
        <w:tab/>
        <w:t>so zreteľom na články 60 a 170 rokovacieho poriadku,</w:t>
      </w:r>
    </w:p>
    <w:p w14:paraId="1EC3B363" w14:textId="30AEE4FF" w:rsidR="001D2CEA" w:rsidRPr="0077393E" w:rsidRDefault="001D2CEA" w:rsidP="001D2CEA">
      <w:pPr>
        <w:pStyle w:val="NormalHanging12a"/>
      </w:pPr>
      <w:r w:rsidRPr="0077393E">
        <w:t>1.</w:t>
      </w:r>
      <w:r w:rsidRPr="0077393E">
        <w:tab/>
        <w:t>prijíma nasledujúcu pozíciu v prvom čítaní;</w:t>
      </w:r>
    </w:p>
    <w:p w14:paraId="54C5AB44" w14:textId="77777777" w:rsidR="001D2CEA" w:rsidRPr="0077393E" w:rsidRDefault="001D2CEA" w:rsidP="001D2CEA">
      <w:pPr>
        <w:pStyle w:val="NormalHanging12a"/>
      </w:pPr>
      <w:r w:rsidRPr="0077393E">
        <w:t>2.</w:t>
      </w:r>
      <w:r w:rsidRPr="0077393E">
        <w:tab/>
        <w:t>žiada Komisiu, aby mu vec znovu predložila, ak nahrádza, podstatne mení alebo má v úmysle podstatne zmeniť svoj návrh;</w:t>
      </w:r>
    </w:p>
    <w:p w14:paraId="0E832B46" w14:textId="44B2BE60" w:rsidR="005C2AE5" w:rsidRPr="0077393E" w:rsidRDefault="001D2CEA" w:rsidP="001D2CEA">
      <w:pPr>
        <w:pStyle w:val="NormalHanging12a"/>
      </w:pPr>
      <w:r w:rsidRPr="0077393E">
        <w:lastRenderedPageBreak/>
        <w:t>3.</w:t>
      </w:r>
      <w:r w:rsidRPr="0077393E">
        <w:tab/>
        <w:t>poveruje svoju predsedníčku, aby postúpila túto pozíciu Rade, Komisii a národným parlamentom.</w:t>
      </w:r>
    </w:p>
    <w:p w14:paraId="792E1315" w14:textId="77777777" w:rsidR="004A7939" w:rsidRPr="0077393E" w:rsidRDefault="004A7939">
      <w:pPr>
        <w:rPr>
          <w:lang w:val="sk-SK"/>
        </w:rPr>
        <w:sectPr w:rsidR="004A7939" w:rsidRPr="0077393E" w:rsidSect="005C2AE5">
          <w:footerReference w:type="even" r:id="rId9"/>
          <w:footnotePr>
            <w:numRestart w:val="eachSect"/>
          </w:footnotePr>
          <w:endnotePr>
            <w:numFmt w:val="decimal"/>
          </w:endnotePr>
          <w:type w:val="continuous"/>
          <w:pgSz w:w="11906" w:h="16838" w:code="9"/>
          <w:pgMar w:top="1134" w:right="1418" w:bottom="1418" w:left="1418" w:header="1134" w:footer="567" w:gutter="0"/>
          <w:cols w:space="720"/>
          <w:noEndnote/>
          <w:docGrid w:linePitch="326"/>
        </w:sectPr>
      </w:pPr>
    </w:p>
    <w:p w14:paraId="1D6F2FF6" w14:textId="3BF522FC" w:rsidR="004A7939" w:rsidRPr="0077393E" w:rsidRDefault="004A7939" w:rsidP="004A7939">
      <w:pPr>
        <w:pStyle w:val="Institutionquiagit"/>
        <w:keepNext w:val="0"/>
        <w:spacing w:before="0" w:after="240"/>
        <w:jc w:val="left"/>
        <w:outlineLvl w:val="0"/>
        <w:rPr>
          <w:b/>
          <w:lang w:val="sk-SK"/>
        </w:rPr>
      </w:pPr>
      <w:r w:rsidRPr="0077393E">
        <w:rPr>
          <w:b/>
          <w:lang w:val="sk-SK"/>
        </w:rPr>
        <w:lastRenderedPageBreak/>
        <w:t>P10_TC1-COD(202</w:t>
      </w:r>
      <w:r w:rsidR="00E16C10" w:rsidRPr="0077393E">
        <w:rPr>
          <w:b/>
          <w:lang w:val="sk-SK"/>
        </w:rPr>
        <w:t>6</w:t>
      </w:r>
      <w:r w:rsidRPr="0077393E">
        <w:rPr>
          <w:b/>
          <w:lang w:val="sk-SK"/>
        </w:rPr>
        <w:t>)0</w:t>
      </w:r>
      <w:r w:rsidR="00BE6341" w:rsidRPr="0077393E">
        <w:rPr>
          <w:b/>
          <w:lang w:val="sk-SK"/>
        </w:rPr>
        <w:t>150</w:t>
      </w:r>
    </w:p>
    <w:p w14:paraId="53FE954C" w14:textId="142AAD87" w:rsidR="00BE6341" w:rsidRPr="0077393E" w:rsidRDefault="004A7939" w:rsidP="00BE6341">
      <w:pPr>
        <w:rPr>
          <w:rFonts w:eastAsia="Calibri"/>
          <w:b/>
          <w:bCs/>
          <w:noProof/>
          <w:szCs w:val="22"/>
          <w:lang w:val="sk-SK" w:eastAsia="en-US"/>
        </w:rPr>
      </w:pPr>
      <w:r w:rsidRPr="0077393E">
        <w:rPr>
          <w:b/>
          <w:lang w:val="sk-SK"/>
        </w:rPr>
        <w:t xml:space="preserve">Pozícia Európskeho parlamentu prijatá v prvom čítaní </w:t>
      </w:r>
      <w:r w:rsidR="00BE6341" w:rsidRPr="0077393E">
        <w:rPr>
          <w:b/>
          <w:lang w:val="sk-SK"/>
        </w:rPr>
        <w:t>7. júla</w:t>
      </w:r>
      <w:r w:rsidRPr="0077393E">
        <w:rPr>
          <w:b/>
          <w:lang w:val="sk-SK"/>
        </w:rPr>
        <w:t xml:space="preserve"> </w:t>
      </w:r>
      <w:r w:rsidR="00A01E0F" w:rsidRPr="0077393E">
        <w:rPr>
          <w:b/>
          <w:lang w:val="sk-SK"/>
        </w:rPr>
        <w:t>2026</w:t>
      </w:r>
      <w:r w:rsidRPr="0077393E">
        <w:rPr>
          <w:b/>
          <w:lang w:val="sk-SK"/>
        </w:rPr>
        <w:t xml:space="preserve"> na účely prijatia nariadenia Európskeho parlamentu a Rady (EÚ) 202</w:t>
      </w:r>
      <w:r w:rsidR="00FF5FFF" w:rsidRPr="0077393E">
        <w:rPr>
          <w:b/>
          <w:lang w:val="sk-SK"/>
        </w:rPr>
        <w:t>6</w:t>
      </w:r>
      <w:r w:rsidRPr="0077393E">
        <w:rPr>
          <w:b/>
          <w:lang w:val="sk-SK"/>
        </w:rPr>
        <w:t xml:space="preserve">/..., </w:t>
      </w:r>
      <w:r w:rsidR="00BE6341" w:rsidRPr="0077393E">
        <w:rPr>
          <w:rFonts w:eastAsia="Calibri"/>
          <w:b/>
          <w:bCs/>
          <w:noProof/>
          <w:szCs w:val="22"/>
          <w:lang w:val="sk-SK" w:eastAsia="en-US"/>
        </w:rPr>
        <w:t>ktorým sa mení nariadenie (EÚ) 2021/2115, pokiaľ ide o osobitný typ intervencie na poskytnutie výnimočnej dočasnej podpory v rámci Európskeho poľnohospodárskeho fondu pre rozvoj vidieka (EPFRV) a možnosť upraviť alokácie na priame platby na kalendárny rok 2027, a nariadenie (EÚ) 2021/2116, pokiaľ ide o flexibilnejšie pravidlá vyplácania preddavkov v reakcii na zvýšené ceny hnojív v dôsledku krízy na Blízkom východe</w:t>
      </w:r>
    </w:p>
    <w:p w14:paraId="631D93AD" w14:textId="77777777" w:rsidR="00BE6341" w:rsidRPr="0077393E" w:rsidRDefault="00BE6341" w:rsidP="00BE6341">
      <w:pPr>
        <w:spacing w:before="600" w:after="120" w:line="360" w:lineRule="auto"/>
        <w:rPr>
          <w:rFonts w:eastAsia="Calibri"/>
          <w:szCs w:val="22"/>
          <w:lang w:val="sk-SK" w:eastAsia="en-US"/>
        </w:rPr>
      </w:pPr>
      <w:r w:rsidRPr="0077393E">
        <w:rPr>
          <w:rFonts w:eastAsia="Calibri"/>
          <w:szCs w:val="22"/>
          <w:lang w:val="sk-SK" w:eastAsia="en-US"/>
        </w:rPr>
        <w:t>EURÓPSKY PARLAMENT A RADA EURÓPSKEJ ÚNIE,</w:t>
      </w:r>
    </w:p>
    <w:p w14:paraId="00B73389" w14:textId="77777777" w:rsidR="00BE6341" w:rsidRPr="0077393E" w:rsidRDefault="00BE6341" w:rsidP="00BE6341">
      <w:pPr>
        <w:spacing w:before="120" w:after="120" w:line="360" w:lineRule="auto"/>
        <w:rPr>
          <w:rFonts w:eastAsia="Calibri"/>
          <w:szCs w:val="22"/>
          <w:lang w:val="sk-SK" w:eastAsia="en-US"/>
        </w:rPr>
      </w:pPr>
      <w:r w:rsidRPr="0077393E">
        <w:rPr>
          <w:rFonts w:eastAsia="Calibri"/>
          <w:szCs w:val="22"/>
          <w:lang w:val="sk-SK" w:eastAsia="en-US"/>
        </w:rPr>
        <w:t>so zreteľom na Zmluvu o fungovaní Európskej únie, a najmä na jej článok 43 ods. 2,</w:t>
      </w:r>
    </w:p>
    <w:p w14:paraId="0F40C086" w14:textId="77777777" w:rsidR="00BE6341" w:rsidRPr="0077393E" w:rsidRDefault="00BE6341" w:rsidP="00BE6341">
      <w:pPr>
        <w:spacing w:before="120" w:after="120" w:line="360" w:lineRule="auto"/>
        <w:rPr>
          <w:rFonts w:eastAsia="Calibri"/>
          <w:szCs w:val="22"/>
          <w:lang w:val="sk-SK" w:eastAsia="en-US"/>
        </w:rPr>
      </w:pPr>
      <w:r w:rsidRPr="0077393E">
        <w:rPr>
          <w:rFonts w:eastAsia="Calibri"/>
          <w:szCs w:val="22"/>
          <w:lang w:val="sk-SK" w:eastAsia="en-US"/>
        </w:rPr>
        <w:t>so zreteľom na návrh Európskej komisie,</w:t>
      </w:r>
    </w:p>
    <w:p w14:paraId="42269F89" w14:textId="77777777" w:rsidR="00BE6341" w:rsidRPr="0077393E" w:rsidRDefault="00BE6341" w:rsidP="00BE6341">
      <w:pPr>
        <w:spacing w:before="120" w:after="120" w:line="360" w:lineRule="auto"/>
        <w:rPr>
          <w:rFonts w:eastAsia="Calibri"/>
          <w:szCs w:val="22"/>
          <w:lang w:val="sk-SK" w:eastAsia="en-US"/>
        </w:rPr>
      </w:pPr>
      <w:r w:rsidRPr="0077393E">
        <w:rPr>
          <w:rFonts w:eastAsia="Calibri"/>
          <w:szCs w:val="22"/>
          <w:lang w:val="sk-SK" w:eastAsia="en-US"/>
        </w:rPr>
        <w:t>po postúpení návrhu legislatívneho aktu národným parlamentom,</w:t>
      </w:r>
    </w:p>
    <w:p w14:paraId="5EC31B5A" w14:textId="77777777" w:rsidR="00BE6341" w:rsidRPr="0077393E" w:rsidRDefault="00BE6341" w:rsidP="00BE6341">
      <w:pPr>
        <w:spacing w:before="120" w:after="120" w:line="360" w:lineRule="auto"/>
        <w:rPr>
          <w:rFonts w:eastAsia="Calibri"/>
          <w:szCs w:val="22"/>
          <w:lang w:val="sk-SK" w:eastAsia="en-US"/>
        </w:rPr>
      </w:pPr>
      <w:r w:rsidRPr="0077393E">
        <w:rPr>
          <w:rFonts w:eastAsia="Calibri"/>
          <w:szCs w:val="22"/>
          <w:lang w:val="sk-SK" w:eastAsia="en-US"/>
        </w:rPr>
        <w:t>po porade s Európskym hospodárskym a sociálnym výborom,</w:t>
      </w:r>
    </w:p>
    <w:p w14:paraId="7DFD4646" w14:textId="77777777" w:rsidR="00BE6341" w:rsidRPr="0077393E" w:rsidRDefault="00BE6341" w:rsidP="00BE6341">
      <w:pPr>
        <w:spacing w:before="120" w:after="120" w:line="360" w:lineRule="auto"/>
        <w:rPr>
          <w:rFonts w:eastAsia="Calibri"/>
          <w:szCs w:val="22"/>
          <w:lang w:val="sk-SK" w:eastAsia="en-US"/>
        </w:rPr>
      </w:pPr>
      <w:r w:rsidRPr="0077393E">
        <w:rPr>
          <w:rFonts w:eastAsia="Calibri"/>
          <w:szCs w:val="22"/>
          <w:lang w:val="sk-SK" w:eastAsia="en-US"/>
        </w:rPr>
        <w:t>konajúc v súlade s riadnym legislatívnym postupom</w:t>
      </w:r>
      <w:r w:rsidRPr="0077393E">
        <w:rPr>
          <w:rFonts w:eastAsia="Calibri"/>
          <w:szCs w:val="22"/>
          <w:vertAlign w:val="superscript"/>
          <w:lang w:val="sk-SK" w:eastAsia="en-US"/>
        </w:rPr>
        <w:footnoteReference w:id="1"/>
      </w:r>
      <w:r w:rsidRPr="0077393E">
        <w:rPr>
          <w:rFonts w:eastAsia="Calibri"/>
          <w:szCs w:val="22"/>
          <w:lang w:val="sk-SK" w:eastAsia="en-US"/>
        </w:rPr>
        <w:t>,</w:t>
      </w:r>
    </w:p>
    <w:p w14:paraId="787DF1EC" w14:textId="77777777" w:rsidR="00BE6341" w:rsidRPr="0077393E" w:rsidRDefault="00BE6341" w:rsidP="00BE6341">
      <w:pPr>
        <w:spacing w:after="160" w:line="278" w:lineRule="auto"/>
        <w:rPr>
          <w:rFonts w:eastAsia="Calibri"/>
          <w:szCs w:val="22"/>
          <w:lang w:val="sk-SK" w:eastAsia="en-US"/>
        </w:rPr>
      </w:pPr>
      <w:r w:rsidRPr="0077393E">
        <w:rPr>
          <w:rFonts w:eastAsia="Calibri"/>
          <w:szCs w:val="22"/>
          <w:lang w:val="sk-SK" w:eastAsia="en-US"/>
        </w:rPr>
        <w:br w:type="page"/>
      </w:r>
    </w:p>
    <w:p w14:paraId="12B6ECBD" w14:textId="77777777" w:rsidR="00BE6341" w:rsidRPr="0077393E" w:rsidRDefault="00BE6341" w:rsidP="00BE6341">
      <w:pPr>
        <w:spacing w:before="120" w:after="120" w:line="360" w:lineRule="auto"/>
        <w:rPr>
          <w:rFonts w:eastAsia="Calibri"/>
          <w:szCs w:val="22"/>
          <w:lang w:val="sk-SK" w:eastAsia="en-US"/>
        </w:rPr>
      </w:pPr>
      <w:r w:rsidRPr="0077393E">
        <w:rPr>
          <w:rFonts w:eastAsia="Calibri"/>
          <w:szCs w:val="22"/>
          <w:lang w:val="sk-SK" w:eastAsia="en-US"/>
        </w:rPr>
        <w:lastRenderedPageBreak/>
        <w:t>keďže:</w:t>
      </w:r>
    </w:p>
    <w:p w14:paraId="0EA4C7D5" w14:textId="77777777" w:rsidR="00BE6341" w:rsidRPr="0077393E" w:rsidRDefault="00BE6341" w:rsidP="00BE6341">
      <w:pPr>
        <w:spacing w:before="120" w:after="120" w:line="360" w:lineRule="auto"/>
        <w:ind w:left="851" w:hanging="851"/>
        <w:rPr>
          <w:rFonts w:eastAsia="Calibri"/>
          <w:szCs w:val="22"/>
          <w:lang w:val="sk-SK" w:eastAsia="en-US"/>
        </w:rPr>
      </w:pPr>
      <w:r w:rsidRPr="0077393E">
        <w:rPr>
          <w:rFonts w:eastAsia="Calibri"/>
          <w:szCs w:val="22"/>
          <w:lang w:val="sk-SK" w:eastAsia="en-US"/>
        </w:rPr>
        <w:t>(1)</w:t>
      </w:r>
      <w:r w:rsidRPr="0077393E">
        <w:rPr>
          <w:rFonts w:eastAsia="Calibri"/>
          <w:szCs w:val="22"/>
          <w:lang w:val="sk-SK" w:eastAsia="en-US"/>
        </w:rPr>
        <w:tab/>
        <w:t xml:space="preserve">Aktuálna kríza na Blízkom východe a faktické uzavretie </w:t>
      </w:r>
      <w:proofErr w:type="spellStart"/>
      <w:r w:rsidRPr="0077393E">
        <w:rPr>
          <w:rFonts w:eastAsia="Calibri"/>
          <w:szCs w:val="22"/>
          <w:lang w:val="sk-SK" w:eastAsia="en-US"/>
        </w:rPr>
        <w:t>Hormuzského</w:t>
      </w:r>
      <w:proofErr w:type="spellEnd"/>
      <w:r w:rsidRPr="0077393E">
        <w:rPr>
          <w:rFonts w:eastAsia="Calibri"/>
          <w:szCs w:val="22"/>
          <w:lang w:val="sk-SK" w:eastAsia="en-US"/>
        </w:rPr>
        <w:t xml:space="preserve"> prielivu viedli k výraznému zvýšeniu svetových cien ropy, plynu a hnojív. Globálny charakter zasiahnutých trhov má významný cenový dosah na viaceré odvetvia hospodárstva Únie vo všetkých členských štátoch.</w:t>
      </w:r>
    </w:p>
    <w:p w14:paraId="6293008E" w14:textId="77777777" w:rsidR="00BE6341" w:rsidRPr="0077393E" w:rsidRDefault="00BE6341" w:rsidP="00BE6341">
      <w:pPr>
        <w:spacing w:before="120" w:after="120" w:line="360" w:lineRule="auto"/>
        <w:ind w:left="851" w:hanging="851"/>
        <w:rPr>
          <w:rFonts w:eastAsia="Calibri"/>
          <w:szCs w:val="22"/>
          <w:lang w:val="sk-SK" w:eastAsia="en-US"/>
        </w:rPr>
      </w:pPr>
      <w:r w:rsidRPr="0077393E">
        <w:rPr>
          <w:rFonts w:eastAsia="Calibri"/>
          <w:szCs w:val="22"/>
          <w:lang w:val="sk-SK" w:eastAsia="en-US"/>
        </w:rPr>
        <w:t>(2)</w:t>
      </w:r>
      <w:r w:rsidRPr="0077393E">
        <w:rPr>
          <w:rFonts w:eastAsia="Calibri"/>
          <w:szCs w:val="22"/>
          <w:lang w:val="sk-SK" w:eastAsia="en-US"/>
        </w:rPr>
        <w:tab/>
        <w:t>Odvetvie poľnohospodárstva je priamo ovplyvnené prudkým nárastom cien hnojív, keďže hnojivá sú nevyhnutné pre poľnohospodársku produktivitu, životaschopnosť poľnohospodárskych podnikov a potravinovú bezpečnosť. Nákupy hnojív sú pre poľnohospodárov jedným z najvyšších vstupných nákladov. Okrem cenovej úrovne vedie volatilita trhu k osobitnej zraniteľnosti poľnohospodárov z Únie. Rastúce náklady na hnojivá by mohli prinútiť poľnohospodárov, aby ich znížili, čo by viedlo k jasnému riziku pre kvalitu a výnosy. Poľnohospodári by takisto mohli zmenšiť plochu, ktorú obrábajú, čo by ovplyvnilo poľnohospodársku výrobu v Únii.</w:t>
      </w:r>
    </w:p>
    <w:p w14:paraId="3C89410C" w14:textId="77777777" w:rsidR="00BE6341" w:rsidRPr="0077393E" w:rsidRDefault="00BE6341" w:rsidP="00BE6341">
      <w:pPr>
        <w:spacing w:after="160" w:line="278" w:lineRule="auto"/>
        <w:rPr>
          <w:rFonts w:eastAsia="Calibri"/>
          <w:szCs w:val="22"/>
          <w:lang w:val="sk-SK" w:eastAsia="en-US"/>
        </w:rPr>
      </w:pPr>
      <w:r w:rsidRPr="0077393E">
        <w:rPr>
          <w:rFonts w:eastAsia="Calibri"/>
          <w:szCs w:val="22"/>
          <w:lang w:val="sk-SK" w:eastAsia="en-US"/>
        </w:rPr>
        <w:br w:type="page"/>
      </w:r>
    </w:p>
    <w:p w14:paraId="78912DB1" w14:textId="77777777" w:rsidR="00BE6341" w:rsidRPr="0077393E" w:rsidRDefault="00BE6341" w:rsidP="00BE6341">
      <w:pPr>
        <w:spacing w:before="120" w:after="120" w:line="360" w:lineRule="auto"/>
        <w:ind w:left="851" w:hanging="851"/>
        <w:rPr>
          <w:rFonts w:eastAsia="Calibri"/>
          <w:szCs w:val="22"/>
          <w:lang w:val="sk-SK" w:eastAsia="en-US"/>
        </w:rPr>
      </w:pPr>
      <w:r w:rsidRPr="0077393E">
        <w:rPr>
          <w:rFonts w:eastAsia="Calibri"/>
          <w:szCs w:val="22"/>
          <w:lang w:val="sk-SK" w:eastAsia="en-US"/>
        </w:rPr>
        <w:lastRenderedPageBreak/>
        <w:t>(3)</w:t>
      </w:r>
      <w:r w:rsidRPr="0077393E">
        <w:rPr>
          <w:rFonts w:eastAsia="Calibri"/>
          <w:szCs w:val="22"/>
          <w:lang w:val="sk-SK" w:eastAsia="en-US"/>
        </w:rPr>
        <w:tab/>
        <w:t>V záujme rýchleho riešenia zraniteľných miest potravinového systému Únie vyplývajúcich z tejto krízy a poskytnutia pomoci poľnohospodárom, ktorí majú problémy s likviditou, je vhodné povoliť výnimočnú a dočasnú podporu, a to zavedením nového typu intervencie na krízovú podporu v nariadení Európskeho parlamentu a Rady (EÚ) 2021/2115</w:t>
      </w:r>
      <w:r w:rsidRPr="0077393E">
        <w:rPr>
          <w:rFonts w:eastAsia="Calibri"/>
          <w:szCs w:val="22"/>
          <w:vertAlign w:val="superscript"/>
          <w:lang w:val="sk-SK" w:eastAsia="en-US"/>
        </w:rPr>
        <w:footnoteReference w:id="2"/>
      </w:r>
      <w:r w:rsidRPr="0077393E">
        <w:rPr>
          <w:rFonts w:eastAsia="Calibri"/>
          <w:szCs w:val="22"/>
          <w:lang w:val="sk-SK" w:eastAsia="en-US"/>
        </w:rPr>
        <w:t xml:space="preserve"> poskytovanú prostredníctvom Európskeho poľnohospodárskeho fondu pre rozvoj vidieka (ďalej len „EPFRV“) a poskytnutím väčšej flexibility členským štátom, pokiaľ ide o vyplácanie preddavkov na priame platby v nariadení Európskeho parlamentu a Rady (EÚ) 2021/2116</w:t>
      </w:r>
      <w:r w:rsidRPr="0077393E">
        <w:rPr>
          <w:rFonts w:eastAsia="Calibri"/>
          <w:szCs w:val="22"/>
          <w:vertAlign w:val="superscript"/>
          <w:lang w:val="sk-SK" w:eastAsia="en-US"/>
        </w:rPr>
        <w:footnoteReference w:id="3"/>
      </w:r>
      <w:r w:rsidRPr="0077393E">
        <w:rPr>
          <w:rFonts w:eastAsia="Calibri"/>
          <w:szCs w:val="22"/>
          <w:lang w:val="sk-SK" w:eastAsia="en-US"/>
        </w:rPr>
        <w:t>. Zavedenie tohto nového typu intervencie by nemalo viesť k zvýšeniu limitov aplikácie hnojív na pôdu stanovených v akčných programoch podľa smernice Rady 91/676/EHS</w:t>
      </w:r>
      <w:r w:rsidRPr="0077393E">
        <w:rPr>
          <w:rFonts w:eastAsia="Calibri"/>
          <w:szCs w:val="22"/>
          <w:vertAlign w:val="superscript"/>
          <w:lang w:val="sk-SK" w:eastAsia="en-US"/>
        </w:rPr>
        <w:footnoteReference w:id="4"/>
      </w:r>
      <w:r w:rsidRPr="0077393E">
        <w:rPr>
          <w:rFonts w:eastAsia="Calibri"/>
          <w:szCs w:val="22"/>
          <w:lang w:val="sk-SK" w:eastAsia="en-US"/>
        </w:rPr>
        <w:t>.</w:t>
      </w:r>
    </w:p>
    <w:p w14:paraId="7492D250" w14:textId="77777777" w:rsidR="00BE6341" w:rsidRPr="0077393E" w:rsidRDefault="00BE6341" w:rsidP="00BE6341">
      <w:pPr>
        <w:spacing w:after="160" w:line="278" w:lineRule="auto"/>
        <w:rPr>
          <w:rFonts w:eastAsia="Calibri"/>
          <w:szCs w:val="22"/>
          <w:lang w:val="sk-SK" w:eastAsia="en-US"/>
        </w:rPr>
      </w:pPr>
      <w:r w:rsidRPr="0077393E">
        <w:rPr>
          <w:rFonts w:eastAsia="Calibri"/>
          <w:szCs w:val="22"/>
          <w:lang w:val="sk-SK" w:eastAsia="en-US"/>
        </w:rPr>
        <w:br w:type="page"/>
      </w:r>
    </w:p>
    <w:p w14:paraId="3F9B405F" w14:textId="77777777" w:rsidR="00BE6341" w:rsidRPr="0077393E" w:rsidRDefault="00BE6341" w:rsidP="00BE6341">
      <w:pPr>
        <w:spacing w:before="120" w:after="120" w:line="360" w:lineRule="auto"/>
        <w:ind w:left="851" w:hanging="851"/>
        <w:rPr>
          <w:rFonts w:eastAsia="Calibri"/>
          <w:szCs w:val="22"/>
          <w:lang w:val="sk-SK" w:eastAsia="en-US"/>
        </w:rPr>
      </w:pPr>
      <w:r w:rsidRPr="0077393E">
        <w:rPr>
          <w:rFonts w:eastAsia="Calibri"/>
          <w:szCs w:val="22"/>
          <w:lang w:val="sk-SK" w:eastAsia="en-US"/>
        </w:rPr>
        <w:lastRenderedPageBreak/>
        <w:t>(4)</w:t>
      </w:r>
      <w:r w:rsidRPr="0077393E">
        <w:rPr>
          <w:rFonts w:eastAsia="Calibri"/>
          <w:szCs w:val="22"/>
          <w:lang w:val="sk-SK" w:eastAsia="en-US"/>
        </w:rPr>
        <w:tab/>
        <w:t>Dostupná podpora v novom type intervencie by sa mala zamerať na aktívnych poľnohospodárov, ktorí sú najviac postihnutí vysokými cenami hnojív, a mala by sa poskytnúť na dodatočné náklady na hnojivá, ktoré poľnohospodárom vzniknú v dôsledku zvyšovania cien od 1. marca 2026. Uvedený dátum slúži len ako referenčný dátum na určenie vyššej ceny hnojív a nesúvisí s oprávnenosťou týchto platieb vo vzťahu k prijímateľom. Malo by sa umožniť odmeňovanie Poľnohospodárov, ktorí sú už viazaní plošne založenými záväzkami na zníženie ich používania hnojív s vyššou mierou podpory. Prijímateľom podpory v rámci uvedeného typu intervencie by sa mal okrem toho umožniť prístup k relevantným poznatkom, ako aj k informáciám o tom, ako znížiť používanie hnojív. Na zabezpečenie efektívneho využívania verejnej podpory a spravodlivejšieho rozdelenia uvedenej podpory medzi oprávnených poľnohospodárov by členské štáty mali obmedziť maximálnu podporu na prijímateľa alebo maximálny počet hektárov, na ktoré sa podpora poskytuje. Vzhľadom na naliehavú, dočasnú a výnimočnú povahu uvedenej podpory a potrebu rýchleho vyplatenia zodpovedajúcich platieb by sa mal stanoviť konečný dátum, do ktorého je možné platby prijímateľom realizovať.</w:t>
      </w:r>
    </w:p>
    <w:p w14:paraId="42015959" w14:textId="77777777" w:rsidR="00BE6341" w:rsidRPr="0077393E" w:rsidRDefault="00BE6341" w:rsidP="00BE6341">
      <w:pPr>
        <w:spacing w:after="160" w:line="278" w:lineRule="auto"/>
        <w:rPr>
          <w:rFonts w:eastAsia="Calibri"/>
          <w:szCs w:val="22"/>
          <w:lang w:val="sk-SK" w:eastAsia="en-US"/>
        </w:rPr>
      </w:pPr>
      <w:r w:rsidRPr="0077393E">
        <w:rPr>
          <w:rFonts w:eastAsia="Calibri"/>
          <w:szCs w:val="22"/>
          <w:lang w:val="sk-SK" w:eastAsia="en-US"/>
        </w:rPr>
        <w:br w:type="page"/>
      </w:r>
    </w:p>
    <w:p w14:paraId="48CD8732" w14:textId="77777777" w:rsidR="00BE6341" w:rsidRPr="0077393E" w:rsidRDefault="00BE6341" w:rsidP="00BE6341">
      <w:pPr>
        <w:spacing w:before="120" w:after="120" w:line="360" w:lineRule="auto"/>
        <w:ind w:left="851" w:hanging="851"/>
        <w:rPr>
          <w:rFonts w:eastAsia="Calibri"/>
          <w:szCs w:val="22"/>
          <w:lang w:val="sk-SK" w:eastAsia="en-US"/>
        </w:rPr>
      </w:pPr>
      <w:r w:rsidRPr="0077393E">
        <w:rPr>
          <w:rFonts w:eastAsia="Calibri"/>
          <w:szCs w:val="22"/>
          <w:lang w:val="sk-SK" w:eastAsia="en-US"/>
        </w:rPr>
        <w:lastRenderedPageBreak/>
        <w:t>(5)</w:t>
      </w:r>
      <w:r w:rsidRPr="0077393E">
        <w:rPr>
          <w:rFonts w:eastAsia="Calibri"/>
          <w:szCs w:val="22"/>
          <w:lang w:val="sk-SK" w:eastAsia="en-US"/>
        </w:rPr>
        <w:tab/>
        <w:t>S cieľom zabezpečiť správne finančné riadenie finančných prostriedkov Únie by sa mali členské štáty postarať o to, aby celková podpora, ktorú poľnohospodár dostal v rámci nového typu intervencie, v kombinácii s inými vnútroštátnymi podpornými nástrojmi alebo podpornými nástrojmi Únie určenými na reakciu na dosah vysokých cien hnojív neviedla k nadmernej kompenzácii alebo dvojitému financovaniu.</w:t>
      </w:r>
    </w:p>
    <w:p w14:paraId="0FC8572B" w14:textId="77777777" w:rsidR="00BE6341" w:rsidRPr="0077393E" w:rsidRDefault="00BE6341" w:rsidP="00BE6341">
      <w:pPr>
        <w:spacing w:before="120" w:after="120" w:line="360" w:lineRule="auto"/>
        <w:ind w:left="851" w:hanging="851"/>
        <w:rPr>
          <w:rFonts w:eastAsia="Calibri"/>
          <w:szCs w:val="22"/>
          <w:lang w:val="sk-SK" w:eastAsia="en-US"/>
        </w:rPr>
      </w:pPr>
      <w:r w:rsidRPr="0077393E">
        <w:rPr>
          <w:rFonts w:eastAsia="Calibri"/>
          <w:szCs w:val="22"/>
          <w:lang w:val="sk-SK" w:eastAsia="en-US"/>
        </w:rPr>
        <w:t>(6)</w:t>
      </w:r>
      <w:r w:rsidRPr="0077393E">
        <w:rPr>
          <w:rFonts w:eastAsia="Calibri"/>
          <w:szCs w:val="22"/>
          <w:lang w:val="sk-SK" w:eastAsia="en-US"/>
        </w:rPr>
        <w:tab/>
        <w:t>V záujme stimulácie využívania finančných nástrojov na podporu poskytovanú v rámci nového typu intervencie by sa nemala uplatňovať maximálna miera podpory, ak sa podpora poskytuje vo forme samostatného prevádzkového kapitálu.</w:t>
      </w:r>
    </w:p>
    <w:p w14:paraId="13C4C379" w14:textId="77777777" w:rsidR="00BE6341" w:rsidRPr="0077393E" w:rsidRDefault="00BE6341" w:rsidP="00BE6341">
      <w:pPr>
        <w:spacing w:before="120" w:after="120" w:line="360" w:lineRule="auto"/>
        <w:ind w:left="851" w:hanging="851"/>
        <w:rPr>
          <w:rFonts w:eastAsia="Calibri"/>
          <w:szCs w:val="22"/>
          <w:lang w:val="sk-SK" w:eastAsia="en-US"/>
        </w:rPr>
      </w:pPr>
      <w:r w:rsidRPr="0077393E">
        <w:rPr>
          <w:rFonts w:eastAsia="Calibri"/>
          <w:szCs w:val="22"/>
          <w:lang w:val="sk-SK" w:eastAsia="en-US"/>
        </w:rPr>
        <w:t>(7)</w:t>
      </w:r>
      <w:r w:rsidRPr="0077393E">
        <w:rPr>
          <w:rFonts w:eastAsia="Calibri"/>
          <w:szCs w:val="22"/>
          <w:lang w:val="sk-SK" w:eastAsia="en-US"/>
        </w:rPr>
        <w:tab/>
        <w:t>Aby sa zabránilo oneskoreniam platieb poľnohospodárom, ktorí čelia problémom s likviditou, malo by sa stanoviť, že výdavky financované z EPFRV sú oprávnené na nový typ intervencie odo dňa nadobudnutia účinnosti tohto nariadenia a predtým, než členské štáty predložia Komisii žiadosť o strategickú zmenu strategického plánu SPP, ktorou sa táto intervencia zavádza.</w:t>
      </w:r>
    </w:p>
    <w:p w14:paraId="7E8BAAEE" w14:textId="77777777" w:rsidR="00BE6341" w:rsidRPr="0077393E" w:rsidRDefault="00BE6341" w:rsidP="00BE6341">
      <w:pPr>
        <w:spacing w:before="120" w:after="120" w:line="360" w:lineRule="auto"/>
        <w:ind w:left="851" w:hanging="851"/>
        <w:rPr>
          <w:rFonts w:eastAsia="Calibri"/>
          <w:szCs w:val="22"/>
          <w:lang w:val="sk-SK" w:eastAsia="en-US"/>
        </w:rPr>
      </w:pPr>
      <w:r w:rsidRPr="0077393E">
        <w:rPr>
          <w:rFonts w:eastAsia="Calibri"/>
          <w:szCs w:val="22"/>
          <w:lang w:val="sk-SK" w:eastAsia="en-US"/>
        </w:rPr>
        <w:t>(8)</w:t>
      </w:r>
      <w:r w:rsidRPr="0077393E">
        <w:rPr>
          <w:rFonts w:eastAsia="Calibri"/>
          <w:szCs w:val="22"/>
          <w:lang w:val="sk-SK" w:eastAsia="en-US"/>
        </w:rPr>
        <w:tab/>
        <w:t>Financovanie podpory v rámci nového typu intervencie by sa malo programovať s mierou príspevku z EPFRV až do výšky 65 % oprávnených verejných výdavkov.</w:t>
      </w:r>
    </w:p>
    <w:p w14:paraId="4F297295" w14:textId="77777777" w:rsidR="00BE6341" w:rsidRPr="0077393E" w:rsidRDefault="00BE6341" w:rsidP="00BE6341">
      <w:pPr>
        <w:spacing w:after="160" w:line="278" w:lineRule="auto"/>
        <w:rPr>
          <w:rFonts w:eastAsia="Calibri"/>
          <w:szCs w:val="22"/>
          <w:lang w:val="sk-SK" w:eastAsia="en-US"/>
        </w:rPr>
      </w:pPr>
      <w:r w:rsidRPr="0077393E">
        <w:rPr>
          <w:rFonts w:eastAsia="Calibri"/>
          <w:szCs w:val="22"/>
          <w:lang w:val="sk-SK" w:eastAsia="en-US"/>
        </w:rPr>
        <w:br w:type="page"/>
      </w:r>
    </w:p>
    <w:p w14:paraId="041D9D5E" w14:textId="77777777" w:rsidR="00BE6341" w:rsidRPr="0077393E" w:rsidRDefault="00BE6341" w:rsidP="00BE6341">
      <w:pPr>
        <w:spacing w:before="120" w:after="120" w:line="360" w:lineRule="auto"/>
        <w:ind w:left="851" w:hanging="851"/>
        <w:rPr>
          <w:rFonts w:eastAsia="Calibri"/>
          <w:szCs w:val="22"/>
          <w:lang w:val="sk-SK" w:eastAsia="en-US"/>
        </w:rPr>
      </w:pPr>
      <w:r w:rsidRPr="0077393E">
        <w:rPr>
          <w:rFonts w:eastAsia="Calibri"/>
          <w:szCs w:val="22"/>
          <w:lang w:val="sk-SK" w:eastAsia="en-US"/>
        </w:rPr>
        <w:lastRenderedPageBreak/>
        <w:t>(9)</w:t>
      </w:r>
      <w:r w:rsidRPr="0077393E">
        <w:rPr>
          <w:rFonts w:eastAsia="Calibri"/>
          <w:szCs w:val="22"/>
          <w:lang w:val="sk-SK" w:eastAsia="en-US"/>
        </w:rPr>
        <w:tab/>
        <w:t>Na zabezpečenie primeraného financovania nového typu intervencie stanoveného v tomto nariadení bez toho, aby boli ohrozené iné ciele strategických plánov SPP a sumy vyhradené na krízové platby, by sa mal stanoviť maximálny podiel príspevku Únie na tento nový typ intervencie.</w:t>
      </w:r>
    </w:p>
    <w:p w14:paraId="7F2ACD73" w14:textId="77777777" w:rsidR="00BE6341" w:rsidRPr="0077393E" w:rsidRDefault="00BE6341" w:rsidP="00BE6341">
      <w:pPr>
        <w:spacing w:before="120" w:after="120" w:line="360" w:lineRule="auto"/>
        <w:ind w:left="851" w:hanging="851"/>
        <w:rPr>
          <w:rFonts w:eastAsia="Calibri"/>
          <w:szCs w:val="22"/>
          <w:lang w:val="sk-SK" w:eastAsia="en-US"/>
        </w:rPr>
      </w:pPr>
      <w:r w:rsidRPr="0077393E">
        <w:rPr>
          <w:rFonts w:eastAsia="Calibri"/>
          <w:szCs w:val="22"/>
          <w:lang w:val="sk-SK" w:eastAsia="en-US"/>
        </w:rPr>
        <w:t>(10)</w:t>
      </w:r>
      <w:r w:rsidRPr="0077393E">
        <w:rPr>
          <w:rFonts w:eastAsia="Calibri"/>
          <w:szCs w:val="22"/>
          <w:lang w:val="sk-SK" w:eastAsia="en-US"/>
        </w:rPr>
        <w:tab/>
        <w:t>Vzhľadom na osobitnú povahu nového typu intervencie by sa naň nemala vzťahovať povinnosť prispievať k ukazovateľom výsledkov uvedeným v prílohe I k nariadeniu (EÚ) 2021/2115.</w:t>
      </w:r>
    </w:p>
    <w:p w14:paraId="2818BEB9" w14:textId="77777777" w:rsidR="00BE6341" w:rsidRPr="0077393E" w:rsidRDefault="00BE6341" w:rsidP="00BE6341">
      <w:pPr>
        <w:spacing w:before="120" w:after="120" w:line="360" w:lineRule="auto"/>
        <w:ind w:left="851" w:hanging="851"/>
        <w:rPr>
          <w:rFonts w:eastAsia="Calibri"/>
          <w:szCs w:val="22"/>
          <w:lang w:val="sk-SK" w:eastAsia="en-US"/>
        </w:rPr>
      </w:pPr>
      <w:r w:rsidRPr="0077393E">
        <w:rPr>
          <w:rFonts w:eastAsia="Calibri"/>
          <w:szCs w:val="22"/>
          <w:lang w:val="sk-SK" w:eastAsia="en-US"/>
        </w:rPr>
        <w:t>(11)</w:t>
      </w:r>
      <w:r w:rsidRPr="0077393E">
        <w:rPr>
          <w:rFonts w:eastAsia="Calibri"/>
          <w:szCs w:val="22"/>
          <w:lang w:val="sk-SK" w:eastAsia="en-US"/>
        </w:rPr>
        <w:tab/>
        <w:t>Pri zavádzaní tohto nového typu intervencie do strategických plánov SPP by sa takáto žiadosť o strategickú zmenu nemala započítavať do maximálneho možného počtu žiadosti o strategické zmeny za rok.</w:t>
      </w:r>
    </w:p>
    <w:p w14:paraId="5859821E" w14:textId="77777777" w:rsidR="00BE6341" w:rsidRPr="0077393E" w:rsidRDefault="00BE6341" w:rsidP="00BE6341">
      <w:pPr>
        <w:spacing w:before="120" w:after="120" w:line="360" w:lineRule="auto"/>
        <w:ind w:left="851" w:hanging="851"/>
        <w:rPr>
          <w:rFonts w:eastAsia="Calibri"/>
          <w:szCs w:val="22"/>
          <w:lang w:val="sk-SK" w:eastAsia="en-US"/>
        </w:rPr>
      </w:pPr>
      <w:r w:rsidRPr="0077393E">
        <w:rPr>
          <w:rFonts w:eastAsia="Calibri"/>
          <w:szCs w:val="22"/>
          <w:lang w:val="sk-SK" w:eastAsia="en-US"/>
        </w:rPr>
        <w:t>(12)</w:t>
      </w:r>
      <w:r w:rsidRPr="0077393E">
        <w:rPr>
          <w:rFonts w:eastAsia="Calibri"/>
          <w:szCs w:val="22"/>
          <w:lang w:val="sk-SK" w:eastAsia="en-US"/>
        </w:rPr>
        <w:tab/>
        <w:t>V záujme zabezpečenia rovnakých podmienok by sa maximálne dodatočné vnútroštátne financovanie intervencií v rámci nového typu intervencie malo obmedziť na 200 % financovania z EPFRV na tento typ intervencie.</w:t>
      </w:r>
    </w:p>
    <w:p w14:paraId="7CE19A9A" w14:textId="77777777" w:rsidR="00BE6341" w:rsidRPr="0077393E" w:rsidRDefault="00BE6341" w:rsidP="00BE6341">
      <w:pPr>
        <w:spacing w:before="120" w:after="120" w:line="360" w:lineRule="auto"/>
        <w:ind w:left="851" w:hanging="851"/>
        <w:rPr>
          <w:rFonts w:eastAsia="Calibri"/>
          <w:szCs w:val="22"/>
          <w:lang w:val="sk-SK" w:eastAsia="en-US"/>
        </w:rPr>
      </w:pPr>
      <w:r w:rsidRPr="0077393E">
        <w:rPr>
          <w:rFonts w:eastAsia="Calibri"/>
          <w:szCs w:val="22"/>
          <w:lang w:val="sk-SK" w:eastAsia="en-US"/>
        </w:rPr>
        <w:t>(13)</w:t>
      </w:r>
      <w:r w:rsidRPr="0077393E">
        <w:rPr>
          <w:rFonts w:eastAsia="Calibri"/>
          <w:szCs w:val="22"/>
          <w:lang w:val="sk-SK" w:eastAsia="en-US"/>
        </w:rPr>
        <w:tab/>
        <w:t>V prílohe I k nariadeniu (EÚ) 2021/2115 by sa mal doplniť dodatočný ukazovateľ výstupu pre tento nový typ intervencie.</w:t>
      </w:r>
    </w:p>
    <w:p w14:paraId="75F500C0" w14:textId="77777777" w:rsidR="00BE6341" w:rsidRPr="0077393E" w:rsidRDefault="00BE6341" w:rsidP="00BE6341">
      <w:pPr>
        <w:spacing w:before="120" w:after="120" w:line="360" w:lineRule="auto"/>
        <w:ind w:left="851" w:hanging="851"/>
        <w:rPr>
          <w:rFonts w:eastAsia="Calibri"/>
          <w:szCs w:val="22"/>
          <w:lang w:val="sk-SK" w:eastAsia="en-US"/>
        </w:rPr>
      </w:pPr>
      <w:r w:rsidRPr="0077393E">
        <w:rPr>
          <w:rFonts w:eastAsia="Calibri"/>
          <w:szCs w:val="22"/>
          <w:lang w:val="sk-SK" w:eastAsia="en-US"/>
        </w:rPr>
        <w:t>(14)</w:t>
      </w:r>
      <w:r w:rsidRPr="0077393E">
        <w:rPr>
          <w:rFonts w:eastAsia="Calibri"/>
          <w:szCs w:val="22"/>
          <w:lang w:val="sk-SK" w:eastAsia="en-US"/>
        </w:rPr>
        <w:tab/>
        <w:t>Názov prílohy XV k nariadeniu (EÚ) 2021/2115 by sa mal zmeniť tak, aby odrážal skutočnosť, že finančné limity podpory zahŕňajú financovanie nového typu intervencie.</w:t>
      </w:r>
    </w:p>
    <w:p w14:paraId="532ABADD" w14:textId="77777777" w:rsidR="00BE6341" w:rsidRPr="0077393E" w:rsidRDefault="00BE6341" w:rsidP="00BE6341">
      <w:pPr>
        <w:spacing w:after="160" w:line="278" w:lineRule="auto"/>
        <w:rPr>
          <w:rFonts w:eastAsia="Calibri"/>
          <w:szCs w:val="22"/>
          <w:lang w:val="sk-SK" w:eastAsia="en-US"/>
        </w:rPr>
      </w:pPr>
      <w:r w:rsidRPr="0077393E">
        <w:rPr>
          <w:rFonts w:eastAsia="Calibri"/>
          <w:szCs w:val="22"/>
          <w:lang w:val="sk-SK" w:eastAsia="en-US"/>
        </w:rPr>
        <w:br w:type="page"/>
      </w:r>
    </w:p>
    <w:p w14:paraId="294F8688" w14:textId="77777777" w:rsidR="00BE6341" w:rsidRPr="0077393E" w:rsidRDefault="00BE6341" w:rsidP="00BE6341">
      <w:pPr>
        <w:spacing w:before="120" w:after="120" w:line="360" w:lineRule="auto"/>
        <w:ind w:left="851" w:hanging="851"/>
        <w:rPr>
          <w:rFonts w:eastAsia="Calibri"/>
          <w:szCs w:val="22"/>
          <w:lang w:val="sk-SK" w:eastAsia="en-US"/>
        </w:rPr>
      </w:pPr>
      <w:r w:rsidRPr="0077393E">
        <w:rPr>
          <w:rFonts w:eastAsia="Calibri"/>
          <w:szCs w:val="22"/>
          <w:lang w:val="sk-SK" w:eastAsia="en-US"/>
        </w:rPr>
        <w:lastRenderedPageBreak/>
        <w:t>(15)</w:t>
      </w:r>
      <w:r w:rsidRPr="0077393E">
        <w:rPr>
          <w:rFonts w:eastAsia="Calibri"/>
          <w:szCs w:val="22"/>
          <w:lang w:val="sk-SK" w:eastAsia="en-US"/>
        </w:rPr>
        <w:tab/>
        <w:t xml:space="preserve">V článku 103 ods. 1 nariadenia (EÚ) 2021/2115 sa členským štátom poskytuje flexibilita pri úprave ich alokácií na priame platby prevodom finančných prostriedkov do a z ich alokácií v rámci EPFRV na kalendárne roky 2023 až 2026. S cieľom zabezpečiť, aby členské štáty mohli naďalej úspešne vykonávať príslušné národné stratégie, z ktorých vychádzajú ich strategické plány SPP, vrátane stratégií na riešenie neočakávaných kríz, ako je napríklad dosah vysokých cien hnojív, by členské štáty mali tiež mať možnosť upraviť alokácie na priame platby na kalendárny rok 2027 až do daného stropu, a to na základe obmedzení prevodu uplatniteľných na kalendárne roky 2023 až 2026, ako aj zodpovedajúcim spôsobom zmeniť svoje strategické plány SPP. Preto je vhodné stanoviť uvedenú možnosť zavedením nového ustanovenia do hlavy IV nariadenia (EÚ) 2021/2115 a do zodpovedajúcej novej prílohy stanovujúcej maximálne sumy zvýšenia a maximálne sumy zníženia na členský štát. Takisto je potrebné zmeniť článok 87 ods. 2 nariadenia (EÚ) 2021/2115 tak, aby bola Komisia splnomocnená na prijatie delegovaného aktu, ktorým sa zmenia alokácie členských štátov stanovené v prílohách V a IX k uvedenému nariadeniu, aby sa zohľadnili úpravy alokácií na priame platby. Okrem toho je potrebné zmeniť článok 112 ods. 2 písm. b) nariadenia (EÚ) 2021/2115 s cieľom zahrnúť úpravy do prehľadnej tabuľky finančného plánu uvedenej v článku 107 ods. 1 písm. e) uvedeného nariadenia a zmeniť článok 119 ods. 2 písm. c) uvedeného nariadenia s cieľom zahrnúť úpravy do zoznamu strategických zmien strategických plánov SPP. Okrem toho je potrebné zmeniť článok 119 ods. 7 druhý </w:t>
      </w:r>
      <w:proofErr w:type="spellStart"/>
      <w:r w:rsidRPr="0077393E">
        <w:rPr>
          <w:rFonts w:eastAsia="Calibri"/>
          <w:szCs w:val="22"/>
          <w:lang w:val="sk-SK" w:eastAsia="en-US"/>
        </w:rPr>
        <w:t>pododsek</w:t>
      </w:r>
      <w:proofErr w:type="spellEnd"/>
      <w:r w:rsidRPr="0077393E">
        <w:rPr>
          <w:rFonts w:eastAsia="Calibri"/>
          <w:szCs w:val="22"/>
          <w:lang w:val="sk-SK" w:eastAsia="en-US"/>
        </w:rPr>
        <w:t xml:space="preserve"> nariadenia (EÚ) 2021/2115 s cieľom stanoviť, že žiadosť o strategickú zmenu vyplývajúca z úprav sa nezapočítava do maximálnych možných žiadostí o strategické zmeny za rok. Okrem toho je potrebné zmeniť článok 121 druhý odsek písm. b) nariadenia (EÚ) 2021/2115 s cieľom zahrnúť uvedené úpravy do zoznamu zmien osobitných ustanovení, v prípade ktorých sa obdobie na prijatie delegovaného aktu, na ktoré odkazuje článok 87 ods. 2 uvedeného nariadenia, nezapočítava lehotu, v ktorej má Komisia konať, uvedenej v článku 121 prvom </w:t>
      </w:r>
      <w:proofErr w:type="spellStart"/>
      <w:r w:rsidRPr="0077393E">
        <w:rPr>
          <w:rFonts w:eastAsia="Calibri"/>
          <w:szCs w:val="22"/>
          <w:lang w:val="sk-SK" w:eastAsia="en-US"/>
        </w:rPr>
        <w:t>pododseku</w:t>
      </w:r>
      <w:proofErr w:type="spellEnd"/>
      <w:r w:rsidRPr="0077393E">
        <w:rPr>
          <w:rFonts w:eastAsia="Calibri"/>
          <w:szCs w:val="22"/>
          <w:lang w:val="sk-SK" w:eastAsia="en-US"/>
        </w:rPr>
        <w:t xml:space="preserve"> uvedeného nariadenia.</w:t>
      </w:r>
    </w:p>
    <w:p w14:paraId="6AE8C581" w14:textId="77777777" w:rsidR="00BE6341" w:rsidRPr="0077393E" w:rsidRDefault="00BE6341" w:rsidP="00BE6341">
      <w:pPr>
        <w:spacing w:after="160" w:line="278" w:lineRule="auto"/>
        <w:rPr>
          <w:rFonts w:eastAsia="Calibri"/>
          <w:szCs w:val="22"/>
          <w:lang w:val="sk-SK" w:eastAsia="en-US"/>
        </w:rPr>
      </w:pPr>
      <w:r w:rsidRPr="0077393E">
        <w:rPr>
          <w:rFonts w:eastAsia="Calibri"/>
          <w:szCs w:val="22"/>
          <w:lang w:val="sk-SK" w:eastAsia="en-US"/>
        </w:rPr>
        <w:br w:type="page"/>
      </w:r>
    </w:p>
    <w:p w14:paraId="7EEDC53E" w14:textId="77777777" w:rsidR="00BE6341" w:rsidRPr="0077393E" w:rsidRDefault="00BE6341" w:rsidP="00BE6341">
      <w:pPr>
        <w:spacing w:before="120" w:after="120" w:line="360" w:lineRule="auto"/>
        <w:ind w:left="851" w:hanging="851"/>
        <w:rPr>
          <w:rFonts w:eastAsia="Calibri"/>
          <w:szCs w:val="22"/>
          <w:lang w:val="sk-SK" w:eastAsia="en-US"/>
        </w:rPr>
      </w:pPr>
      <w:r w:rsidRPr="0077393E">
        <w:rPr>
          <w:rFonts w:eastAsia="Calibri"/>
          <w:szCs w:val="22"/>
          <w:lang w:val="sk-SK" w:eastAsia="en-US"/>
        </w:rPr>
        <w:lastRenderedPageBreak/>
        <w:t>(16)</w:t>
      </w:r>
      <w:r w:rsidRPr="0077393E">
        <w:rPr>
          <w:rFonts w:eastAsia="Calibri"/>
          <w:szCs w:val="22"/>
          <w:lang w:val="sk-SK" w:eastAsia="en-US"/>
        </w:rPr>
        <w:tab/>
        <w:t xml:space="preserve">Vzhľadom na krízu na Blízkom východe a z nej vyplývajúci nárast cien hnojív a na vystavenie poľnohospodárov finančnému riziku, súčasná úroveň preddavkových platieb už nie je dostatočná. S cieľom podporiť poľnohospodárov, ktorí majú problémy s likviditou, a vzhľadom na to, že dosah tejto krízy bude s veľkou pravdepodobnosťou pretrvávať počas celého roka 2026, je vhodné zmeniť maximálne miery preddavkov na priame platby v nariadení (EÚ) 2021/2116, aby sa v danom kalendárnom roku mohla vyplatiť vyššia miera. Preto je vhodné zvýšiť maximálnu mieru preddavkov na priame platby zo 70 % na 75 % v rámci limitu stanoveného v článku 11 nariadenia Európskeho parlamentu a Rady (EÚ, </w:t>
      </w:r>
      <w:proofErr w:type="spellStart"/>
      <w:r w:rsidRPr="0077393E">
        <w:rPr>
          <w:rFonts w:eastAsia="Calibri"/>
          <w:szCs w:val="22"/>
          <w:lang w:val="sk-SK" w:eastAsia="en-US"/>
        </w:rPr>
        <w:t>Euratom</w:t>
      </w:r>
      <w:proofErr w:type="spellEnd"/>
      <w:r w:rsidRPr="0077393E">
        <w:rPr>
          <w:rFonts w:eastAsia="Calibri"/>
          <w:szCs w:val="22"/>
          <w:lang w:val="sk-SK" w:eastAsia="en-US"/>
        </w:rPr>
        <w:t>) 2024/2509</w:t>
      </w:r>
      <w:r w:rsidRPr="0077393E">
        <w:rPr>
          <w:rFonts w:eastAsia="Calibri"/>
          <w:szCs w:val="22"/>
          <w:vertAlign w:val="superscript"/>
          <w:lang w:val="sk-SK" w:eastAsia="en-US"/>
        </w:rPr>
        <w:footnoteReference w:id="5"/>
      </w:r>
      <w:r w:rsidRPr="0077393E">
        <w:rPr>
          <w:rFonts w:eastAsia="Calibri"/>
          <w:szCs w:val="22"/>
          <w:lang w:val="sk-SK" w:eastAsia="en-US"/>
        </w:rPr>
        <w:t xml:space="preserve">. </w:t>
      </w:r>
    </w:p>
    <w:p w14:paraId="02B4E492" w14:textId="77777777" w:rsidR="00BE6341" w:rsidRPr="0077393E" w:rsidRDefault="00BE6341" w:rsidP="00BE6341">
      <w:pPr>
        <w:spacing w:before="120" w:after="120" w:line="360" w:lineRule="auto"/>
        <w:ind w:left="851" w:hanging="851"/>
        <w:rPr>
          <w:rFonts w:eastAsia="Calibri"/>
          <w:szCs w:val="22"/>
          <w:lang w:val="sk-SK" w:eastAsia="en-US"/>
        </w:rPr>
      </w:pPr>
      <w:r w:rsidRPr="0077393E">
        <w:rPr>
          <w:rFonts w:eastAsia="Calibri"/>
          <w:szCs w:val="22"/>
          <w:lang w:val="sk-SK" w:eastAsia="en-US"/>
        </w:rPr>
        <w:t>(17)</w:t>
      </w:r>
      <w:r w:rsidRPr="0077393E">
        <w:rPr>
          <w:rFonts w:eastAsia="Calibri"/>
          <w:szCs w:val="22"/>
          <w:lang w:val="sk-SK" w:eastAsia="en-US"/>
        </w:rPr>
        <w:tab/>
        <w:t>V súčasnosti môžu členské štáty vyplácať poľnohospodárom preddavky v období od 16. októbra do 30. novembra kalendárneho roka. V záujme podpory poľnohospodárov, ktorí majú problémy s likviditou v dôsledku vysokých cien hnojív, je vhodné poskytnúť členským štátom väčšiu flexibilitu, pokiaľ ide o načasovanie preddavkov na priame platby, a umožniť im tieto platby vyplácať skôr v priebehu roka, hneď po podaní žiadosti o podporu. Avšak vzhľadom na to, že preddavky na priame platby, ktoré členské štáty vyplatili poľnohospodárom v jednom kalendárnom roku, uhrádza Komisia členským štátom až z rozpočtu nasledujúceho roka, by sa mali preddavky na priame platby vyplatené prijímateľom pred 16. októbrom 2026 považovať za preddavky vyplatené v mesiaci november 2026 a členské štáty by ich mali vykázať na úhradu spolu s vyhlásením týkajúcim sa daného mesiaca, aby ich Komisia uhradila začiatkom roka 2027.</w:t>
      </w:r>
    </w:p>
    <w:p w14:paraId="70B1710E" w14:textId="77777777" w:rsidR="00BE6341" w:rsidRPr="0077393E" w:rsidRDefault="00BE6341" w:rsidP="00BE6341">
      <w:pPr>
        <w:spacing w:after="160" w:line="278" w:lineRule="auto"/>
        <w:rPr>
          <w:rFonts w:eastAsia="Calibri"/>
          <w:szCs w:val="22"/>
          <w:lang w:val="sk-SK" w:eastAsia="en-US"/>
        </w:rPr>
      </w:pPr>
      <w:r w:rsidRPr="0077393E">
        <w:rPr>
          <w:rFonts w:eastAsia="Calibri"/>
          <w:szCs w:val="22"/>
          <w:lang w:val="sk-SK" w:eastAsia="en-US"/>
        </w:rPr>
        <w:br w:type="page"/>
      </w:r>
    </w:p>
    <w:p w14:paraId="624B12E2" w14:textId="77777777" w:rsidR="00BE6341" w:rsidRPr="0077393E" w:rsidRDefault="00BE6341" w:rsidP="00BE6341">
      <w:pPr>
        <w:spacing w:before="120" w:after="120" w:line="360" w:lineRule="auto"/>
        <w:ind w:left="851" w:hanging="851"/>
        <w:rPr>
          <w:rFonts w:eastAsia="Calibri"/>
          <w:szCs w:val="22"/>
          <w:lang w:val="sk-SK" w:eastAsia="en-US"/>
        </w:rPr>
      </w:pPr>
      <w:r w:rsidRPr="0077393E">
        <w:rPr>
          <w:rFonts w:eastAsia="Calibri"/>
          <w:szCs w:val="22"/>
          <w:lang w:val="sk-SK" w:eastAsia="en-US"/>
        </w:rPr>
        <w:lastRenderedPageBreak/>
        <w:t>(18)</w:t>
      </w:r>
      <w:r w:rsidRPr="0077393E">
        <w:rPr>
          <w:rFonts w:eastAsia="Calibri"/>
          <w:szCs w:val="22"/>
          <w:lang w:val="sk-SK" w:eastAsia="en-US"/>
        </w:rPr>
        <w:tab/>
      </w:r>
      <w:bookmarkStart w:id="10" w:name="_Hlk230972467"/>
      <w:r w:rsidRPr="0077393E">
        <w:rPr>
          <w:rFonts w:eastAsia="Calibri"/>
          <w:szCs w:val="22"/>
          <w:lang w:val="sk-SK" w:eastAsia="en-US"/>
        </w:rPr>
        <w:t>Článkom 59 nariadenia (EÚ) 2021/2116 sa členským štátom poskytuje flexibilita pri zriaďovaní svojich systémov riadenia a kontroly. Členským štátom sa odporúča upraviť svoje systémy riadenia a kontroly tak, aby dodatočná flexibilita v oblasti načasovania a výšky preddavkov stanovená v tomto nariadení umožnila včasnú a účinnú podporu poľnohospodárov. Členské štáty by sa mali predovšetkým rozhodnúť, ktoré kontroly musia byť dokončené pred vyplatením preddavkových platieb, aby sa uspokojili naliehavé potreby týkajúce sa likvidity. V tejto súvislosti by mali členské štáty zohľadniť aj možnosť zabezpečenia vrátenia všetkých neoprávnene vyplatených preddavkov a ochrany finančných záujmov Únie pred vyplatením záverečnej platby. V čase záverečných platieb by mal členský štát posúdiť riziko nesúladu, a to prostredníctvom nástrojov, ako sú kontroly oprávnenosti a možných prípadov nesúladu či vymáhanie neoprávnene vyplatených súm. Ak je zavedený účinný systém riadenia a kontroly vrátane riadenia dlhu, je nepravdepodobné, že by sa vyskytli závažné nedostatky.</w:t>
      </w:r>
    </w:p>
    <w:bookmarkEnd w:id="10"/>
    <w:p w14:paraId="75204F20" w14:textId="77777777" w:rsidR="00BE6341" w:rsidRPr="0077393E" w:rsidRDefault="00BE6341" w:rsidP="00BE6341">
      <w:pPr>
        <w:spacing w:after="160" w:line="278" w:lineRule="auto"/>
        <w:rPr>
          <w:rFonts w:eastAsia="Calibri"/>
          <w:szCs w:val="22"/>
          <w:lang w:val="sk-SK" w:eastAsia="en-US"/>
        </w:rPr>
      </w:pPr>
      <w:r w:rsidRPr="0077393E">
        <w:rPr>
          <w:rFonts w:eastAsia="Calibri"/>
          <w:szCs w:val="22"/>
          <w:lang w:val="sk-SK" w:eastAsia="en-US"/>
        </w:rPr>
        <w:br w:type="page"/>
      </w:r>
    </w:p>
    <w:p w14:paraId="73887575" w14:textId="77777777" w:rsidR="00BE6341" w:rsidRPr="0077393E" w:rsidRDefault="00BE6341" w:rsidP="00BE6341">
      <w:pPr>
        <w:spacing w:before="120" w:after="120" w:line="360" w:lineRule="auto"/>
        <w:ind w:left="851" w:hanging="851"/>
        <w:rPr>
          <w:rFonts w:eastAsia="Calibri"/>
          <w:szCs w:val="22"/>
          <w:lang w:val="sk-SK" w:eastAsia="en-US"/>
        </w:rPr>
      </w:pPr>
      <w:r w:rsidRPr="0077393E">
        <w:rPr>
          <w:rFonts w:eastAsia="Calibri"/>
          <w:szCs w:val="22"/>
          <w:lang w:val="sk-SK" w:eastAsia="en-US"/>
        </w:rPr>
        <w:lastRenderedPageBreak/>
        <w:t>(19)</w:t>
      </w:r>
      <w:r w:rsidRPr="0077393E">
        <w:rPr>
          <w:rFonts w:eastAsia="Calibri"/>
          <w:szCs w:val="22"/>
          <w:lang w:val="sk-SK" w:eastAsia="en-US"/>
        </w:rPr>
        <w:tab/>
        <w:t>Nariadenia (EÚ) 2021/2115 a (EÚ) 2021/2116 by sa preto mali zodpovedajúcim spôsobom zmeniť.</w:t>
      </w:r>
    </w:p>
    <w:p w14:paraId="550F0D01" w14:textId="77777777" w:rsidR="00BE6341" w:rsidRPr="0077393E" w:rsidRDefault="00BE6341" w:rsidP="00BE6341">
      <w:pPr>
        <w:tabs>
          <w:tab w:val="left" w:pos="720"/>
          <w:tab w:val="left" w:pos="2500"/>
        </w:tabs>
        <w:spacing w:before="120" w:after="120" w:line="360" w:lineRule="auto"/>
        <w:ind w:left="851" w:hanging="851"/>
        <w:rPr>
          <w:rFonts w:eastAsia="Calibri"/>
          <w:szCs w:val="22"/>
          <w:lang w:val="sk-SK" w:eastAsia="en-US"/>
        </w:rPr>
      </w:pPr>
      <w:r w:rsidRPr="0077393E">
        <w:rPr>
          <w:rFonts w:eastAsia="Calibri"/>
          <w:szCs w:val="22"/>
          <w:lang w:val="sk-SK" w:eastAsia="en-US"/>
        </w:rPr>
        <w:t>(20)</w:t>
      </w:r>
      <w:r w:rsidRPr="0077393E">
        <w:rPr>
          <w:rFonts w:eastAsia="Calibri"/>
          <w:szCs w:val="22"/>
          <w:lang w:val="sk-SK" w:eastAsia="en-US"/>
        </w:rPr>
        <w:tab/>
        <w:t>Keďže ciele tohto nariadenia, a to rýchle riešenie zraniteľností potravinového systému Únie vyplývajúcich z nedávnej krízy na Blízkom východe a pomoc poľnohospodárom, ktorí čelia problémom s likviditou, nie je možné uspokojivo dosiahnuť na úrovni členských štátov, ale z dôvodu prepojení medzi týmto nariadením a inými nástrojmi SPP a spôsobu, akým je uvedené nariadenie neoddeliteľne spojené s dosahovaním kľúčových priorít Únie, ich možno lepšie dosiahnuť na úrovni Únie, môže Únia prijať opatrenia v súlade so zásadou subsidiarity podľa článku 5 Zmluvy o Európskej únii. V súlade so zásadou proporcionality podľa uvedeného článku toto nariadenie neprekračuje rámec nevyhnutný na dosiahnutie týchto cieľov.</w:t>
      </w:r>
    </w:p>
    <w:p w14:paraId="3D72B0D0" w14:textId="77777777" w:rsidR="00BE6341" w:rsidRPr="0077393E" w:rsidRDefault="00BE6341" w:rsidP="00BE6341">
      <w:pPr>
        <w:spacing w:before="120" w:after="120" w:line="360" w:lineRule="auto"/>
        <w:ind w:left="851" w:hanging="851"/>
        <w:rPr>
          <w:rFonts w:eastAsia="Calibri"/>
          <w:szCs w:val="22"/>
          <w:lang w:val="sk-SK" w:eastAsia="en-US"/>
        </w:rPr>
      </w:pPr>
      <w:r w:rsidRPr="0077393E">
        <w:rPr>
          <w:rFonts w:eastAsia="Calibri"/>
          <w:szCs w:val="22"/>
          <w:lang w:val="sk-SK" w:eastAsia="en-US"/>
        </w:rPr>
        <w:t>(21)</w:t>
      </w:r>
      <w:r w:rsidRPr="0077393E">
        <w:rPr>
          <w:rFonts w:eastAsia="Calibri"/>
          <w:szCs w:val="22"/>
          <w:lang w:val="sk-SK" w:eastAsia="en-US"/>
        </w:rPr>
        <w:tab/>
        <w:t>Vzhľadom na naliehavosť potreby umožniť poľnohospodárom prijímať včasné investičné rozhodnutia, a tým minimalizovať riziko poklesu výroby potravín, sa považuje za vhodné uplatniť výnimku z osemtýždňovej lehoty stanovenej v článku 4 Protokolu č. 1 o úlohe národných parlamentov v Európskej únii, ktorý je pripojený k Zmluve o Európskej únii, Zmluve o fungovaní Európskej únie a Zmluve o založení Európskeho spoločenstva pre atómovú energiu.</w:t>
      </w:r>
    </w:p>
    <w:p w14:paraId="73F5E00B" w14:textId="77777777" w:rsidR="00BE6341" w:rsidRPr="0077393E" w:rsidRDefault="00BE6341" w:rsidP="00BE6341">
      <w:pPr>
        <w:spacing w:before="120" w:after="120" w:line="360" w:lineRule="auto"/>
        <w:ind w:left="851" w:hanging="851"/>
        <w:rPr>
          <w:rFonts w:eastAsia="Calibri"/>
          <w:szCs w:val="22"/>
          <w:lang w:val="sk-SK" w:eastAsia="en-US"/>
        </w:rPr>
      </w:pPr>
      <w:r w:rsidRPr="0077393E">
        <w:rPr>
          <w:rFonts w:eastAsia="Calibri"/>
          <w:szCs w:val="22"/>
          <w:lang w:val="sk-SK" w:eastAsia="en-US"/>
        </w:rPr>
        <w:t>(22)</w:t>
      </w:r>
      <w:r w:rsidRPr="0077393E">
        <w:rPr>
          <w:rFonts w:eastAsia="Calibri"/>
          <w:szCs w:val="22"/>
          <w:lang w:val="sk-SK" w:eastAsia="en-US"/>
        </w:rPr>
        <w:tab/>
        <w:t xml:space="preserve">Vzhľadom na potrebu okamžite konať by toto nariadenie malo nadobudnúť účinnosť dňom nasledujúcim po jeho uverejnení v </w:t>
      </w:r>
      <w:r w:rsidRPr="0077393E">
        <w:rPr>
          <w:rFonts w:eastAsia="Calibri"/>
          <w:i/>
          <w:szCs w:val="22"/>
          <w:lang w:val="sk-SK" w:eastAsia="en-US"/>
        </w:rPr>
        <w:t>Úradnom vestníku Európskej únie</w:t>
      </w:r>
      <w:r w:rsidRPr="0077393E">
        <w:rPr>
          <w:rFonts w:eastAsia="Calibri"/>
          <w:szCs w:val="22"/>
          <w:lang w:val="sk-SK" w:eastAsia="en-US"/>
        </w:rPr>
        <w:t>,</w:t>
      </w:r>
    </w:p>
    <w:p w14:paraId="3AA106F3" w14:textId="77777777" w:rsidR="00BE6341" w:rsidRPr="0077393E" w:rsidRDefault="00BE6341" w:rsidP="00BE6341">
      <w:pPr>
        <w:keepNext/>
        <w:spacing w:before="120" w:after="120" w:line="360" w:lineRule="auto"/>
        <w:jc w:val="both"/>
        <w:rPr>
          <w:rFonts w:eastAsia="Calibri"/>
          <w:szCs w:val="22"/>
          <w:lang w:val="sk-SK" w:eastAsia="en-US"/>
        </w:rPr>
      </w:pPr>
      <w:r w:rsidRPr="0077393E">
        <w:rPr>
          <w:rFonts w:eastAsia="Calibri"/>
          <w:szCs w:val="22"/>
          <w:lang w:val="sk-SK" w:eastAsia="en-US"/>
        </w:rPr>
        <w:t>PRIJALI TOTO NARIADENIE:</w:t>
      </w:r>
    </w:p>
    <w:p w14:paraId="4E9462FB" w14:textId="77777777" w:rsidR="00BE6341" w:rsidRPr="0077393E" w:rsidRDefault="00BE6341" w:rsidP="00BE6341">
      <w:pPr>
        <w:spacing w:after="160" w:line="278" w:lineRule="auto"/>
        <w:rPr>
          <w:rFonts w:eastAsia="Calibri"/>
          <w:i/>
          <w:szCs w:val="22"/>
          <w:lang w:val="sk-SK" w:eastAsia="en-US"/>
        </w:rPr>
      </w:pPr>
      <w:r w:rsidRPr="0077393E">
        <w:rPr>
          <w:rFonts w:eastAsia="Calibri"/>
          <w:i/>
          <w:szCs w:val="22"/>
          <w:lang w:val="sk-SK" w:eastAsia="en-US"/>
        </w:rPr>
        <w:br w:type="page"/>
      </w:r>
    </w:p>
    <w:p w14:paraId="2DA614B2" w14:textId="77777777" w:rsidR="00BE6341" w:rsidRPr="0077393E" w:rsidRDefault="00BE6341" w:rsidP="00BE6341">
      <w:pPr>
        <w:keepNext/>
        <w:spacing w:before="360" w:after="120" w:line="360" w:lineRule="auto"/>
        <w:jc w:val="center"/>
        <w:rPr>
          <w:rFonts w:eastAsia="Calibri"/>
          <w:szCs w:val="22"/>
          <w:lang w:val="sk-SK" w:eastAsia="en-US"/>
        </w:rPr>
      </w:pPr>
      <w:r w:rsidRPr="0077393E">
        <w:rPr>
          <w:rFonts w:eastAsia="Calibri"/>
          <w:i/>
          <w:szCs w:val="22"/>
          <w:lang w:val="sk-SK" w:eastAsia="en-US"/>
        </w:rPr>
        <w:lastRenderedPageBreak/>
        <w:t>Článok 1</w:t>
      </w:r>
      <w:r w:rsidRPr="0077393E">
        <w:rPr>
          <w:rFonts w:eastAsia="Calibri"/>
          <w:i/>
          <w:szCs w:val="22"/>
          <w:lang w:val="sk-SK" w:eastAsia="en-US"/>
        </w:rPr>
        <w:br/>
      </w:r>
      <w:r w:rsidRPr="0077393E">
        <w:rPr>
          <w:rFonts w:eastAsia="Calibri"/>
          <w:b/>
          <w:szCs w:val="22"/>
          <w:lang w:val="sk-SK" w:eastAsia="en-US"/>
        </w:rPr>
        <w:t>Zmeny nariadenia (EÚ) 2021/2115</w:t>
      </w:r>
    </w:p>
    <w:p w14:paraId="5774BE83" w14:textId="77777777" w:rsidR="00BE6341" w:rsidRPr="0077393E" w:rsidRDefault="00BE6341" w:rsidP="00BE6341">
      <w:pPr>
        <w:spacing w:before="120" w:after="120" w:line="360" w:lineRule="auto"/>
        <w:rPr>
          <w:rFonts w:eastAsia="Calibri"/>
          <w:szCs w:val="22"/>
          <w:lang w:val="sk-SK" w:eastAsia="en-US"/>
        </w:rPr>
      </w:pPr>
      <w:r w:rsidRPr="0077393E">
        <w:rPr>
          <w:rFonts w:eastAsia="Calibri"/>
          <w:szCs w:val="22"/>
          <w:lang w:val="sk-SK" w:eastAsia="en-US"/>
        </w:rPr>
        <w:t>Nariadenie (EÚ) 2021/2115 sa mení takto:</w:t>
      </w:r>
    </w:p>
    <w:p w14:paraId="34BD9D3A" w14:textId="77777777" w:rsidR="00BE6341" w:rsidRPr="0077393E" w:rsidRDefault="00BE6341" w:rsidP="00BE6341">
      <w:pPr>
        <w:spacing w:before="120" w:after="120" w:line="360" w:lineRule="auto"/>
        <w:ind w:left="851" w:hanging="851"/>
        <w:rPr>
          <w:rFonts w:eastAsia="Calibri"/>
          <w:szCs w:val="22"/>
          <w:lang w:val="sk-SK" w:eastAsia="en-US"/>
        </w:rPr>
      </w:pPr>
      <w:r w:rsidRPr="0077393E">
        <w:rPr>
          <w:rFonts w:eastAsia="Calibri"/>
          <w:szCs w:val="22"/>
          <w:lang w:val="sk-SK" w:eastAsia="en-US"/>
        </w:rPr>
        <w:t>1.</w:t>
      </w:r>
      <w:r w:rsidRPr="0077393E">
        <w:rPr>
          <w:rFonts w:eastAsia="Calibri"/>
          <w:szCs w:val="22"/>
          <w:lang w:val="sk-SK" w:eastAsia="en-US"/>
        </w:rPr>
        <w:tab/>
        <w:t>V článku 69 sa dopĺňa toto písmeno:</w:t>
      </w:r>
    </w:p>
    <w:p w14:paraId="69459AA7" w14:textId="77777777" w:rsidR="00BE6341" w:rsidRPr="0077393E" w:rsidRDefault="00BE6341" w:rsidP="00BE6341">
      <w:pPr>
        <w:spacing w:before="120" w:after="120" w:line="360" w:lineRule="auto"/>
        <w:ind w:left="1418" w:hanging="568"/>
        <w:rPr>
          <w:rFonts w:eastAsia="Calibri"/>
          <w:szCs w:val="22"/>
          <w:lang w:val="sk-SK" w:eastAsia="en-US"/>
        </w:rPr>
      </w:pPr>
      <w:r w:rsidRPr="0077393E">
        <w:rPr>
          <w:rFonts w:eastAsia="Calibri"/>
          <w:szCs w:val="22"/>
          <w:lang w:val="sk-SK" w:eastAsia="en-US"/>
        </w:rPr>
        <w:t>„j)</w:t>
      </w:r>
      <w:r w:rsidRPr="0077393E">
        <w:rPr>
          <w:rFonts w:eastAsia="Calibri"/>
          <w:szCs w:val="22"/>
          <w:lang w:val="sk-SK" w:eastAsia="en-US"/>
        </w:rPr>
        <w:tab/>
        <w:t>podporu pre poľnohospodárov postihnutých prudkým zvýšením cien hnojív v dôsledku krízy na Blízkom východe.“</w:t>
      </w:r>
    </w:p>
    <w:p w14:paraId="2E4AD7AE" w14:textId="77777777" w:rsidR="00BE6341" w:rsidRPr="0077393E" w:rsidRDefault="00BE6341" w:rsidP="00BE6341">
      <w:pPr>
        <w:spacing w:before="120" w:after="120" w:line="360" w:lineRule="auto"/>
        <w:ind w:left="851" w:hanging="851"/>
        <w:rPr>
          <w:rFonts w:eastAsia="Calibri"/>
          <w:szCs w:val="22"/>
          <w:lang w:val="sk-SK" w:eastAsia="en-US"/>
        </w:rPr>
      </w:pPr>
      <w:r w:rsidRPr="0077393E">
        <w:rPr>
          <w:rFonts w:eastAsia="Calibri"/>
          <w:szCs w:val="22"/>
          <w:lang w:val="sk-SK" w:eastAsia="en-US"/>
        </w:rPr>
        <w:t>2.</w:t>
      </w:r>
      <w:r w:rsidRPr="0077393E">
        <w:rPr>
          <w:rFonts w:eastAsia="Calibri"/>
          <w:szCs w:val="22"/>
          <w:lang w:val="sk-SK" w:eastAsia="en-US"/>
        </w:rPr>
        <w:tab/>
        <w:t>V hlave III kapitole IV oddiele 1 sa dopĺňa tento článok:</w:t>
      </w:r>
    </w:p>
    <w:p w14:paraId="0840EDFB" w14:textId="77777777" w:rsidR="00BE6341" w:rsidRPr="0077393E" w:rsidRDefault="00BE6341" w:rsidP="00BE6341">
      <w:pPr>
        <w:spacing w:before="120" w:after="120" w:line="360" w:lineRule="auto"/>
        <w:ind w:left="850"/>
        <w:rPr>
          <w:b/>
          <w:bCs/>
          <w:szCs w:val="22"/>
          <w:lang w:val="sk-SK"/>
        </w:rPr>
      </w:pPr>
      <w:r w:rsidRPr="0077393E">
        <w:rPr>
          <w:rFonts w:eastAsia="Calibri"/>
          <w:i/>
          <w:szCs w:val="22"/>
          <w:lang w:val="sk-SK" w:eastAsia="en-US"/>
        </w:rPr>
        <w:t>„Článok 78b</w:t>
      </w:r>
      <w:r w:rsidRPr="0077393E">
        <w:rPr>
          <w:rFonts w:eastAsia="Calibri"/>
          <w:i/>
          <w:szCs w:val="22"/>
          <w:lang w:val="sk-SK" w:eastAsia="en-US"/>
        </w:rPr>
        <w:br/>
      </w:r>
      <w:r w:rsidRPr="0077393E">
        <w:rPr>
          <w:b/>
          <w:szCs w:val="22"/>
          <w:lang w:val="sk-SK"/>
        </w:rPr>
        <w:t>Podpora pre poľnohospodárov postihnutých prudkým zvýšením cien hnojív v dôsledku krízy na Blízkom východe</w:t>
      </w:r>
    </w:p>
    <w:p w14:paraId="3DF65966" w14:textId="77777777" w:rsidR="00BE6341" w:rsidRPr="0077393E" w:rsidRDefault="00BE6341" w:rsidP="00BE6341">
      <w:pPr>
        <w:spacing w:before="120" w:after="120" w:line="360" w:lineRule="auto"/>
        <w:ind w:left="1418" w:hanging="567"/>
        <w:rPr>
          <w:rFonts w:eastAsia="Calibri"/>
          <w:szCs w:val="22"/>
          <w:lang w:val="sk-SK" w:eastAsia="en-US"/>
        </w:rPr>
      </w:pPr>
      <w:r w:rsidRPr="0077393E">
        <w:rPr>
          <w:rFonts w:eastAsia="Calibri"/>
          <w:szCs w:val="22"/>
          <w:lang w:val="sk-SK" w:eastAsia="en-US"/>
        </w:rPr>
        <w:t>1.</w:t>
      </w:r>
      <w:r w:rsidRPr="0077393E">
        <w:rPr>
          <w:rFonts w:eastAsia="Calibri"/>
          <w:szCs w:val="22"/>
          <w:lang w:val="sk-SK" w:eastAsia="en-US"/>
        </w:rPr>
        <w:tab/>
        <w:t>Členské štáty môžu poskytnúť výnimočnú dočasnú podporu aktívnym poľnohospodárom, ktorí sú postihnutí prudkým zvýšením cien hnojív. Každá takáto poskytnutá podpora podlieha podmienkam stanoveným v tomto článku a podrobnejšie špecifikovaným členskými štátmi v ich strategických plánoch SPP.</w:t>
      </w:r>
    </w:p>
    <w:p w14:paraId="2ED08622" w14:textId="77777777" w:rsidR="00BE6341" w:rsidRPr="0077393E" w:rsidRDefault="00BE6341" w:rsidP="00BE6341">
      <w:pPr>
        <w:spacing w:before="120" w:after="120" w:line="360" w:lineRule="auto"/>
        <w:ind w:left="1418" w:hanging="567"/>
        <w:rPr>
          <w:rFonts w:eastAsia="Calibri"/>
          <w:szCs w:val="22"/>
          <w:lang w:val="sk-SK" w:eastAsia="en-US"/>
        </w:rPr>
      </w:pPr>
      <w:r w:rsidRPr="0077393E">
        <w:rPr>
          <w:rFonts w:eastAsia="Calibri"/>
          <w:szCs w:val="22"/>
          <w:lang w:val="sk-SK" w:eastAsia="en-US"/>
        </w:rPr>
        <w:t>2.</w:t>
      </w:r>
      <w:r w:rsidRPr="0077393E">
        <w:rPr>
          <w:rFonts w:eastAsia="Calibri"/>
          <w:szCs w:val="22"/>
          <w:lang w:val="sk-SK" w:eastAsia="en-US"/>
        </w:rPr>
        <w:tab/>
        <w:t xml:space="preserve">Členské štáty zabezpečia, aby sa podpora podľa tohto článku zameriavala na tých poľnohospodárov, ktorí sú najviac postihnutí prudkým zvýšením cien hnojív. Urobia tak stanovením podmienok oprávnenosti na základe dostupných dôkazov. </w:t>
      </w:r>
    </w:p>
    <w:p w14:paraId="10B6854B" w14:textId="77777777" w:rsidR="00BE6341" w:rsidRPr="0077393E" w:rsidRDefault="00BE6341" w:rsidP="00BE6341">
      <w:pPr>
        <w:spacing w:after="160" w:line="278" w:lineRule="auto"/>
        <w:rPr>
          <w:rFonts w:eastAsia="Calibri"/>
          <w:szCs w:val="22"/>
          <w:lang w:val="sk-SK" w:eastAsia="en-US"/>
        </w:rPr>
      </w:pPr>
      <w:r w:rsidRPr="0077393E">
        <w:rPr>
          <w:rFonts w:eastAsia="Calibri"/>
          <w:szCs w:val="22"/>
          <w:lang w:val="sk-SK" w:eastAsia="en-US"/>
        </w:rPr>
        <w:br w:type="page"/>
      </w:r>
    </w:p>
    <w:p w14:paraId="452457E7" w14:textId="77777777" w:rsidR="00BE6341" w:rsidRPr="0077393E" w:rsidRDefault="00BE6341" w:rsidP="00BE6341">
      <w:pPr>
        <w:spacing w:before="120" w:after="120" w:line="360" w:lineRule="auto"/>
        <w:ind w:left="1418" w:hanging="567"/>
        <w:rPr>
          <w:rFonts w:eastAsia="Calibri"/>
          <w:szCs w:val="22"/>
          <w:lang w:val="sk-SK" w:eastAsia="en-US"/>
        </w:rPr>
      </w:pPr>
      <w:r w:rsidRPr="0077393E">
        <w:rPr>
          <w:rFonts w:eastAsia="Calibri"/>
          <w:szCs w:val="22"/>
          <w:lang w:val="sk-SK" w:eastAsia="en-US"/>
        </w:rPr>
        <w:lastRenderedPageBreak/>
        <w:t>3.</w:t>
      </w:r>
      <w:r w:rsidRPr="0077393E">
        <w:rPr>
          <w:rFonts w:eastAsia="Calibri"/>
          <w:szCs w:val="22"/>
          <w:lang w:val="sk-SK" w:eastAsia="en-US"/>
        </w:rPr>
        <w:tab/>
        <w:t xml:space="preserve">Podpora podľa tohto článku pokrýva časť dodatočných nákladov na hnojivá spôsobené vývojom na trhu v dôsledku krízy na Blízkom východe v období začínajúcom 1. marca 2026. Dodatočné náklady sa vypočítajú ako rozdiel medzi reprezentatívnou cenou hnojív a referenčnou cenou hnojív. Členské štáty na základe primeraných predpokladov vymedzia referenčnú cenu založenú na priemernej cene hnojív počas najmenej troch po sebe nasledujúcich mesiacov v období od 1. januára 2025 do 28. februára 2026, a reprezentatívnu cenu založenú na cene hnojív počas obdobia vymedzeného členským štátom, ktoré sa nesmie začať pred 1. marcom 2026. Podpora podľa tohto článku bude poskytnutá vo forme jednotkových nákladov na hektár vypočítaných na základe priemernej ročnej spotreby hnojív na plochu, rozlíšenej podľa sektorov alebo výrobných systémov. Alternatívne môžu členské štáty založiť podporu podľa tohto článku na skutočných nákladoch každého prijímateľa, pričom použijú rovnakú referenčnú cenu, ako sa opisuje v tomto odseku. </w:t>
      </w:r>
    </w:p>
    <w:p w14:paraId="1E4D019A" w14:textId="77777777" w:rsidR="00BE6341" w:rsidRPr="0077393E" w:rsidRDefault="00BE6341" w:rsidP="00BE6341">
      <w:pPr>
        <w:spacing w:before="120" w:after="120" w:line="360" w:lineRule="auto"/>
        <w:ind w:left="1418" w:hanging="567"/>
        <w:rPr>
          <w:rFonts w:eastAsia="Calibri"/>
          <w:szCs w:val="22"/>
          <w:lang w:val="sk-SK" w:eastAsia="en-US"/>
        </w:rPr>
      </w:pPr>
      <w:r w:rsidRPr="0077393E">
        <w:rPr>
          <w:rFonts w:eastAsia="Calibri"/>
          <w:szCs w:val="22"/>
          <w:lang w:val="sk-SK" w:eastAsia="en-US"/>
        </w:rPr>
        <w:t>4.</w:t>
      </w:r>
      <w:r w:rsidRPr="0077393E">
        <w:rPr>
          <w:rFonts w:eastAsia="Calibri"/>
          <w:szCs w:val="22"/>
          <w:lang w:val="sk-SK" w:eastAsia="en-US"/>
        </w:rPr>
        <w:tab/>
        <w:t>Členské štáty stanovia uplatniteľné miery podpory na pokrytie až 50 % dodatočných nákladov na hnojivá. Tieto miery sa môžu zvýšiť najviac na 80 % v prípade poľnohospodárov, na ktorých sa vzťahujú záväzky uvedené v článkoch 31 a 70, alebo požiadavky uvedené v článku 72 na zníženie používania hnojív. Na finančné nástroje vo forme samostatného prevádzkového kapitálu sa uplatňuje článok 80 ods. 4.</w:t>
      </w:r>
    </w:p>
    <w:p w14:paraId="0B432BC4" w14:textId="77777777" w:rsidR="00BE6341" w:rsidRPr="0077393E" w:rsidRDefault="00BE6341" w:rsidP="00BE6341">
      <w:pPr>
        <w:spacing w:after="160" w:line="278" w:lineRule="auto"/>
        <w:rPr>
          <w:rFonts w:eastAsia="Calibri"/>
          <w:szCs w:val="22"/>
          <w:lang w:val="sk-SK" w:eastAsia="en-US"/>
        </w:rPr>
      </w:pPr>
      <w:r w:rsidRPr="0077393E">
        <w:rPr>
          <w:rFonts w:eastAsia="Calibri"/>
          <w:szCs w:val="22"/>
          <w:lang w:val="sk-SK" w:eastAsia="en-US"/>
        </w:rPr>
        <w:br w:type="page"/>
      </w:r>
    </w:p>
    <w:p w14:paraId="2AF2C83C" w14:textId="77777777" w:rsidR="00BE6341" w:rsidRPr="0077393E" w:rsidRDefault="00BE6341" w:rsidP="00BE6341">
      <w:pPr>
        <w:spacing w:before="120" w:after="120" w:line="360" w:lineRule="auto"/>
        <w:ind w:left="1418" w:hanging="567"/>
        <w:rPr>
          <w:rFonts w:eastAsia="Calibri"/>
          <w:szCs w:val="22"/>
          <w:lang w:val="sk-SK" w:eastAsia="en-US"/>
        </w:rPr>
      </w:pPr>
      <w:r w:rsidRPr="0077393E">
        <w:rPr>
          <w:rFonts w:eastAsia="Calibri"/>
          <w:szCs w:val="22"/>
          <w:lang w:val="sk-SK" w:eastAsia="en-US"/>
        </w:rPr>
        <w:lastRenderedPageBreak/>
        <w:t>5.</w:t>
      </w:r>
      <w:r w:rsidRPr="0077393E">
        <w:rPr>
          <w:rFonts w:eastAsia="Calibri"/>
          <w:szCs w:val="22"/>
          <w:lang w:val="sk-SK" w:eastAsia="en-US"/>
        </w:rPr>
        <w:tab/>
        <w:t xml:space="preserve">Členské štáty stanovia maximálnu výšku podpory na prijímateľa alebo maximálny počet hektárov, na ktoré možno podporu získať na prijímateľa. </w:t>
      </w:r>
    </w:p>
    <w:p w14:paraId="3EF86AF5" w14:textId="77777777" w:rsidR="00BE6341" w:rsidRPr="0077393E" w:rsidRDefault="00BE6341" w:rsidP="00BE6341">
      <w:pPr>
        <w:spacing w:before="120" w:after="120" w:line="360" w:lineRule="auto"/>
        <w:ind w:left="1418" w:hanging="567"/>
        <w:rPr>
          <w:rFonts w:eastAsia="Calibri"/>
          <w:szCs w:val="22"/>
          <w:lang w:val="sk-SK" w:eastAsia="en-US"/>
        </w:rPr>
      </w:pPr>
      <w:r w:rsidRPr="0077393E">
        <w:rPr>
          <w:rFonts w:eastAsia="Calibri"/>
          <w:szCs w:val="22"/>
          <w:lang w:val="sk-SK" w:eastAsia="en-US"/>
        </w:rPr>
        <w:t>6.</w:t>
      </w:r>
      <w:r w:rsidRPr="0077393E">
        <w:rPr>
          <w:rFonts w:eastAsia="Calibri"/>
          <w:szCs w:val="22"/>
          <w:lang w:val="sk-SK" w:eastAsia="en-US"/>
        </w:rPr>
        <w:tab/>
        <w:t xml:space="preserve">Podpora podľa tohto článku sa poľnohospodárovi vyplatí do 30. júna 2027. </w:t>
      </w:r>
    </w:p>
    <w:p w14:paraId="5B2C0594" w14:textId="77777777" w:rsidR="00BE6341" w:rsidRPr="0077393E" w:rsidRDefault="00BE6341" w:rsidP="00BE6341">
      <w:pPr>
        <w:spacing w:before="120" w:after="120" w:line="360" w:lineRule="auto"/>
        <w:ind w:left="1418" w:hanging="567"/>
        <w:rPr>
          <w:rFonts w:eastAsia="Calibri"/>
          <w:szCs w:val="22"/>
          <w:lang w:val="sk-SK" w:eastAsia="en-US"/>
        </w:rPr>
      </w:pPr>
      <w:r w:rsidRPr="0077393E">
        <w:rPr>
          <w:rFonts w:eastAsia="Calibri"/>
          <w:szCs w:val="22"/>
          <w:lang w:val="sk-SK" w:eastAsia="en-US"/>
        </w:rPr>
        <w:t>7.</w:t>
      </w:r>
      <w:r w:rsidRPr="0077393E">
        <w:rPr>
          <w:rFonts w:eastAsia="Calibri"/>
          <w:szCs w:val="22"/>
          <w:lang w:val="sk-SK" w:eastAsia="en-US"/>
        </w:rPr>
        <w:tab/>
        <w:t>Členské štáty zabezpečia, aby poľnohospodári, ktorí dostávajú podporu podľa tohto článku, mali prístup k príslušným poznatkom a informáciám, ktoré im umožnia optimalizovať udržateľné používanie hnojív.</w:t>
      </w:r>
    </w:p>
    <w:p w14:paraId="42DEF108" w14:textId="77777777" w:rsidR="00BE6341" w:rsidRPr="0077393E" w:rsidRDefault="00BE6341" w:rsidP="00BE6341">
      <w:pPr>
        <w:spacing w:before="120" w:after="120" w:line="360" w:lineRule="auto"/>
        <w:ind w:left="1418" w:hanging="567"/>
        <w:rPr>
          <w:rFonts w:eastAsia="Calibri"/>
          <w:szCs w:val="22"/>
          <w:lang w:val="sk-SK" w:eastAsia="en-US"/>
        </w:rPr>
      </w:pPr>
      <w:r w:rsidRPr="0077393E">
        <w:rPr>
          <w:rFonts w:eastAsia="Calibri"/>
          <w:szCs w:val="22"/>
          <w:lang w:val="sk-SK" w:eastAsia="en-US"/>
        </w:rPr>
        <w:t>8.</w:t>
      </w:r>
      <w:r w:rsidRPr="0077393E">
        <w:rPr>
          <w:rFonts w:eastAsia="Calibri"/>
          <w:szCs w:val="22"/>
          <w:lang w:val="sk-SK" w:eastAsia="en-US"/>
        </w:rPr>
        <w:tab/>
        <w:t xml:space="preserve">Pri poskytovaní podpory podľa tohto článku členské štáty zabezpečia, aby sa zabránilo nadmernej kompenzácii v dôsledku kombinácie intervencie podľa tohto článku s inými vnútroštátnymi alebo </w:t>
      </w:r>
      <w:proofErr w:type="spellStart"/>
      <w:r w:rsidRPr="0077393E">
        <w:rPr>
          <w:rFonts w:eastAsia="Calibri"/>
          <w:szCs w:val="22"/>
          <w:lang w:val="sk-SK" w:eastAsia="en-US"/>
        </w:rPr>
        <w:t>únijnými</w:t>
      </w:r>
      <w:proofErr w:type="spellEnd"/>
      <w:r w:rsidRPr="0077393E">
        <w:rPr>
          <w:rFonts w:eastAsia="Calibri"/>
          <w:szCs w:val="22"/>
          <w:lang w:val="sk-SK" w:eastAsia="en-US"/>
        </w:rPr>
        <w:t xml:space="preserve"> nástrojmi podpory.“</w:t>
      </w:r>
    </w:p>
    <w:p w14:paraId="7DD199D1" w14:textId="77777777" w:rsidR="00BE6341" w:rsidRPr="0077393E" w:rsidRDefault="00BE6341" w:rsidP="00BE6341">
      <w:pPr>
        <w:spacing w:after="160" w:line="278" w:lineRule="auto"/>
        <w:rPr>
          <w:rFonts w:eastAsia="Calibri"/>
          <w:szCs w:val="22"/>
          <w:lang w:val="sk-SK" w:eastAsia="en-US"/>
        </w:rPr>
      </w:pPr>
      <w:r w:rsidRPr="0077393E">
        <w:rPr>
          <w:rFonts w:eastAsia="Calibri"/>
          <w:szCs w:val="22"/>
          <w:lang w:val="sk-SK" w:eastAsia="en-US"/>
        </w:rPr>
        <w:br w:type="page"/>
      </w:r>
    </w:p>
    <w:p w14:paraId="6D06E5ED" w14:textId="77777777" w:rsidR="00BE6341" w:rsidRPr="0077393E" w:rsidRDefault="00BE6341" w:rsidP="00BE6341">
      <w:pPr>
        <w:spacing w:before="120" w:after="120" w:line="360" w:lineRule="auto"/>
        <w:ind w:left="851" w:hanging="851"/>
        <w:jc w:val="both"/>
        <w:rPr>
          <w:rFonts w:eastAsia="Calibri"/>
          <w:szCs w:val="22"/>
          <w:lang w:val="sk-SK" w:eastAsia="en-US"/>
        </w:rPr>
      </w:pPr>
      <w:r w:rsidRPr="0077393E">
        <w:rPr>
          <w:rFonts w:eastAsia="Calibri"/>
          <w:szCs w:val="22"/>
          <w:lang w:val="sk-SK" w:eastAsia="en-US"/>
        </w:rPr>
        <w:lastRenderedPageBreak/>
        <w:t>3.</w:t>
      </w:r>
      <w:r w:rsidRPr="0077393E">
        <w:rPr>
          <w:rFonts w:eastAsia="Calibri"/>
          <w:szCs w:val="22"/>
          <w:lang w:val="sk-SK" w:eastAsia="en-US"/>
        </w:rPr>
        <w:tab/>
        <w:t>Článok 80 sa mení takto:</w:t>
      </w:r>
    </w:p>
    <w:p w14:paraId="3CAFB0CE" w14:textId="77777777" w:rsidR="00BE6341" w:rsidRPr="0077393E" w:rsidRDefault="00BE6341" w:rsidP="00BE6341">
      <w:pPr>
        <w:spacing w:before="120" w:after="120" w:line="360" w:lineRule="auto"/>
        <w:ind w:left="1418" w:hanging="568"/>
        <w:jc w:val="both"/>
        <w:rPr>
          <w:rFonts w:eastAsia="Calibri"/>
          <w:szCs w:val="22"/>
          <w:lang w:val="sk-SK" w:eastAsia="en-US"/>
        </w:rPr>
      </w:pPr>
      <w:r w:rsidRPr="0077393E">
        <w:rPr>
          <w:rFonts w:eastAsia="Calibri"/>
          <w:szCs w:val="22"/>
          <w:lang w:val="sk-SK" w:eastAsia="en-US"/>
        </w:rPr>
        <w:t>a)</w:t>
      </w:r>
      <w:r w:rsidRPr="0077393E">
        <w:rPr>
          <w:rFonts w:eastAsia="Calibri"/>
          <w:szCs w:val="22"/>
          <w:lang w:val="sk-SK" w:eastAsia="en-US"/>
        </w:rPr>
        <w:tab/>
        <w:t>odsek 1 sa nahrádza takto:</w:t>
      </w:r>
    </w:p>
    <w:p w14:paraId="3B1EA47B" w14:textId="77777777" w:rsidR="00BE6341" w:rsidRPr="0077393E" w:rsidRDefault="00BE6341" w:rsidP="00BE6341">
      <w:pPr>
        <w:spacing w:before="120" w:after="120" w:line="360" w:lineRule="auto"/>
        <w:ind w:left="1985" w:hanging="567"/>
        <w:rPr>
          <w:rFonts w:eastAsia="Calibri"/>
          <w:szCs w:val="22"/>
          <w:lang w:val="sk-SK" w:eastAsia="en-US"/>
        </w:rPr>
      </w:pPr>
      <w:r w:rsidRPr="0077393E">
        <w:rPr>
          <w:rFonts w:eastAsia="Calibri"/>
          <w:szCs w:val="22"/>
          <w:lang w:val="sk-SK" w:eastAsia="en-US"/>
        </w:rPr>
        <w:t>„1.</w:t>
      </w:r>
      <w:r w:rsidRPr="0077393E">
        <w:rPr>
          <w:rFonts w:eastAsia="Calibri"/>
          <w:szCs w:val="22"/>
          <w:lang w:val="sk-SK" w:eastAsia="en-US"/>
        </w:rPr>
        <w:tab/>
        <w:t xml:space="preserve">Podpora vo forme finančných nástrojov, ako sa uvádza v článku 58 nariadenia (EÚ) 2021/1060, sa môže poskytovať v rámci typov intervencií uvedených v článkoch 73 až 78 a článku 78b tohto nariadenia.“; </w:t>
      </w:r>
    </w:p>
    <w:p w14:paraId="2198CDC4" w14:textId="77777777" w:rsidR="00BE6341" w:rsidRPr="0077393E" w:rsidRDefault="00BE6341" w:rsidP="00BE6341">
      <w:pPr>
        <w:spacing w:before="120" w:after="120" w:line="360" w:lineRule="auto"/>
        <w:ind w:left="1418" w:hanging="568"/>
        <w:jc w:val="both"/>
        <w:rPr>
          <w:rFonts w:eastAsia="Calibri"/>
          <w:szCs w:val="22"/>
          <w:lang w:val="sk-SK" w:eastAsia="en-US"/>
        </w:rPr>
      </w:pPr>
      <w:r w:rsidRPr="0077393E">
        <w:rPr>
          <w:rFonts w:eastAsia="Calibri"/>
          <w:szCs w:val="22"/>
          <w:lang w:val="sk-SK" w:eastAsia="en-US"/>
        </w:rPr>
        <w:t>b)</w:t>
      </w:r>
      <w:r w:rsidRPr="0077393E">
        <w:rPr>
          <w:rFonts w:eastAsia="Calibri"/>
          <w:szCs w:val="22"/>
          <w:lang w:val="sk-SK" w:eastAsia="en-US"/>
        </w:rPr>
        <w:tab/>
        <w:t xml:space="preserve">v odseku 3 sa prvý </w:t>
      </w:r>
      <w:proofErr w:type="spellStart"/>
      <w:r w:rsidRPr="0077393E">
        <w:rPr>
          <w:rFonts w:eastAsia="Calibri"/>
          <w:szCs w:val="22"/>
          <w:lang w:val="sk-SK" w:eastAsia="en-US"/>
        </w:rPr>
        <w:t>pododsek</w:t>
      </w:r>
      <w:proofErr w:type="spellEnd"/>
      <w:r w:rsidRPr="0077393E">
        <w:rPr>
          <w:rFonts w:eastAsia="Calibri"/>
          <w:szCs w:val="22"/>
          <w:lang w:val="sk-SK" w:eastAsia="en-US"/>
        </w:rPr>
        <w:t xml:space="preserve"> nahrádza takto:</w:t>
      </w:r>
    </w:p>
    <w:p w14:paraId="7E1A8BD3" w14:textId="77777777" w:rsidR="00BE6341" w:rsidRPr="0077393E" w:rsidRDefault="00BE6341" w:rsidP="00BE6341">
      <w:pPr>
        <w:spacing w:before="120" w:after="120" w:line="360" w:lineRule="auto"/>
        <w:ind w:left="1985" w:hanging="567"/>
        <w:rPr>
          <w:szCs w:val="22"/>
          <w:lang w:val="sk-SK" w:eastAsia="en-US"/>
        </w:rPr>
      </w:pPr>
      <w:r w:rsidRPr="0077393E">
        <w:rPr>
          <w:rFonts w:eastAsia="Calibri"/>
          <w:szCs w:val="22"/>
          <w:lang w:val="sk-SK" w:eastAsia="en-US"/>
        </w:rPr>
        <w:t>„3.</w:t>
      </w:r>
      <w:r w:rsidRPr="0077393E">
        <w:rPr>
          <w:rFonts w:eastAsia="Calibri"/>
          <w:szCs w:val="22"/>
          <w:lang w:val="sk-SK" w:eastAsia="en-US"/>
        </w:rPr>
        <w:tab/>
        <w:t xml:space="preserve">V súlade s článkom 58 ods. 2 nariadenia (EÚ) 2021/1060 môže byť prevádzkový kapitál vrátane samostatného prevádzkového kapitálu oprávneným výdavkom podľa článkov 73, 74, 76, 77, 78 a 78b tohto nariadenia, ak prispieva k dosiahnutiu aspoň jedného špecifického cieľa relevantného pre danú intervenciu. Podpora samostatného financovania prevádzkového kapitálu podľa ktoréhokoľvek z uvedených článkov sa môže poskytovať bez toho, aby podliehala požiadavke, aby konečný príjemca dostával podporu na iné výdavky podľa toho istého článku.“; </w:t>
      </w:r>
    </w:p>
    <w:p w14:paraId="5B73239F" w14:textId="07C2BAFA" w:rsidR="00BE6341" w:rsidRPr="0077393E" w:rsidRDefault="00BE6341" w:rsidP="00BE6341">
      <w:pPr>
        <w:spacing w:before="120" w:after="120" w:line="360" w:lineRule="auto"/>
        <w:ind w:left="1418" w:hanging="568"/>
        <w:jc w:val="both"/>
        <w:rPr>
          <w:rFonts w:eastAsia="Calibri"/>
          <w:szCs w:val="22"/>
          <w:lang w:val="sk-SK" w:eastAsia="en-US"/>
        </w:rPr>
      </w:pPr>
      <w:r w:rsidRPr="0077393E">
        <w:rPr>
          <w:rFonts w:eastAsia="Calibri"/>
          <w:szCs w:val="22"/>
          <w:lang w:val="sk-SK" w:eastAsia="en-US"/>
        </w:rPr>
        <w:t>c)</w:t>
      </w:r>
      <w:r w:rsidRPr="0077393E">
        <w:rPr>
          <w:rFonts w:eastAsia="Calibri"/>
          <w:szCs w:val="22"/>
          <w:lang w:val="sk-SK" w:eastAsia="en-US"/>
        </w:rPr>
        <w:tab/>
        <w:t>odsek 4 sa nahrádza takto:</w:t>
      </w:r>
    </w:p>
    <w:p w14:paraId="6B2A8245" w14:textId="77777777" w:rsidR="00BE6341" w:rsidRPr="0077393E" w:rsidRDefault="00BE6341" w:rsidP="00BE6341">
      <w:pPr>
        <w:spacing w:before="120" w:after="120" w:line="360" w:lineRule="auto"/>
        <w:ind w:left="1985" w:hanging="567"/>
        <w:rPr>
          <w:rFonts w:eastAsia="Calibri"/>
          <w:szCs w:val="22"/>
          <w:lang w:val="sk-SK" w:eastAsia="en-US"/>
        </w:rPr>
      </w:pPr>
      <w:r w:rsidRPr="0077393E">
        <w:rPr>
          <w:rFonts w:eastAsia="Calibri"/>
          <w:szCs w:val="22"/>
          <w:lang w:val="sk-SK" w:eastAsia="en-US"/>
        </w:rPr>
        <w:t>„4.</w:t>
      </w:r>
      <w:r w:rsidRPr="0077393E">
        <w:rPr>
          <w:rFonts w:eastAsia="Calibri"/>
          <w:szCs w:val="22"/>
          <w:lang w:val="sk-SK" w:eastAsia="en-US"/>
        </w:rPr>
        <w:tab/>
        <w:t>Odchylne od článkov 73, 74, 76, 77, 78 a 78b sa miery podpory stanovené v uvedených článkoch neuplatňujú na financovanie samostatného prevádzkového kapitálu.“</w:t>
      </w:r>
    </w:p>
    <w:p w14:paraId="58D48667" w14:textId="77777777" w:rsidR="00BE6341" w:rsidRPr="0077393E" w:rsidRDefault="00BE6341" w:rsidP="00BE6341">
      <w:pPr>
        <w:spacing w:after="160" w:line="278" w:lineRule="auto"/>
        <w:rPr>
          <w:rFonts w:eastAsia="Calibri"/>
          <w:szCs w:val="22"/>
          <w:lang w:val="sk-SK" w:eastAsia="en-US"/>
        </w:rPr>
      </w:pPr>
      <w:r w:rsidRPr="0077393E">
        <w:rPr>
          <w:rFonts w:eastAsia="Calibri"/>
          <w:szCs w:val="22"/>
          <w:lang w:val="sk-SK" w:eastAsia="en-US"/>
        </w:rPr>
        <w:br w:type="page"/>
      </w:r>
    </w:p>
    <w:p w14:paraId="6C3508A3" w14:textId="77777777" w:rsidR="00BE6341" w:rsidRPr="0077393E" w:rsidRDefault="00BE6341" w:rsidP="00BE6341">
      <w:pPr>
        <w:spacing w:before="120" w:after="120" w:line="360" w:lineRule="auto"/>
        <w:ind w:left="851" w:hanging="851"/>
        <w:jc w:val="both"/>
        <w:rPr>
          <w:rFonts w:eastAsia="Calibri"/>
          <w:szCs w:val="22"/>
          <w:lang w:val="sk-SK" w:eastAsia="en-US"/>
        </w:rPr>
      </w:pPr>
      <w:r w:rsidRPr="0077393E">
        <w:rPr>
          <w:rFonts w:eastAsia="Calibri"/>
          <w:szCs w:val="22"/>
          <w:lang w:val="sk-SK" w:eastAsia="en-US"/>
        </w:rPr>
        <w:lastRenderedPageBreak/>
        <w:t>4.</w:t>
      </w:r>
      <w:r w:rsidRPr="0077393E">
        <w:rPr>
          <w:rFonts w:eastAsia="Calibri"/>
          <w:szCs w:val="22"/>
          <w:lang w:val="sk-SK" w:eastAsia="en-US"/>
        </w:rPr>
        <w:tab/>
        <w:t xml:space="preserve">V článku 86 ods. 3 sa dopĺňa tento </w:t>
      </w:r>
      <w:proofErr w:type="spellStart"/>
      <w:r w:rsidRPr="0077393E">
        <w:rPr>
          <w:rFonts w:eastAsia="Calibri"/>
          <w:szCs w:val="22"/>
          <w:lang w:val="sk-SK" w:eastAsia="en-US"/>
        </w:rPr>
        <w:t>pododsek</w:t>
      </w:r>
      <w:proofErr w:type="spellEnd"/>
      <w:r w:rsidRPr="0077393E">
        <w:rPr>
          <w:rFonts w:eastAsia="Calibri"/>
          <w:szCs w:val="22"/>
          <w:lang w:val="sk-SK" w:eastAsia="en-US"/>
        </w:rPr>
        <w:t>:</w:t>
      </w:r>
    </w:p>
    <w:p w14:paraId="499952A5" w14:textId="77777777" w:rsidR="00BE6341" w:rsidRPr="0077393E" w:rsidRDefault="00BE6341" w:rsidP="00BE6341">
      <w:pPr>
        <w:spacing w:before="120" w:after="120" w:line="360" w:lineRule="auto"/>
        <w:ind w:left="850"/>
        <w:rPr>
          <w:rFonts w:eastAsia="Calibri"/>
          <w:szCs w:val="22"/>
          <w:lang w:val="sk-SK" w:eastAsia="en-US"/>
        </w:rPr>
      </w:pPr>
      <w:r w:rsidRPr="0077393E">
        <w:rPr>
          <w:rFonts w:eastAsia="Calibri"/>
          <w:szCs w:val="22"/>
          <w:lang w:val="sk-SK" w:eastAsia="en-US"/>
        </w:rPr>
        <w:t xml:space="preserve">„Odchylne od prvého </w:t>
      </w:r>
      <w:proofErr w:type="spellStart"/>
      <w:r w:rsidRPr="0077393E">
        <w:rPr>
          <w:rFonts w:eastAsia="Calibri"/>
          <w:szCs w:val="22"/>
          <w:lang w:val="sk-SK" w:eastAsia="en-US"/>
        </w:rPr>
        <w:t>pododseku</w:t>
      </w:r>
      <w:proofErr w:type="spellEnd"/>
      <w:r w:rsidRPr="0077393E">
        <w:rPr>
          <w:rFonts w:eastAsia="Calibri"/>
          <w:szCs w:val="22"/>
          <w:lang w:val="sk-SK" w:eastAsia="en-US"/>
        </w:rPr>
        <w:t xml:space="preserve"> tohto odseku sa môže v strategickom pláne SPP stanoviť, že v prípadoch typu intervencie podľa článku 78b oprávnenosť výdavkov financovaných z EPFRV súvisiacich so zmenami strategického plánu SPP môže začať pred dátumom podania žiadosti o zmenu Komisii, ale nie pred ... [dátum nadobudnutia účinnosti tohto pozmeňujúceho nariadenia].“</w:t>
      </w:r>
    </w:p>
    <w:p w14:paraId="1A04607B" w14:textId="77777777" w:rsidR="00BE6341" w:rsidRPr="0077393E" w:rsidRDefault="00BE6341" w:rsidP="00BE6341">
      <w:pPr>
        <w:spacing w:before="120" w:after="120" w:line="360" w:lineRule="auto"/>
        <w:ind w:left="851" w:hanging="851"/>
        <w:jc w:val="both"/>
        <w:rPr>
          <w:rFonts w:eastAsia="Calibri"/>
          <w:szCs w:val="22"/>
          <w:lang w:val="sk-SK" w:eastAsia="en-US"/>
        </w:rPr>
      </w:pPr>
      <w:r w:rsidRPr="0077393E">
        <w:rPr>
          <w:rFonts w:eastAsia="Calibri"/>
          <w:szCs w:val="22"/>
          <w:lang w:val="sk-SK" w:eastAsia="en-US"/>
        </w:rPr>
        <w:t>5.</w:t>
      </w:r>
      <w:r w:rsidRPr="0077393E">
        <w:rPr>
          <w:rFonts w:eastAsia="Calibri"/>
          <w:szCs w:val="22"/>
          <w:lang w:val="sk-SK" w:eastAsia="en-US"/>
        </w:rPr>
        <w:tab/>
        <w:t xml:space="preserve">V článku 87 ods. 2 sa prvý </w:t>
      </w:r>
      <w:proofErr w:type="spellStart"/>
      <w:r w:rsidRPr="0077393E">
        <w:rPr>
          <w:rFonts w:eastAsia="Calibri"/>
          <w:szCs w:val="22"/>
          <w:lang w:val="sk-SK" w:eastAsia="en-US"/>
        </w:rPr>
        <w:t>pododsek</w:t>
      </w:r>
      <w:proofErr w:type="spellEnd"/>
      <w:r w:rsidRPr="0077393E">
        <w:rPr>
          <w:rFonts w:eastAsia="Calibri"/>
          <w:szCs w:val="22"/>
          <w:lang w:val="sk-SK" w:eastAsia="en-US"/>
        </w:rPr>
        <w:t xml:space="preserve"> nahrádza takto: </w:t>
      </w:r>
    </w:p>
    <w:p w14:paraId="34F60EAC" w14:textId="77777777" w:rsidR="00BE6341" w:rsidRPr="0077393E" w:rsidRDefault="00BE6341" w:rsidP="00BE6341">
      <w:pPr>
        <w:spacing w:before="120" w:after="120" w:line="360" w:lineRule="auto"/>
        <w:ind w:left="1418" w:hanging="568"/>
        <w:rPr>
          <w:rFonts w:eastAsia="Calibri"/>
          <w:szCs w:val="22"/>
          <w:lang w:val="sk-SK" w:eastAsia="en-US"/>
        </w:rPr>
      </w:pPr>
      <w:r w:rsidRPr="0077393E">
        <w:rPr>
          <w:rFonts w:eastAsia="Calibri"/>
          <w:szCs w:val="22"/>
          <w:lang w:val="sk-SK" w:eastAsia="en-US"/>
        </w:rPr>
        <w:t>„2.</w:t>
      </w:r>
      <w:r w:rsidRPr="0077393E">
        <w:rPr>
          <w:rFonts w:eastAsia="Calibri"/>
          <w:szCs w:val="22"/>
          <w:lang w:val="sk-SK" w:eastAsia="en-US"/>
        </w:rPr>
        <w:tab/>
        <w:t>Komisia je splnomocnená prijímať delegované akty v súlade s článkom 152, ktorými sa menia alokácie členských štátov stanovené v prílohách V a IX, s cieľom zohľadniť vývoj v súvislosti s celkovou maximálnou sumou priamych platieb, ktorú je možné poskytnúť, vrátane prevodov uvedených v článkoch 17 a 103, úpravy alokácie na priame platby uvedenej v článku 103a, prevodov finančných alokácií uvedených v článku 88 ods. 5 a akýchkoľvek odpočítaní potrebných na financovanie typov intervencií v iných sektoroch uvedených v článku 88 ods. 6.“</w:t>
      </w:r>
    </w:p>
    <w:p w14:paraId="5E9DBAF8" w14:textId="77777777" w:rsidR="00BE6341" w:rsidRPr="0077393E" w:rsidRDefault="00BE6341" w:rsidP="00BE6341">
      <w:pPr>
        <w:spacing w:after="160" w:line="278" w:lineRule="auto"/>
        <w:rPr>
          <w:rFonts w:eastAsia="Calibri"/>
          <w:szCs w:val="22"/>
          <w:lang w:val="sk-SK" w:eastAsia="en-US"/>
        </w:rPr>
      </w:pPr>
      <w:r w:rsidRPr="0077393E">
        <w:rPr>
          <w:rFonts w:eastAsia="Calibri"/>
          <w:szCs w:val="22"/>
          <w:lang w:val="sk-SK" w:eastAsia="en-US"/>
        </w:rPr>
        <w:br w:type="page"/>
      </w:r>
    </w:p>
    <w:p w14:paraId="641A97CE" w14:textId="77777777" w:rsidR="00BE6341" w:rsidRPr="0077393E" w:rsidRDefault="00BE6341" w:rsidP="00BE6341">
      <w:pPr>
        <w:spacing w:before="120" w:after="120" w:line="360" w:lineRule="auto"/>
        <w:ind w:left="851" w:hanging="851"/>
        <w:jc w:val="both"/>
        <w:rPr>
          <w:rFonts w:eastAsia="Calibri"/>
          <w:szCs w:val="22"/>
          <w:lang w:val="sk-SK" w:eastAsia="en-US"/>
        </w:rPr>
      </w:pPr>
      <w:r w:rsidRPr="0077393E">
        <w:rPr>
          <w:rFonts w:eastAsia="Calibri"/>
          <w:szCs w:val="22"/>
          <w:lang w:val="sk-SK" w:eastAsia="en-US"/>
        </w:rPr>
        <w:lastRenderedPageBreak/>
        <w:t>6.</w:t>
      </w:r>
      <w:r w:rsidRPr="0077393E">
        <w:rPr>
          <w:rFonts w:eastAsia="Calibri"/>
          <w:szCs w:val="22"/>
          <w:lang w:val="sk-SK" w:eastAsia="en-US"/>
        </w:rPr>
        <w:tab/>
        <w:t xml:space="preserve">V článku 91 ods. 3 sa písmeno a) nahrádza takto: </w:t>
      </w:r>
    </w:p>
    <w:p w14:paraId="6B3EA043" w14:textId="77777777" w:rsidR="00BE6341" w:rsidRPr="0077393E" w:rsidRDefault="00BE6341" w:rsidP="00BE6341">
      <w:pPr>
        <w:spacing w:before="120" w:after="120" w:line="360" w:lineRule="auto"/>
        <w:ind w:left="1418" w:hanging="568"/>
        <w:jc w:val="both"/>
        <w:rPr>
          <w:rFonts w:eastAsia="Calibri"/>
          <w:szCs w:val="22"/>
          <w:lang w:val="sk-SK" w:eastAsia="en-US"/>
        </w:rPr>
      </w:pPr>
      <w:r w:rsidRPr="0077393E">
        <w:rPr>
          <w:rFonts w:eastAsia="Calibri"/>
          <w:szCs w:val="22"/>
          <w:lang w:val="sk-SK" w:eastAsia="en-US"/>
        </w:rPr>
        <w:t>„a)</w:t>
      </w:r>
      <w:r w:rsidRPr="0077393E">
        <w:rPr>
          <w:rFonts w:eastAsia="Calibri"/>
          <w:szCs w:val="22"/>
          <w:lang w:val="sk-SK" w:eastAsia="en-US"/>
        </w:rPr>
        <w:tab/>
        <w:t>65 % oprávnených verejných výdavkov na platby na oblasti s prírodnými alebo inými osobitnými obmedzeniami podľa článku 71 a na podporu podľa článku 78b;“.</w:t>
      </w:r>
    </w:p>
    <w:p w14:paraId="5C970FCB" w14:textId="77777777" w:rsidR="00BE6341" w:rsidRPr="0077393E" w:rsidRDefault="00BE6341" w:rsidP="00BE6341">
      <w:pPr>
        <w:spacing w:before="120" w:after="120" w:line="360" w:lineRule="auto"/>
        <w:ind w:left="851" w:hanging="851"/>
        <w:rPr>
          <w:rFonts w:eastAsia="Calibri"/>
          <w:szCs w:val="22"/>
          <w:lang w:val="sk-SK" w:eastAsia="en-US"/>
        </w:rPr>
      </w:pPr>
      <w:r w:rsidRPr="0077393E">
        <w:rPr>
          <w:rFonts w:eastAsia="Calibri"/>
          <w:szCs w:val="22"/>
          <w:lang w:val="sk-SK" w:eastAsia="en-US"/>
        </w:rPr>
        <w:t>7.</w:t>
      </w:r>
      <w:r w:rsidRPr="0077393E">
        <w:rPr>
          <w:rFonts w:eastAsia="Calibri"/>
          <w:szCs w:val="22"/>
          <w:lang w:val="sk-SK" w:eastAsia="en-US"/>
        </w:rPr>
        <w:tab/>
        <w:t>Článok 96a sa nahrádza takto:</w:t>
      </w:r>
    </w:p>
    <w:p w14:paraId="2A45B67D" w14:textId="77777777" w:rsidR="00BE6341" w:rsidRPr="0077393E" w:rsidRDefault="00BE6341" w:rsidP="00BE6341">
      <w:pPr>
        <w:spacing w:before="120" w:after="120" w:line="360" w:lineRule="auto"/>
        <w:ind w:left="850"/>
        <w:rPr>
          <w:b/>
          <w:bCs/>
          <w:szCs w:val="22"/>
          <w:lang w:val="sk-SK"/>
        </w:rPr>
      </w:pPr>
      <w:r w:rsidRPr="0077393E">
        <w:rPr>
          <w:rFonts w:eastAsia="Calibri"/>
          <w:i/>
          <w:szCs w:val="22"/>
          <w:lang w:val="sk-SK" w:eastAsia="en-US"/>
        </w:rPr>
        <w:t>„Článok 96a</w:t>
      </w:r>
      <w:r w:rsidRPr="0077393E">
        <w:rPr>
          <w:rFonts w:eastAsia="Calibri"/>
          <w:i/>
          <w:szCs w:val="22"/>
          <w:lang w:val="sk-SK" w:eastAsia="en-US"/>
        </w:rPr>
        <w:br/>
      </w:r>
      <w:r w:rsidRPr="0077393E">
        <w:rPr>
          <w:b/>
          <w:szCs w:val="22"/>
          <w:lang w:val="sk-SK"/>
        </w:rPr>
        <w:t xml:space="preserve">Maximálne finančné alokácie na krízové platby poľnohospodárom uvedené v článku 78a a podpora pre poľnohospodárov uvedená v článku 78b </w:t>
      </w:r>
    </w:p>
    <w:p w14:paraId="4F76A7C9" w14:textId="77777777" w:rsidR="00BE6341" w:rsidRPr="0077393E" w:rsidRDefault="00BE6341" w:rsidP="00BE6341">
      <w:pPr>
        <w:spacing w:before="120" w:after="120" w:line="360" w:lineRule="auto"/>
        <w:ind w:left="1418" w:hanging="567"/>
        <w:rPr>
          <w:rFonts w:eastAsia="Calibri"/>
          <w:szCs w:val="22"/>
          <w:lang w:val="sk-SK" w:eastAsia="en-US"/>
        </w:rPr>
      </w:pPr>
      <w:r w:rsidRPr="0077393E">
        <w:rPr>
          <w:rFonts w:eastAsia="Calibri"/>
          <w:szCs w:val="22"/>
          <w:lang w:val="sk-SK" w:eastAsia="en-US"/>
        </w:rPr>
        <w:t>1.</w:t>
      </w:r>
      <w:r w:rsidRPr="0077393E">
        <w:rPr>
          <w:rFonts w:eastAsia="Calibri"/>
          <w:szCs w:val="22"/>
          <w:lang w:val="sk-SK" w:eastAsia="en-US"/>
        </w:rPr>
        <w:tab/>
        <w:t>Pre každý členský štát sa maximálna suma, ktorú možno vyhradiť na krízové platby poľnohospodárom v dôsledku prírodných katastrof, nepriaznivých poveternostných udalostí alebo katastrofických udalostí uvedené v článku 78a a na podporu pre poľnohospodárov postihnutých prudkým zvýšením cien hnojív v dôsledku krízy na Blízkom východe uvedenú v článku 78b, obmedzuje na ročné sumy stanovené v prílohe XV.</w:t>
      </w:r>
    </w:p>
    <w:p w14:paraId="160FA3B6" w14:textId="77777777" w:rsidR="00BE6341" w:rsidRPr="0077393E" w:rsidRDefault="00BE6341" w:rsidP="00BE6341">
      <w:pPr>
        <w:spacing w:before="120" w:after="120" w:line="360" w:lineRule="auto"/>
        <w:ind w:left="1418" w:hanging="567"/>
        <w:rPr>
          <w:rFonts w:eastAsia="Calibri"/>
          <w:szCs w:val="22"/>
          <w:lang w:val="sk-SK" w:eastAsia="en-US"/>
        </w:rPr>
      </w:pPr>
      <w:r w:rsidRPr="0077393E">
        <w:rPr>
          <w:rFonts w:eastAsia="Calibri"/>
          <w:szCs w:val="22"/>
          <w:lang w:val="sk-SK" w:eastAsia="en-US"/>
        </w:rPr>
        <w:t>2.</w:t>
      </w:r>
      <w:r w:rsidRPr="0077393E">
        <w:rPr>
          <w:rFonts w:eastAsia="Calibri"/>
          <w:szCs w:val="22"/>
          <w:lang w:val="sk-SK" w:eastAsia="en-US"/>
        </w:rPr>
        <w:tab/>
        <w:t>Na financovanie podpory pre poľnohospodárov uvedenej v článku 78b sa môže vyhradiť maximálne 25 % ročných súm stanovených v prílohe XV.</w:t>
      </w:r>
    </w:p>
    <w:p w14:paraId="710840DA" w14:textId="77777777" w:rsidR="00BE6341" w:rsidRPr="0077393E" w:rsidRDefault="00BE6341" w:rsidP="00BE6341">
      <w:pPr>
        <w:spacing w:after="160" w:line="278" w:lineRule="auto"/>
        <w:rPr>
          <w:rFonts w:eastAsia="Calibri"/>
          <w:szCs w:val="22"/>
          <w:lang w:val="sk-SK" w:eastAsia="en-US"/>
        </w:rPr>
      </w:pPr>
      <w:r w:rsidRPr="0077393E">
        <w:rPr>
          <w:rFonts w:eastAsia="Calibri"/>
          <w:szCs w:val="22"/>
          <w:lang w:val="sk-SK" w:eastAsia="en-US"/>
        </w:rPr>
        <w:br w:type="page"/>
      </w:r>
    </w:p>
    <w:p w14:paraId="64ACCCD3" w14:textId="77777777" w:rsidR="00BE6341" w:rsidRPr="0077393E" w:rsidRDefault="00BE6341" w:rsidP="00BE6341">
      <w:pPr>
        <w:spacing w:before="120" w:after="120" w:line="360" w:lineRule="auto"/>
        <w:ind w:left="1418" w:hanging="567"/>
        <w:rPr>
          <w:rFonts w:eastAsia="Calibri"/>
          <w:szCs w:val="22"/>
          <w:lang w:val="sk-SK" w:eastAsia="en-US"/>
        </w:rPr>
      </w:pPr>
      <w:r w:rsidRPr="0077393E">
        <w:rPr>
          <w:rFonts w:eastAsia="Calibri"/>
          <w:szCs w:val="22"/>
          <w:lang w:val="sk-SK" w:eastAsia="en-US"/>
        </w:rPr>
        <w:lastRenderedPageBreak/>
        <w:t>3.</w:t>
      </w:r>
      <w:r w:rsidRPr="0077393E">
        <w:rPr>
          <w:rFonts w:eastAsia="Calibri"/>
          <w:szCs w:val="22"/>
          <w:lang w:val="sk-SK" w:eastAsia="en-US"/>
        </w:rPr>
        <w:tab/>
        <w:t xml:space="preserve">Celkové výdavky EPFRV na krízové platby uvedené v článku 78a a podporu podľa článku 78b nepresiahnu súčet orientačných finančných alokácií pridelených na tieto typy intervencie na finančné roky 2026 a 2027, ktoré stanovili členské štáty vo svojich finančných plánoch v súlade s článkom 112 ods. 2 písm. a) a ktoré schválila Komisia v súlade s článkom 119. Tento finančný strop predstavuje finančný strop stanovený právom Únie.“ </w:t>
      </w:r>
    </w:p>
    <w:p w14:paraId="543AAE91" w14:textId="77777777" w:rsidR="00BE6341" w:rsidRPr="0077393E" w:rsidRDefault="00BE6341" w:rsidP="00BE6341">
      <w:pPr>
        <w:spacing w:before="120" w:after="120" w:line="360" w:lineRule="auto"/>
        <w:ind w:left="851" w:hanging="851"/>
        <w:rPr>
          <w:rFonts w:eastAsia="Calibri"/>
          <w:szCs w:val="22"/>
          <w:lang w:val="sk-SK" w:eastAsia="en-US"/>
        </w:rPr>
      </w:pPr>
      <w:r w:rsidRPr="0077393E">
        <w:rPr>
          <w:rFonts w:eastAsia="Calibri"/>
          <w:szCs w:val="22"/>
          <w:lang w:val="sk-SK" w:eastAsia="en-US"/>
        </w:rPr>
        <w:t>8.</w:t>
      </w:r>
      <w:r w:rsidRPr="0077393E">
        <w:rPr>
          <w:rFonts w:eastAsia="Calibri"/>
          <w:szCs w:val="22"/>
          <w:lang w:val="sk-SK" w:eastAsia="en-US"/>
        </w:rPr>
        <w:tab/>
        <w:t>V hlave IV sa dopĺňa tento článok:</w:t>
      </w:r>
    </w:p>
    <w:p w14:paraId="6A47CA70" w14:textId="77777777" w:rsidR="00BE6341" w:rsidRPr="0077393E" w:rsidRDefault="00BE6341" w:rsidP="00BE6341">
      <w:pPr>
        <w:spacing w:before="120" w:after="120" w:line="360" w:lineRule="auto"/>
        <w:ind w:left="850"/>
        <w:rPr>
          <w:rFonts w:eastAsia="Calibri"/>
          <w:szCs w:val="22"/>
          <w:lang w:val="sk-SK" w:eastAsia="en-US"/>
        </w:rPr>
      </w:pPr>
      <w:r w:rsidRPr="0077393E">
        <w:rPr>
          <w:rFonts w:eastAsia="Calibri"/>
          <w:szCs w:val="22"/>
          <w:lang w:val="sk-SK" w:eastAsia="en-US"/>
        </w:rPr>
        <w:t>„</w:t>
      </w:r>
      <w:r w:rsidRPr="0077393E">
        <w:rPr>
          <w:rFonts w:eastAsia="Calibri"/>
          <w:i/>
          <w:szCs w:val="22"/>
          <w:lang w:val="sk-SK" w:eastAsia="en-US"/>
        </w:rPr>
        <w:t>Článok 103a</w:t>
      </w:r>
      <w:r w:rsidRPr="0077393E">
        <w:rPr>
          <w:rFonts w:eastAsia="Calibri"/>
          <w:szCs w:val="22"/>
          <w:lang w:val="sk-SK" w:eastAsia="en-US"/>
        </w:rPr>
        <w:t xml:space="preserve"> </w:t>
      </w:r>
      <w:r w:rsidRPr="0077393E">
        <w:rPr>
          <w:rFonts w:eastAsia="Calibri"/>
          <w:szCs w:val="22"/>
          <w:lang w:val="sk-SK" w:eastAsia="en-US"/>
        </w:rPr>
        <w:br/>
      </w:r>
      <w:r w:rsidRPr="0077393E">
        <w:rPr>
          <w:rFonts w:eastAsia="Calibri"/>
          <w:b/>
          <w:szCs w:val="22"/>
          <w:lang w:val="sk-SK" w:eastAsia="en-US"/>
        </w:rPr>
        <w:t>Alokácie na priame platby na kalendárny rok 2027</w:t>
      </w:r>
    </w:p>
    <w:p w14:paraId="5F2E1BC1" w14:textId="77777777" w:rsidR="00BE6341" w:rsidRPr="0077393E" w:rsidRDefault="00BE6341" w:rsidP="00BE6341">
      <w:pPr>
        <w:spacing w:before="120" w:after="120" w:line="360" w:lineRule="auto"/>
        <w:ind w:left="850"/>
        <w:rPr>
          <w:rFonts w:eastAsia="Calibri"/>
          <w:szCs w:val="22"/>
          <w:lang w:val="sk-SK" w:eastAsia="en-US"/>
        </w:rPr>
      </w:pPr>
      <w:r w:rsidRPr="0077393E">
        <w:rPr>
          <w:rFonts w:eastAsia="Calibri"/>
          <w:szCs w:val="22"/>
          <w:lang w:val="sk-SK" w:eastAsia="en-US"/>
        </w:rPr>
        <w:t>Členské štáty sa môžu do 31. augusta 2026 rozhodnúť, že ako súčasť žiadosti o strategickú zmenu svojich príslušných strategických plánov SPP uvedenej v článku 119 zvýšia alebo znížia svoje alokácie na priame platby stanovené v prílohách V a IX na kalendárny rok 2027 o sumu nepresahujúcu maximálne zvýšenie alebo zníženie stanovené v prílohe XVI na členský štát.“</w:t>
      </w:r>
    </w:p>
    <w:p w14:paraId="06EB98A1" w14:textId="77777777" w:rsidR="00BE6341" w:rsidRPr="0077393E" w:rsidRDefault="00BE6341" w:rsidP="00BE6341">
      <w:pPr>
        <w:spacing w:after="160" w:line="278" w:lineRule="auto"/>
        <w:rPr>
          <w:rFonts w:eastAsia="Calibri"/>
          <w:szCs w:val="22"/>
          <w:lang w:val="sk-SK" w:eastAsia="en-US"/>
        </w:rPr>
      </w:pPr>
      <w:r w:rsidRPr="0077393E">
        <w:rPr>
          <w:rFonts w:eastAsia="Calibri"/>
          <w:szCs w:val="22"/>
          <w:lang w:val="sk-SK" w:eastAsia="en-US"/>
        </w:rPr>
        <w:br w:type="page"/>
      </w:r>
    </w:p>
    <w:p w14:paraId="174AFFFA" w14:textId="77777777" w:rsidR="00BE6341" w:rsidRPr="0077393E" w:rsidRDefault="00BE6341" w:rsidP="00BE6341">
      <w:pPr>
        <w:spacing w:before="120" w:after="120" w:line="360" w:lineRule="auto"/>
        <w:ind w:left="851" w:hanging="851"/>
        <w:rPr>
          <w:rFonts w:eastAsia="Calibri"/>
          <w:szCs w:val="22"/>
          <w:lang w:val="sk-SK" w:eastAsia="en-US"/>
        </w:rPr>
      </w:pPr>
      <w:r w:rsidRPr="0077393E">
        <w:rPr>
          <w:rFonts w:eastAsia="Calibri"/>
          <w:szCs w:val="22"/>
          <w:lang w:val="sk-SK" w:eastAsia="en-US"/>
        </w:rPr>
        <w:lastRenderedPageBreak/>
        <w:t>9.</w:t>
      </w:r>
      <w:r w:rsidRPr="0077393E">
        <w:rPr>
          <w:rFonts w:eastAsia="Calibri"/>
          <w:szCs w:val="22"/>
          <w:lang w:val="sk-SK" w:eastAsia="en-US"/>
        </w:rPr>
        <w:tab/>
        <w:t>V článku 111 sa druhý odsek nahrádza takto:</w:t>
      </w:r>
    </w:p>
    <w:p w14:paraId="334AE918" w14:textId="77777777" w:rsidR="00BE6341" w:rsidRPr="0077393E" w:rsidRDefault="00BE6341" w:rsidP="00BE6341">
      <w:pPr>
        <w:spacing w:before="120" w:after="120" w:line="360" w:lineRule="auto"/>
        <w:ind w:left="850"/>
        <w:rPr>
          <w:rFonts w:eastAsia="Calibri"/>
          <w:szCs w:val="22"/>
          <w:lang w:val="sk-SK" w:eastAsia="en-US"/>
        </w:rPr>
      </w:pPr>
      <w:r w:rsidRPr="0077393E">
        <w:rPr>
          <w:rFonts w:eastAsia="Calibri"/>
          <w:szCs w:val="22"/>
          <w:lang w:val="sk-SK" w:eastAsia="en-US"/>
        </w:rPr>
        <w:t>„Prvý odsek písm. e) sa neuplatňuje na typ intervencie v sektore včelárstva uvedený v článku 55 ods. 1 písm. a) a písm. c) až g), na intervencie v rámci typu intervencie v sektore vinohradníctva a vinárstva uvedeného v článku 58 ods. 1 písm. h) až k), na informačné a propagačné akcie pre systémy kvality v rámci typu intervencie pre spoluprácu uvedeného v článku 77, na intervencie v rámci typu intervencie na krízové platby poľnohospodárom v dôsledku prírodných katastrof, nepriaznivých poveternostných udalostí alebo katastrofických udalostí uvedeného v článku 78a, ani na intervencie v rámci typu intervencie na podporu pre poľnohospodárov postihnutých prudkým zvýšením cien hnojív uvedeného v článku 78b.“</w:t>
      </w:r>
    </w:p>
    <w:p w14:paraId="5BDD1E4D" w14:textId="77777777" w:rsidR="00BE6341" w:rsidRPr="0077393E" w:rsidRDefault="00BE6341" w:rsidP="00BE6341">
      <w:pPr>
        <w:spacing w:before="120" w:after="120" w:line="360" w:lineRule="auto"/>
        <w:ind w:left="851" w:hanging="851"/>
        <w:rPr>
          <w:rFonts w:eastAsia="Calibri"/>
          <w:szCs w:val="22"/>
          <w:lang w:val="sk-SK" w:eastAsia="en-US"/>
        </w:rPr>
      </w:pPr>
      <w:r w:rsidRPr="0077393E">
        <w:rPr>
          <w:rFonts w:eastAsia="Calibri"/>
          <w:szCs w:val="22"/>
          <w:lang w:val="sk-SK" w:eastAsia="en-US"/>
        </w:rPr>
        <w:t>10.</w:t>
      </w:r>
      <w:r w:rsidRPr="0077393E">
        <w:rPr>
          <w:rFonts w:eastAsia="Calibri"/>
          <w:szCs w:val="22"/>
          <w:lang w:val="sk-SK" w:eastAsia="en-US"/>
        </w:rPr>
        <w:tab/>
        <w:t>V článku 112 ods. 2 sa písmeno b) nahrádza takto:</w:t>
      </w:r>
    </w:p>
    <w:p w14:paraId="4CE04EFB" w14:textId="77777777" w:rsidR="00BE6341" w:rsidRPr="0077393E" w:rsidRDefault="00BE6341" w:rsidP="00BE6341">
      <w:pPr>
        <w:spacing w:before="120" w:after="120" w:line="360" w:lineRule="auto"/>
        <w:ind w:left="1418" w:hanging="568"/>
        <w:rPr>
          <w:rFonts w:eastAsia="Calibri"/>
          <w:szCs w:val="22"/>
          <w:lang w:val="sk-SK" w:eastAsia="en-US"/>
        </w:rPr>
      </w:pPr>
      <w:r w:rsidRPr="0077393E">
        <w:rPr>
          <w:rFonts w:eastAsia="Calibri"/>
          <w:szCs w:val="22"/>
          <w:lang w:val="sk-SK" w:eastAsia="en-US"/>
        </w:rPr>
        <w:t>„b)</w:t>
      </w:r>
      <w:r w:rsidRPr="0077393E">
        <w:rPr>
          <w:rFonts w:eastAsia="Calibri"/>
          <w:szCs w:val="22"/>
          <w:lang w:val="sk-SK" w:eastAsia="en-US"/>
        </w:rPr>
        <w:tab/>
        <w:t>prevody súm uvedených v písmene a) medzi typmi intervencií vo forme priamych platieb a typmi intervencií v záujme rozvoja vidieka v súlade s článkom 103, akékoľvek zníženia alokácií členského štátu na typy intervencií vo forme priamych platieb s cieľom sprístupniť sumy pre typy intervencií v iných sektoroch uvedených v hlave III kapitole III oddiele 7 v súlade s článkom 88 ods. 6) a akékoľvek úpravy alokácií na priame platby v súlade s článkom 103a;“</w:t>
      </w:r>
    </w:p>
    <w:p w14:paraId="5442D94F" w14:textId="77777777" w:rsidR="00BE6341" w:rsidRPr="0077393E" w:rsidRDefault="00BE6341" w:rsidP="00BE6341">
      <w:pPr>
        <w:spacing w:after="160" w:line="278" w:lineRule="auto"/>
        <w:rPr>
          <w:rFonts w:eastAsia="Calibri"/>
          <w:szCs w:val="22"/>
          <w:lang w:val="sk-SK" w:eastAsia="en-US"/>
        </w:rPr>
      </w:pPr>
      <w:r w:rsidRPr="0077393E">
        <w:rPr>
          <w:rFonts w:eastAsia="Calibri"/>
          <w:szCs w:val="22"/>
          <w:lang w:val="sk-SK" w:eastAsia="en-US"/>
        </w:rPr>
        <w:br w:type="page"/>
      </w:r>
    </w:p>
    <w:p w14:paraId="23979BA5" w14:textId="77777777" w:rsidR="00BE6341" w:rsidRPr="0077393E" w:rsidRDefault="00BE6341" w:rsidP="00BE6341">
      <w:pPr>
        <w:spacing w:before="120" w:after="120" w:line="360" w:lineRule="auto"/>
        <w:ind w:left="851" w:hanging="851"/>
        <w:rPr>
          <w:rFonts w:eastAsia="Calibri"/>
          <w:szCs w:val="22"/>
          <w:lang w:val="sk-SK" w:eastAsia="en-US"/>
        </w:rPr>
      </w:pPr>
      <w:r w:rsidRPr="0077393E">
        <w:rPr>
          <w:rFonts w:eastAsia="Calibri"/>
          <w:szCs w:val="22"/>
          <w:lang w:val="sk-SK" w:eastAsia="en-US"/>
        </w:rPr>
        <w:lastRenderedPageBreak/>
        <w:t>11.</w:t>
      </w:r>
      <w:r w:rsidRPr="0077393E">
        <w:rPr>
          <w:rFonts w:eastAsia="Calibri"/>
          <w:szCs w:val="22"/>
          <w:lang w:val="sk-SK" w:eastAsia="en-US"/>
        </w:rPr>
        <w:tab/>
        <w:t>Článok 119 sa mení takto:</w:t>
      </w:r>
    </w:p>
    <w:p w14:paraId="0A3ACAA8" w14:textId="77777777" w:rsidR="00BE6341" w:rsidRPr="0077393E" w:rsidRDefault="00BE6341" w:rsidP="00BE6341">
      <w:pPr>
        <w:spacing w:before="120" w:after="120" w:line="360" w:lineRule="auto"/>
        <w:ind w:left="1418" w:hanging="568"/>
        <w:jc w:val="both"/>
        <w:rPr>
          <w:rFonts w:eastAsia="Calibri"/>
          <w:szCs w:val="22"/>
          <w:lang w:val="sk-SK" w:eastAsia="en-US"/>
        </w:rPr>
      </w:pPr>
      <w:r w:rsidRPr="0077393E">
        <w:rPr>
          <w:rFonts w:eastAsia="Calibri"/>
          <w:szCs w:val="22"/>
          <w:lang w:val="sk-SK" w:eastAsia="en-US"/>
        </w:rPr>
        <w:t>a)</w:t>
      </w:r>
      <w:r w:rsidRPr="0077393E">
        <w:rPr>
          <w:rFonts w:eastAsia="Calibri"/>
          <w:szCs w:val="22"/>
          <w:lang w:val="sk-SK" w:eastAsia="en-US"/>
        </w:rPr>
        <w:tab/>
        <w:t xml:space="preserve">v odseku 2 prvom </w:t>
      </w:r>
      <w:proofErr w:type="spellStart"/>
      <w:r w:rsidRPr="0077393E">
        <w:rPr>
          <w:rFonts w:eastAsia="Calibri"/>
          <w:szCs w:val="22"/>
          <w:lang w:val="sk-SK" w:eastAsia="en-US"/>
        </w:rPr>
        <w:t>pododseku</w:t>
      </w:r>
      <w:proofErr w:type="spellEnd"/>
      <w:r w:rsidRPr="0077393E">
        <w:rPr>
          <w:rFonts w:eastAsia="Calibri"/>
          <w:szCs w:val="22"/>
          <w:lang w:val="sk-SK" w:eastAsia="en-US"/>
        </w:rPr>
        <w:t xml:space="preserve"> sa písmeno c) nahrádza takto:</w:t>
      </w:r>
    </w:p>
    <w:p w14:paraId="0C7D4DF9" w14:textId="77777777" w:rsidR="00BE6341" w:rsidRPr="0077393E" w:rsidRDefault="00BE6341" w:rsidP="00BE6341">
      <w:pPr>
        <w:spacing w:before="120" w:after="120" w:line="360" w:lineRule="auto"/>
        <w:ind w:left="1985" w:hanging="567"/>
        <w:rPr>
          <w:rFonts w:eastAsia="Calibri"/>
          <w:szCs w:val="22"/>
          <w:lang w:val="sk-SK" w:eastAsia="en-US"/>
        </w:rPr>
      </w:pPr>
      <w:r w:rsidRPr="0077393E">
        <w:rPr>
          <w:rFonts w:eastAsia="Calibri"/>
          <w:szCs w:val="22"/>
          <w:lang w:val="sk-SK" w:eastAsia="en-US"/>
        </w:rPr>
        <w:t>„c)</w:t>
      </w:r>
      <w:r w:rsidRPr="0077393E">
        <w:rPr>
          <w:rFonts w:eastAsia="Calibri"/>
          <w:szCs w:val="22"/>
          <w:lang w:val="sk-SK" w:eastAsia="en-US"/>
        </w:rPr>
        <w:tab/>
        <w:t>zmeny týkajúce sa článku 17 ods. 5, článku 88 ods. 7, článkov 92 až 98, článku 103 ods. 1, 5 a 6 alebo článku 103a;“;</w:t>
      </w:r>
    </w:p>
    <w:p w14:paraId="3E25131D" w14:textId="77777777" w:rsidR="00BE6341" w:rsidRPr="0077393E" w:rsidRDefault="00BE6341" w:rsidP="00BE6341">
      <w:pPr>
        <w:spacing w:before="120" w:after="120" w:line="360" w:lineRule="auto"/>
        <w:ind w:left="1418" w:hanging="568"/>
        <w:rPr>
          <w:rFonts w:eastAsia="Calibri"/>
          <w:szCs w:val="22"/>
          <w:lang w:val="sk-SK" w:eastAsia="en-US"/>
        </w:rPr>
      </w:pPr>
      <w:r w:rsidRPr="0077393E">
        <w:rPr>
          <w:rFonts w:eastAsia="Calibri"/>
          <w:szCs w:val="22"/>
          <w:lang w:val="sk-SK" w:eastAsia="en-US"/>
        </w:rPr>
        <w:t>b)</w:t>
      </w:r>
      <w:r w:rsidRPr="0077393E">
        <w:rPr>
          <w:rFonts w:eastAsia="Calibri"/>
          <w:szCs w:val="22"/>
          <w:lang w:val="sk-SK" w:eastAsia="en-US"/>
        </w:rPr>
        <w:tab/>
        <w:t xml:space="preserve">v odseku 7 sa druhý </w:t>
      </w:r>
      <w:proofErr w:type="spellStart"/>
      <w:r w:rsidRPr="0077393E">
        <w:rPr>
          <w:rFonts w:eastAsia="Calibri"/>
          <w:szCs w:val="22"/>
          <w:lang w:val="sk-SK" w:eastAsia="en-US"/>
        </w:rPr>
        <w:t>pododsek</w:t>
      </w:r>
      <w:proofErr w:type="spellEnd"/>
      <w:r w:rsidRPr="0077393E">
        <w:rPr>
          <w:rFonts w:eastAsia="Calibri"/>
          <w:szCs w:val="22"/>
          <w:lang w:val="sk-SK" w:eastAsia="en-US"/>
        </w:rPr>
        <w:t xml:space="preserve"> nahrádza takto:</w:t>
      </w:r>
    </w:p>
    <w:p w14:paraId="2F5B0838" w14:textId="77777777" w:rsidR="00BE6341" w:rsidRPr="0077393E" w:rsidRDefault="00BE6341" w:rsidP="00BE6341">
      <w:pPr>
        <w:spacing w:before="120" w:after="120" w:line="360" w:lineRule="auto"/>
        <w:ind w:left="1418"/>
        <w:rPr>
          <w:rFonts w:eastAsia="Calibri"/>
          <w:szCs w:val="22"/>
          <w:lang w:val="sk-SK" w:eastAsia="en-US"/>
        </w:rPr>
      </w:pPr>
      <w:r w:rsidRPr="0077393E">
        <w:rPr>
          <w:rFonts w:eastAsia="Calibri"/>
          <w:szCs w:val="22"/>
          <w:lang w:val="sk-SK" w:eastAsia="en-US"/>
        </w:rPr>
        <w:t xml:space="preserve">„Žiadosť o strategickú zmenu v súvislosti s článkom 17 ods. 5, článkom 78b, článkom 88 ods. 7, článkom 103 ods. 5 alebo 6 alebo článkom 103a sa nezapočítava do obmedzenia stanoveného v prvom </w:t>
      </w:r>
      <w:proofErr w:type="spellStart"/>
      <w:r w:rsidRPr="0077393E">
        <w:rPr>
          <w:rFonts w:eastAsia="Calibri"/>
          <w:szCs w:val="22"/>
          <w:lang w:val="sk-SK" w:eastAsia="en-US"/>
        </w:rPr>
        <w:t>pododseku</w:t>
      </w:r>
      <w:proofErr w:type="spellEnd"/>
      <w:r w:rsidRPr="0077393E">
        <w:rPr>
          <w:rFonts w:eastAsia="Calibri"/>
          <w:szCs w:val="22"/>
          <w:lang w:val="sk-SK" w:eastAsia="en-US"/>
        </w:rPr>
        <w:t xml:space="preserve"> tohto odseku.“</w:t>
      </w:r>
    </w:p>
    <w:p w14:paraId="52570729" w14:textId="77777777" w:rsidR="00BE6341" w:rsidRPr="0077393E" w:rsidRDefault="00BE6341" w:rsidP="00BE6341">
      <w:pPr>
        <w:spacing w:before="120" w:after="120" w:line="360" w:lineRule="auto"/>
        <w:ind w:left="851" w:hanging="851"/>
        <w:rPr>
          <w:rFonts w:eastAsia="Calibri"/>
          <w:szCs w:val="22"/>
          <w:lang w:val="sk-SK" w:eastAsia="en-US"/>
        </w:rPr>
      </w:pPr>
      <w:r w:rsidRPr="0077393E">
        <w:rPr>
          <w:rFonts w:eastAsia="Calibri"/>
          <w:szCs w:val="22"/>
          <w:lang w:val="sk-SK" w:eastAsia="en-US"/>
        </w:rPr>
        <w:t>12.</w:t>
      </w:r>
      <w:r w:rsidRPr="0077393E">
        <w:rPr>
          <w:rFonts w:eastAsia="Calibri"/>
          <w:szCs w:val="22"/>
          <w:lang w:val="sk-SK" w:eastAsia="en-US"/>
        </w:rPr>
        <w:tab/>
        <w:t xml:space="preserve">V článku 121 druhom </w:t>
      </w:r>
      <w:proofErr w:type="spellStart"/>
      <w:r w:rsidRPr="0077393E">
        <w:rPr>
          <w:rFonts w:eastAsia="Calibri"/>
          <w:szCs w:val="22"/>
          <w:lang w:val="sk-SK" w:eastAsia="en-US"/>
        </w:rPr>
        <w:t>pododseku</w:t>
      </w:r>
      <w:proofErr w:type="spellEnd"/>
      <w:r w:rsidRPr="0077393E">
        <w:rPr>
          <w:rFonts w:eastAsia="Calibri"/>
          <w:szCs w:val="22"/>
          <w:lang w:val="sk-SK" w:eastAsia="en-US"/>
        </w:rPr>
        <w:t xml:space="preserve"> sa písmeno b) nahrádza takto:</w:t>
      </w:r>
    </w:p>
    <w:p w14:paraId="6FBAA049" w14:textId="77777777" w:rsidR="00BE6341" w:rsidRPr="0077393E" w:rsidRDefault="00BE6341" w:rsidP="00BE6341">
      <w:pPr>
        <w:spacing w:before="120" w:after="120" w:line="360" w:lineRule="auto"/>
        <w:ind w:left="1418" w:hanging="568"/>
        <w:rPr>
          <w:rFonts w:eastAsia="Calibri"/>
          <w:szCs w:val="22"/>
          <w:lang w:val="sk-SK" w:eastAsia="en-US"/>
        </w:rPr>
      </w:pPr>
      <w:r w:rsidRPr="0077393E">
        <w:rPr>
          <w:rFonts w:eastAsia="Calibri"/>
          <w:szCs w:val="22"/>
          <w:lang w:val="sk-SK" w:eastAsia="en-US"/>
        </w:rPr>
        <w:t>„b)</w:t>
      </w:r>
      <w:r w:rsidRPr="0077393E">
        <w:rPr>
          <w:rFonts w:eastAsia="Calibri"/>
          <w:szCs w:val="22"/>
          <w:lang w:val="sk-SK" w:eastAsia="en-US"/>
        </w:rPr>
        <w:tab/>
        <w:t>v prípade zmien týkajúcich sa článku 17 ods. 5, článku 88 ods. 7, článku 103 ods. 5 a článku 103a obdobie na prijatie delegovaného aktu na zmenu alokácií v súlade s článkom 87 ods. 2.“</w:t>
      </w:r>
    </w:p>
    <w:p w14:paraId="65A3FC0A" w14:textId="77777777" w:rsidR="00BE6341" w:rsidRPr="0077393E" w:rsidRDefault="00BE6341" w:rsidP="00BE6341">
      <w:pPr>
        <w:spacing w:before="120" w:after="120" w:line="360" w:lineRule="auto"/>
        <w:ind w:left="851" w:hanging="851"/>
        <w:rPr>
          <w:rFonts w:eastAsia="Calibri"/>
          <w:szCs w:val="22"/>
          <w:lang w:val="sk-SK" w:eastAsia="en-US"/>
        </w:rPr>
      </w:pPr>
      <w:r w:rsidRPr="0077393E">
        <w:rPr>
          <w:rFonts w:eastAsia="Calibri"/>
          <w:szCs w:val="22"/>
          <w:lang w:val="sk-SK" w:eastAsia="en-US"/>
        </w:rPr>
        <w:t>13.</w:t>
      </w:r>
      <w:r w:rsidRPr="0077393E">
        <w:rPr>
          <w:rFonts w:eastAsia="Calibri"/>
          <w:szCs w:val="22"/>
          <w:lang w:val="sk-SK" w:eastAsia="en-US"/>
        </w:rPr>
        <w:tab/>
        <w:t xml:space="preserve">V článku 146 sa dopĺňa tento </w:t>
      </w:r>
      <w:proofErr w:type="spellStart"/>
      <w:r w:rsidRPr="0077393E">
        <w:rPr>
          <w:rFonts w:eastAsia="Calibri"/>
          <w:szCs w:val="22"/>
          <w:lang w:val="sk-SK" w:eastAsia="en-US"/>
        </w:rPr>
        <w:t>pododsek</w:t>
      </w:r>
      <w:proofErr w:type="spellEnd"/>
      <w:r w:rsidRPr="0077393E">
        <w:rPr>
          <w:rFonts w:eastAsia="Calibri"/>
          <w:szCs w:val="22"/>
          <w:lang w:val="sk-SK" w:eastAsia="en-US"/>
        </w:rPr>
        <w:t>:</w:t>
      </w:r>
    </w:p>
    <w:p w14:paraId="5F08FEA5" w14:textId="77777777" w:rsidR="00BE6341" w:rsidRPr="0077393E" w:rsidRDefault="00BE6341" w:rsidP="00BE6341">
      <w:pPr>
        <w:spacing w:before="120" w:after="120" w:line="360" w:lineRule="auto"/>
        <w:ind w:left="850"/>
        <w:rPr>
          <w:rFonts w:eastAsia="Calibri"/>
          <w:szCs w:val="22"/>
          <w:lang w:val="sk-SK" w:eastAsia="en-US"/>
        </w:rPr>
      </w:pPr>
      <w:r w:rsidRPr="0077393E">
        <w:rPr>
          <w:rFonts w:eastAsia="Calibri"/>
          <w:szCs w:val="22"/>
          <w:lang w:val="sk-SK" w:eastAsia="en-US"/>
        </w:rPr>
        <w:t>„Členské štáty môžu poskytnúť dodatočné národné financovanie až do výšky 200 % financovania z EPFRV alokovaného v strategickom pláne SPP na podporu podľa článku 78b.“</w:t>
      </w:r>
    </w:p>
    <w:p w14:paraId="771DF92C" w14:textId="77777777" w:rsidR="00BE6341" w:rsidRPr="0077393E" w:rsidRDefault="00BE6341" w:rsidP="00BE6341">
      <w:pPr>
        <w:spacing w:after="160" w:line="278" w:lineRule="auto"/>
        <w:rPr>
          <w:rFonts w:eastAsia="Calibri"/>
          <w:szCs w:val="22"/>
          <w:lang w:val="sk-SK" w:eastAsia="en-US"/>
        </w:rPr>
      </w:pPr>
      <w:r w:rsidRPr="0077393E">
        <w:rPr>
          <w:rFonts w:eastAsia="Calibri"/>
          <w:szCs w:val="22"/>
          <w:lang w:val="sk-SK" w:eastAsia="en-US"/>
        </w:rPr>
        <w:br w:type="page"/>
      </w:r>
    </w:p>
    <w:p w14:paraId="53ED0924" w14:textId="77777777" w:rsidR="00BE6341" w:rsidRPr="0077393E" w:rsidRDefault="00BE6341" w:rsidP="00BE6341">
      <w:pPr>
        <w:spacing w:before="120" w:after="120" w:line="360" w:lineRule="auto"/>
        <w:ind w:left="851" w:hanging="851"/>
        <w:rPr>
          <w:rFonts w:eastAsia="Calibri"/>
          <w:szCs w:val="22"/>
          <w:lang w:val="sk-SK" w:eastAsia="en-US"/>
        </w:rPr>
      </w:pPr>
      <w:r w:rsidRPr="0077393E">
        <w:rPr>
          <w:rFonts w:eastAsia="Calibri"/>
          <w:szCs w:val="22"/>
          <w:lang w:val="sk-SK" w:eastAsia="en-US"/>
        </w:rPr>
        <w:lastRenderedPageBreak/>
        <w:t>14.</w:t>
      </w:r>
      <w:r w:rsidRPr="0077393E">
        <w:rPr>
          <w:rFonts w:eastAsia="Calibri"/>
          <w:szCs w:val="22"/>
          <w:lang w:val="sk-SK" w:eastAsia="en-US"/>
        </w:rPr>
        <w:tab/>
        <w:t>Prílohy I a XV sa menia v súlade s prílohou I k tomuto nariadeniu.</w:t>
      </w:r>
    </w:p>
    <w:p w14:paraId="4784832B" w14:textId="77777777" w:rsidR="00BE6341" w:rsidRPr="0077393E" w:rsidRDefault="00BE6341" w:rsidP="00BE6341">
      <w:pPr>
        <w:spacing w:before="120" w:after="120" w:line="360" w:lineRule="auto"/>
        <w:ind w:left="851" w:hanging="851"/>
        <w:rPr>
          <w:rFonts w:eastAsia="Calibri"/>
          <w:szCs w:val="22"/>
          <w:lang w:val="sk-SK" w:eastAsia="en-US"/>
        </w:rPr>
      </w:pPr>
      <w:r w:rsidRPr="0077393E">
        <w:rPr>
          <w:rFonts w:eastAsia="Calibri"/>
          <w:szCs w:val="22"/>
          <w:lang w:val="sk-SK" w:eastAsia="en-US"/>
        </w:rPr>
        <w:t>15.</w:t>
      </w:r>
      <w:r w:rsidRPr="0077393E">
        <w:rPr>
          <w:rFonts w:eastAsia="Calibri"/>
          <w:szCs w:val="22"/>
          <w:lang w:val="sk-SK" w:eastAsia="en-US"/>
        </w:rPr>
        <w:tab/>
        <w:t>Text uvedený v prílohe II k tomuto nariadeniu sa dopĺňa ako príloha XVI.</w:t>
      </w:r>
    </w:p>
    <w:p w14:paraId="41A8E156" w14:textId="77777777" w:rsidR="00BE6341" w:rsidRPr="0077393E" w:rsidRDefault="00BE6341" w:rsidP="00BE6341">
      <w:pPr>
        <w:keepNext/>
        <w:spacing w:before="360" w:after="120" w:line="360" w:lineRule="auto"/>
        <w:jc w:val="center"/>
        <w:rPr>
          <w:rFonts w:eastAsia="Calibri"/>
          <w:b/>
          <w:bCs/>
          <w:szCs w:val="22"/>
          <w:lang w:val="sk-SK" w:eastAsia="en-US"/>
        </w:rPr>
      </w:pPr>
      <w:r w:rsidRPr="0077393E">
        <w:rPr>
          <w:rFonts w:eastAsia="Calibri"/>
          <w:i/>
          <w:szCs w:val="22"/>
          <w:lang w:val="sk-SK" w:eastAsia="en-US"/>
        </w:rPr>
        <w:t>Článok 2</w:t>
      </w:r>
      <w:r w:rsidRPr="0077393E">
        <w:rPr>
          <w:rFonts w:eastAsia="Calibri"/>
          <w:i/>
          <w:szCs w:val="22"/>
          <w:lang w:val="sk-SK" w:eastAsia="en-US"/>
        </w:rPr>
        <w:br/>
      </w:r>
      <w:r w:rsidRPr="0077393E">
        <w:rPr>
          <w:rFonts w:eastAsia="Calibri"/>
          <w:b/>
          <w:szCs w:val="22"/>
          <w:lang w:val="sk-SK" w:eastAsia="en-US"/>
        </w:rPr>
        <w:t>Zmeny nariadenia (EÚ) 2021/2116</w:t>
      </w:r>
    </w:p>
    <w:p w14:paraId="06D97C7C" w14:textId="77777777" w:rsidR="00BE6341" w:rsidRPr="0077393E" w:rsidRDefault="00BE6341" w:rsidP="00BE6341">
      <w:pPr>
        <w:spacing w:before="120" w:after="120" w:line="360" w:lineRule="auto"/>
        <w:rPr>
          <w:rFonts w:eastAsia="Calibri"/>
          <w:szCs w:val="22"/>
          <w:lang w:val="sk-SK" w:eastAsia="en-US"/>
        </w:rPr>
      </w:pPr>
      <w:r w:rsidRPr="0077393E">
        <w:rPr>
          <w:rFonts w:eastAsia="Calibri"/>
          <w:szCs w:val="22"/>
          <w:lang w:val="sk-SK" w:eastAsia="en-US"/>
        </w:rPr>
        <w:t>Nariadenie (EÚ) 2021/2116 sa mení takto:</w:t>
      </w:r>
    </w:p>
    <w:p w14:paraId="60894529" w14:textId="77777777" w:rsidR="00BE6341" w:rsidRPr="0077393E" w:rsidRDefault="00BE6341" w:rsidP="00BE6341">
      <w:pPr>
        <w:spacing w:before="120" w:after="120" w:line="360" w:lineRule="auto"/>
        <w:ind w:left="851" w:hanging="851"/>
        <w:rPr>
          <w:rFonts w:eastAsia="Calibri"/>
          <w:szCs w:val="22"/>
          <w:lang w:val="sk-SK" w:eastAsia="en-US"/>
        </w:rPr>
      </w:pPr>
      <w:r w:rsidRPr="0077393E">
        <w:rPr>
          <w:rFonts w:eastAsia="Calibri"/>
          <w:szCs w:val="22"/>
          <w:lang w:val="sk-SK" w:eastAsia="en-US"/>
        </w:rPr>
        <w:t>1.</w:t>
      </w:r>
      <w:r w:rsidRPr="0077393E">
        <w:rPr>
          <w:rFonts w:eastAsia="Calibri"/>
          <w:szCs w:val="22"/>
          <w:lang w:val="sk-SK" w:eastAsia="en-US"/>
        </w:rPr>
        <w:tab/>
        <w:t xml:space="preserve">V článku 21 ods. 2 sa prvý </w:t>
      </w:r>
      <w:proofErr w:type="spellStart"/>
      <w:r w:rsidRPr="0077393E">
        <w:rPr>
          <w:rFonts w:eastAsia="Calibri"/>
          <w:szCs w:val="22"/>
          <w:lang w:val="sk-SK" w:eastAsia="en-US"/>
        </w:rPr>
        <w:t>pododsek</w:t>
      </w:r>
      <w:proofErr w:type="spellEnd"/>
      <w:r w:rsidRPr="0077393E">
        <w:rPr>
          <w:rFonts w:eastAsia="Calibri"/>
          <w:szCs w:val="22"/>
          <w:lang w:val="sk-SK" w:eastAsia="en-US"/>
        </w:rPr>
        <w:t xml:space="preserve"> nahrádza takto:</w:t>
      </w:r>
    </w:p>
    <w:p w14:paraId="0D2F24DE" w14:textId="77777777" w:rsidR="00BE6341" w:rsidRPr="0077393E" w:rsidRDefault="00BE6341" w:rsidP="00BE6341">
      <w:pPr>
        <w:spacing w:before="120" w:after="120" w:line="360" w:lineRule="auto"/>
        <w:ind w:left="1418" w:hanging="568"/>
        <w:rPr>
          <w:rFonts w:eastAsia="Calibri"/>
          <w:szCs w:val="22"/>
          <w:lang w:val="sk-SK" w:eastAsia="en-US"/>
        </w:rPr>
      </w:pPr>
      <w:r w:rsidRPr="0077393E">
        <w:rPr>
          <w:rFonts w:eastAsia="Calibri"/>
          <w:szCs w:val="22"/>
          <w:lang w:val="sk-SK" w:eastAsia="en-US"/>
        </w:rPr>
        <w:t>„2.</w:t>
      </w:r>
      <w:r w:rsidRPr="0077393E">
        <w:rPr>
          <w:rFonts w:eastAsia="Calibri"/>
          <w:szCs w:val="22"/>
          <w:lang w:val="sk-SK" w:eastAsia="en-US"/>
        </w:rPr>
        <w:tab/>
        <w:t xml:space="preserve">Mesačné platby sa vyplácajú každému členskému štátu najneskôr k tretiemu pracovnému dňu druhého mesiaca nasledujúceho po mesiaci, v ktorom sa výdavky vynaložili, pričom sa zohľadňujú zníženia alebo pozastavenia platieb uplatňované podľa článkov 39 až 42 alebo akékoľvek iné opravy. Výdavky vynaložené členskými štátmi od 1. do 15. októbra sa považujú za výdavky vynaložené v mesiaci október. Výdavky vynaložené od 16. do 31. októbra sa považujú za výdavky vynaložené v mesiaci november. Výdavky vynaložené členskými štátmi na vyplatenie preddavkov pred 16. októbrom v kalendárnom roku 2026 podľa článku 44 ods. 2 druhého </w:t>
      </w:r>
      <w:proofErr w:type="spellStart"/>
      <w:r w:rsidRPr="0077393E">
        <w:rPr>
          <w:rFonts w:eastAsia="Calibri"/>
          <w:szCs w:val="22"/>
          <w:lang w:val="sk-SK" w:eastAsia="en-US"/>
        </w:rPr>
        <w:t>pododseku</w:t>
      </w:r>
      <w:proofErr w:type="spellEnd"/>
      <w:r w:rsidRPr="0077393E">
        <w:rPr>
          <w:rFonts w:eastAsia="Calibri"/>
          <w:szCs w:val="22"/>
          <w:lang w:val="sk-SK" w:eastAsia="en-US"/>
        </w:rPr>
        <w:t xml:space="preserve"> písm. a) sa považujú za výdavky vynaložené v mesiaci november a vykážu sa vo vyhlásení za daný mesiac.“</w:t>
      </w:r>
    </w:p>
    <w:p w14:paraId="64A60C7F" w14:textId="77777777" w:rsidR="00BE6341" w:rsidRPr="0077393E" w:rsidRDefault="00BE6341" w:rsidP="00BE6341">
      <w:pPr>
        <w:spacing w:after="160" w:line="278" w:lineRule="auto"/>
        <w:rPr>
          <w:rFonts w:eastAsia="Calibri"/>
          <w:szCs w:val="22"/>
          <w:lang w:val="sk-SK" w:eastAsia="en-US"/>
        </w:rPr>
      </w:pPr>
      <w:r w:rsidRPr="0077393E">
        <w:rPr>
          <w:rFonts w:eastAsia="Calibri"/>
          <w:szCs w:val="22"/>
          <w:lang w:val="sk-SK" w:eastAsia="en-US"/>
        </w:rPr>
        <w:br w:type="page"/>
      </w:r>
    </w:p>
    <w:p w14:paraId="513A58A6" w14:textId="77777777" w:rsidR="00BE6341" w:rsidRPr="0077393E" w:rsidRDefault="00BE6341" w:rsidP="00BE6341">
      <w:pPr>
        <w:spacing w:before="120" w:after="120" w:line="360" w:lineRule="auto"/>
        <w:ind w:left="851" w:hanging="851"/>
        <w:rPr>
          <w:rFonts w:eastAsia="Calibri"/>
          <w:szCs w:val="22"/>
          <w:lang w:val="sk-SK" w:eastAsia="en-US"/>
        </w:rPr>
      </w:pPr>
      <w:r w:rsidRPr="0077393E">
        <w:rPr>
          <w:rFonts w:eastAsia="Calibri"/>
          <w:szCs w:val="22"/>
          <w:lang w:val="sk-SK" w:eastAsia="en-US"/>
        </w:rPr>
        <w:lastRenderedPageBreak/>
        <w:t>2.</w:t>
      </w:r>
      <w:r w:rsidRPr="0077393E">
        <w:rPr>
          <w:rFonts w:eastAsia="Calibri"/>
          <w:szCs w:val="22"/>
          <w:lang w:val="sk-SK" w:eastAsia="en-US"/>
        </w:rPr>
        <w:tab/>
        <w:t>Článok 35 sa nahrádza takto:</w:t>
      </w:r>
    </w:p>
    <w:p w14:paraId="4667C374" w14:textId="77777777" w:rsidR="00BE6341" w:rsidRPr="0077393E" w:rsidRDefault="00BE6341" w:rsidP="00BE6341">
      <w:pPr>
        <w:spacing w:before="120" w:after="120" w:line="360" w:lineRule="auto"/>
        <w:ind w:left="850"/>
        <w:rPr>
          <w:rFonts w:eastAsia="Calibri"/>
          <w:b/>
          <w:bCs/>
          <w:szCs w:val="22"/>
          <w:lang w:val="sk-SK" w:eastAsia="en-US"/>
        </w:rPr>
      </w:pPr>
      <w:r w:rsidRPr="0077393E">
        <w:rPr>
          <w:rFonts w:eastAsia="Calibri"/>
          <w:szCs w:val="22"/>
          <w:lang w:val="sk-SK" w:eastAsia="en-US"/>
        </w:rPr>
        <w:t>„</w:t>
      </w:r>
      <w:r w:rsidRPr="0077393E">
        <w:rPr>
          <w:rFonts w:eastAsia="Calibri"/>
          <w:i/>
          <w:szCs w:val="22"/>
          <w:lang w:val="sk-SK" w:eastAsia="en-US"/>
        </w:rPr>
        <w:t>Článok 35</w:t>
      </w:r>
      <w:r w:rsidRPr="0077393E">
        <w:rPr>
          <w:rFonts w:eastAsia="Calibri"/>
          <w:i/>
          <w:szCs w:val="22"/>
          <w:lang w:val="sk-SK" w:eastAsia="en-US"/>
        </w:rPr>
        <w:br/>
      </w:r>
      <w:r w:rsidRPr="0077393E">
        <w:rPr>
          <w:rFonts w:eastAsia="Calibri"/>
          <w:b/>
          <w:szCs w:val="22"/>
          <w:lang w:val="sk-SK" w:eastAsia="en-US"/>
        </w:rPr>
        <w:t>Poľnohospodársky finančný rok</w:t>
      </w:r>
    </w:p>
    <w:p w14:paraId="15C2093E" w14:textId="77777777" w:rsidR="00BE6341" w:rsidRPr="0077393E" w:rsidRDefault="00BE6341" w:rsidP="00BE6341">
      <w:pPr>
        <w:spacing w:before="120" w:after="120" w:line="360" w:lineRule="auto"/>
        <w:ind w:left="850"/>
        <w:rPr>
          <w:rFonts w:eastAsia="Calibri"/>
          <w:szCs w:val="22"/>
          <w:lang w:val="sk-SK" w:eastAsia="en-US"/>
        </w:rPr>
      </w:pPr>
      <w:r w:rsidRPr="0077393E">
        <w:rPr>
          <w:rFonts w:eastAsia="Calibri"/>
          <w:szCs w:val="22"/>
          <w:lang w:val="sk-SK" w:eastAsia="en-US"/>
        </w:rPr>
        <w:t xml:space="preserve">Bez toho, aby boli dotknuté osobitné ustanovenia o vyhláseniach o výdavkoch a príjmoch, ktoré sa týkajú verejnej intervencie a ktoré ustanovila Komisia podľa článku 47 ods. 2 prvého </w:t>
      </w:r>
      <w:proofErr w:type="spellStart"/>
      <w:r w:rsidRPr="0077393E">
        <w:rPr>
          <w:rFonts w:eastAsia="Calibri"/>
          <w:szCs w:val="22"/>
          <w:lang w:val="sk-SK" w:eastAsia="en-US"/>
        </w:rPr>
        <w:t>pododseku</w:t>
      </w:r>
      <w:proofErr w:type="spellEnd"/>
      <w:r w:rsidRPr="0077393E">
        <w:rPr>
          <w:rFonts w:eastAsia="Calibri"/>
          <w:szCs w:val="22"/>
          <w:lang w:val="sk-SK" w:eastAsia="en-US"/>
        </w:rPr>
        <w:t xml:space="preserve"> písm. a), a o vyhláseniach o výdavkoch, ktoré sa týkajú preddavkov vyplatených pred 16. októbrom kalendárneho roka 2026 podľa článku 44 ods. 2 druhého </w:t>
      </w:r>
      <w:proofErr w:type="spellStart"/>
      <w:r w:rsidRPr="0077393E">
        <w:rPr>
          <w:rFonts w:eastAsia="Calibri"/>
          <w:szCs w:val="22"/>
          <w:lang w:val="sk-SK" w:eastAsia="en-US"/>
        </w:rPr>
        <w:t>pododseku</w:t>
      </w:r>
      <w:proofErr w:type="spellEnd"/>
      <w:r w:rsidRPr="0077393E">
        <w:rPr>
          <w:rFonts w:eastAsia="Calibri"/>
          <w:szCs w:val="22"/>
          <w:lang w:val="sk-SK" w:eastAsia="en-US"/>
        </w:rPr>
        <w:t xml:space="preserve"> písm. a), sa finančný rok vzťahuje na vyplatené výdavky a získané príjmy, ktoré platobné agentúry zaúčtovali do EPZF a EPFRV za finančný rok N začínajúci 16. októbra roku N – 1 a končiaci 15. októbra roku N.“</w:t>
      </w:r>
    </w:p>
    <w:p w14:paraId="4FE949AB" w14:textId="77777777" w:rsidR="00BE6341" w:rsidRPr="0077393E" w:rsidRDefault="00BE6341" w:rsidP="00BE6341">
      <w:pPr>
        <w:spacing w:before="120" w:after="120" w:line="360" w:lineRule="auto"/>
        <w:ind w:left="851" w:hanging="851"/>
        <w:rPr>
          <w:rFonts w:eastAsia="Calibri"/>
          <w:szCs w:val="22"/>
          <w:lang w:val="sk-SK" w:eastAsia="en-US"/>
        </w:rPr>
      </w:pPr>
      <w:r w:rsidRPr="0077393E">
        <w:rPr>
          <w:rFonts w:eastAsia="Calibri"/>
          <w:szCs w:val="22"/>
          <w:lang w:val="sk-SK" w:eastAsia="en-US"/>
        </w:rPr>
        <w:t>3.</w:t>
      </w:r>
      <w:r w:rsidRPr="0077393E">
        <w:rPr>
          <w:rFonts w:eastAsia="Calibri"/>
          <w:szCs w:val="22"/>
          <w:lang w:val="sk-SK" w:eastAsia="en-US"/>
        </w:rPr>
        <w:tab/>
        <w:t xml:space="preserve">V článku 44 ods. 2 druhom </w:t>
      </w:r>
      <w:proofErr w:type="spellStart"/>
      <w:r w:rsidRPr="0077393E">
        <w:rPr>
          <w:rFonts w:eastAsia="Calibri"/>
          <w:szCs w:val="22"/>
          <w:lang w:val="sk-SK" w:eastAsia="en-US"/>
        </w:rPr>
        <w:t>pododseku</w:t>
      </w:r>
      <w:proofErr w:type="spellEnd"/>
      <w:r w:rsidRPr="0077393E">
        <w:rPr>
          <w:rFonts w:eastAsia="Calibri"/>
          <w:szCs w:val="22"/>
          <w:lang w:val="sk-SK" w:eastAsia="en-US"/>
        </w:rPr>
        <w:t xml:space="preserve"> sa písmeno a) nahrádza takto:</w:t>
      </w:r>
    </w:p>
    <w:p w14:paraId="43BBFD29" w14:textId="77777777" w:rsidR="00BE6341" w:rsidRPr="0077393E" w:rsidRDefault="00BE6341" w:rsidP="00BE6341">
      <w:pPr>
        <w:spacing w:before="120" w:after="120" w:line="360" w:lineRule="auto"/>
        <w:ind w:left="1418" w:hanging="568"/>
        <w:rPr>
          <w:rFonts w:eastAsia="Calibri"/>
          <w:szCs w:val="22"/>
          <w:lang w:val="sk-SK" w:eastAsia="en-US"/>
        </w:rPr>
      </w:pPr>
      <w:r w:rsidRPr="0077393E">
        <w:rPr>
          <w:rFonts w:eastAsia="Calibri"/>
          <w:szCs w:val="22"/>
          <w:lang w:val="sk-SK" w:eastAsia="en-US"/>
        </w:rPr>
        <w:t>„a)</w:t>
      </w:r>
      <w:r w:rsidRPr="0077393E">
        <w:rPr>
          <w:rFonts w:eastAsia="Calibri"/>
          <w:szCs w:val="22"/>
          <w:lang w:val="sk-SK" w:eastAsia="en-US"/>
        </w:rPr>
        <w:tab/>
        <w:t>pred 1. decembrom, najskôr však od 16. októbra vyplácať preddavky až do výšky 70 % v prípade intervencií vo forme priamych platieb a v prípade pomoci, ktorá predstavuje priame platby v rámci opatrení uvedených v kapitole IV nariadenia (EÚ) č. 228/2013 a v kapitole IV nariadenia (EÚ) č. 229/2013, a pokiaľ ide o rok podávania žiadostí 2026, vyplácať preddavky až do výšky 75 % na intervencie a pomoc uvedené v tomto písmene, pred 16. októbrom 2026;“.</w:t>
      </w:r>
    </w:p>
    <w:p w14:paraId="1DEBF825" w14:textId="77777777" w:rsidR="00BE6341" w:rsidRPr="0077393E" w:rsidRDefault="00BE6341" w:rsidP="00BE6341">
      <w:pPr>
        <w:spacing w:after="160" w:line="278" w:lineRule="auto"/>
        <w:rPr>
          <w:rFonts w:eastAsia="Calibri"/>
          <w:i/>
          <w:szCs w:val="22"/>
          <w:lang w:val="sk-SK" w:eastAsia="en-US"/>
        </w:rPr>
      </w:pPr>
      <w:r w:rsidRPr="0077393E">
        <w:rPr>
          <w:rFonts w:eastAsia="Calibri"/>
          <w:i/>
          <w:szCs w:val="22"/>
          <w:lang w:val="sk-SK" w:eastAsia="en-US"/>
        </w:rPr>
        <w:br w:type="page"/>
      </w:r>
    </w:p>
    <w:p w14:paraId="009B6CA7" w14:textId="77777777" w:rsidR="00BE6341" w:rsidRPr="0077393E" w:rsidRDefault="00BE6341" w:rsidP="00BE6341">
      <w:pPr>
        <w:keepNext/>
        <w:spacing w:before="360" w:after="120" w:line="360" w:lineRule="auto"/>
        <w:jc w:val="center"/>
        <w:rPr>
          <w:rFonts w:eastAsia="Calibri"/>
          <w:b/>
          <w:bCs/>
          <w:szCs w:val="22"/>
          <w:lang w:val="sk-SK" w:eastAsia="en-US"/>
        </w:rPr>
      </w:pPr>
      <w:r w:rsidRPr="0077393E">
        <w:rPr>
          <w:rFonts w:eastAsia="Calibri"/>
          <w:i/>
          <w:szCs w:val="22"/>
          <w:lang w:val="sk-SK" w:eastAsia="en-US"/>
        </w:rPr>
        <w:lastRenderedPageBreak/>
        <w:t>Článok 3</w:t>
      </w:r>
      <w:r w:rsidRPr="0077393E">
        <w:rPr>
          <w:rFonts w:eastAsia="Calibri"/>
          <w:i/>
          <w:szCs w:val="22"/>
          <w:lang w:val="sk-SK" w:eastAsia="en-US"/>
        </w:rPr>
        <w:br/>
      </w:r>
      <w:r w:rsidRPr="0077393E">
        <w:rPr>
          <w:rFonts w:eastAsia="Calibri"/>
          <w:b/>
          <w:szCs w:val="22"/>
          <w:lang w:val="sk-SK" w:eastAsia="en-US"/>
        </w:rPr>
        <w:t>Nadobudnutie účinnosti</w:t>
      </w:r>
    </w:p>
    <w:p w14:paraId="65A3E189" w14:textId="77777777" w:rsidR="00BE6341" w:rsidRPr="0077393E" w:rsidRDefault="00BE6341" w:rsidP="00BE6341">
      <w:pPr>
        <w:spacing w:before="120" w:after="120" w:line="360" w:lineRule="auto"/>
        <w:rPr>
          <w:rFonts w:eastAsia="Calibri"/>
          <w:szCs w:val="22"/>
          <w:lang w:val="sk-SK" w:eastAsia="en-US"/>
        </w:rPr>
      </w:pPr>
      <w:r w:rsidRPr="0077393E">
        <w:rPr>
          <w:rFonts w:eastAsia="Calibri"/>
          <w:szCs w:val="22"/>
          <w:lang w:val="sk-SK" w:eastAsia="en-US"/>
        </w:rPr>
        <w:t xml:space="preserve">Toto nariadenie nadobúda účinnosť dňom nasledujúcim po jeho uverejnení v </w:t>
      </w:r>
      <w:r w:rsidRPr="0077393E">
        <w:rPr>
          <w:rFonts w:eastAsia="Calibri"/>
          <w:i/>
          <w:szCs w:val="22"/>
          <w:lang w:val="sk-SK" w:eastAsia="en-US"/>
        </w:rPr>
        <w:t>Úradnom vestníku Európskej únie</w:t>
      </w:r>
      <w:r w:rsidRPr="0077393E">
        <w:rPr>
          <w:rFonts w:eastAsia="Calibri"/>
          <w:szCs w:val="22"/>
          <w:lang w:val="sk-SK" w:eastAsia="en-US"/>
        </w:rPr>
        <w:t>.</w:t>
      </w:r>
    </w:p>
    <w:p w14:paraId="5B103EAD" w14:textId="77777777" w:rsidR="00BE6341" w:rsidRPr="0077393E" w:rsidRDefault="00BE6341" w:rsidP="00BE6341">
      <w:pPr>
        <w:spacing w:before="480" w:after="120" w:line="360" w:lineRule="auto"/>
        <w:rPr>
          <w:rFonts w:eastAsia="Calibri"/>
          <w:szCs w:val="22"/>
          <w:lang w:val="sk-SK" w:eastAsia="en-US"/>
        </w:rPr>
      </w:pPr>
      <w:r w:rsidRPr="0077393E">
        <w:rPr>
          <w:rFonts w:eastAsia="Calibri"/>
          <w:szCs w:val="22"/>
          <w:lang w:val="sk-SK" w:eastAsia="en-US"/>
        </w:rPr>
        <w:t>Toto nariadenie je záväzné v celom rozsahu a priamo uplatniteľné vo všetkých členských štátoch.</w:t>
      </w:r>
    </w:p>
    <w:p w14:paraId="19416C75" w14:textId="77777777" w:rsidR="00BE6341" w:rsidRPr="0077393E" w:rsidRDefault="00BE6341" w:rsidP="00BE6341">
      <w:pPr>
        <w:keepNext/>
        <w:spacing w:before="120" w:line="360" w:lineRule="auto"/>
        <w:rPr>
          <w:rFonts w:eastAsia="Calibri"/>
          <w:szCs w:val="22"/>
          <w:lang w:val="sk-SK" w:eastAsia="en-US"/>
        </w:rPr>
      </w:pPr>
      <w:r w:rsidRPr="0077393E">
        <w:rPr>
          <w:rFonts w:eastAsia="Calibri"/>
          <w:szCs w:val="22"/>
          <w:lang w:val="sk-SK" w:eastAsia="en-US"/>
        </w:rPr>
        <w:t>V ...</w:t>
      </w:r>
    </w:p>
    <w:p w14:paraId="7DEA96C6" w14:textId="77777777" w:rsidR="00BE6341" w:rsidRPr="0077393E" w:rsidRDefault="00BE6341" w:rsidP="00BE6341">
      <w:pPr>
        <w:keepNext/>
        <w:tabs>
          <w:tab w:val="left" w:pos="4820"/>
        </w:tabs>
        <w:spacing w:before="720" w:line="360" w:lineRule="auto"/>
        <w:jc w:val="both"/>
        <w:rPr>
          <w:rFonts w:eastAsia="Calibri"/>
          <w:i/>
          <w:szCs w:val="22"/>
          <w:lang w:val="sk-SK" w:eastAsia="en-US"/>
        </w:rPr>
      </w:pPr>
      <w:r w:rsidRPr="0077393E">
        <w:rPr>
          <w:rFonts w:eastAsia="Calibri"/>
          <w:i/>
          <w:szCs w:val="22"/>
          <w:lang w:val="sk-SK" w:eastAsia="en-US"/>
        </w:rPr>
        <w:t>Za Európsky parlament</w:t>
      </w:r>
      <w:r w:rsidRPr="0077393E">
        <w:rPr>
          <w:rFonts w:eastAsia="Calibri"/>
          <w:i/>
          <w:szCs w:val="22"/>
          <w:lang w:val="sk-SK" w:eastAsia="en-US"/>
        </w:rPr>
        <w:tab/>
        <w:t>Za Radu</w:t>
      </w:r>
    </w:p>
    <w:p w14:paraId="11C615A3" w14:textId="77777777" w:rsidR="0054017B" w:rsidRPr="0077393E" w:rsidRDefault="00BE6341" w:rsidP="00BE6341">
      <w:pPr>
        <w:tabs>
          <w:tab w:val="left" w:pos="4820"/>
        </w:tabs>
        <w:spacing w:after="160" w:line="278" w:lineRule="auto"/>
        <w:rPr>
          <w:rFonts w:eastAsia="Calibri"/>
          <w:i/>
          <w:szCs w:val="22"/>
          <w:lang w:val="sk-SK" w:eastAsia="en-US"/>
        </w:rPr>
        <w:sectPr w:rsidR="0054017B" w:rsidRPr="0077393E" w:rsidSect="00DD52D6">
          <w:footnotePr>
            <w:numRestart w:val="eachSect"/>
          </w:footnotePr>
          <w:pgSz w:w="11907" w:h="16840" w:code="9"/>
          <w:pgMar w:top="1134" w:right="1418" w:bottom="1134" w:left="1418" w:header="709" w:footer="709" w:gutter="0"/>
          <w:pgNumType w:start="1"/>
          <w:cols w:space="720"/>
          <w:docGrid w:linePitch="360"/>
        </w:sectPr>
      </w:pPr>
      <w:r w:rsidRPr="0077393E">
        <w:rPr>
          <w:rFonts w:eastAsia="Calibri"/>
          <w:i/>
          <w:szCs w:val="22"/>
          <w:lang w:val="sk-SK" w:eastAsia="en-US"/>
        </w:rPr>
        <w:t>predsedníčka</w:t>
      </w:r>
      <w:r w:rsidRPr="0077393E">
        <w:rPr>
          <w:rFonts w:eastAsia="Calibri"/>
          <w:i/>
          <w:szCs w:val="22"/>
          <w:lang w:val="sk-SK" w:eastAsia="en-US"/>
        </w:rPr>
        <w:tab/>
        <w:t>predseda/predsedníčka</w:t>
      </w:r>
    </w:p>
    <w:p w14:paraId="43D21116" w14:textId="77777777" w:rsidR="00BE6341" w:rsidRPr="0077393E" w:rsidRDefault="00BE6341" w:rsidP="0054017B">
      <w:pPr>
        <w:spacing w:line="360" w:lineRule="auto"/>
        <w:jc w:val="center"/>
        <w:rPr>
          <w:rFonts w:eastAsia="Calibri"/>
          <w:i/>
          <w:iCs/>
          <w:noProof/>
          <w:kern w:val="2"/>
          <w:szCs w:val="24"/>
          <w:lang w:val="sk-SK" w:eastAsia="en-US"/>
          <w14:ligatures w14:val="standardContextual"/>
        </w:rPr>
      </w:pPr>
      <w:r w:rsidRPr="0077393E">
        <w:rPr>
          <w:rFonts w:eastAsia="Calibri"/>
          <w:i/>
          <w:noProof/>
          <w:kern w:val="2"/>
          <w:szCs w:val="24"/>
          <w:lang w:val="sk-SK" w:eastAsia="en-US"/>
          <w14:ligatures w14:val="standardContextual"/>
        </w:rPr>
        <w:lastRenderedPageBreak/>
        <w:t>PRÍLOHA I</w:t>
      </w:r>
    </w:p>
    <w:p w14:paraId="6CE64EB5" w14:textId="77777777" w:rsidR="00BE6341" w:rsidRPr="0077393E" w:rsidRDefault="00BE6341" w:rsidP="00BE6341">
      <w:pPr>
        <w:spacing w:before="120" w:after="120" w:line="360" w:lineRule="auto"/>
        <w:ind w:left="851" w:hanging="851"/>
        <w:rPr>
          <w:rFonts w:eastAsia="Calibri"/>
          <w:noProof/>
          <w:kern w:val="2"/>
          <w:szCs w:val="24"/>
          <w:lang w:val="sk-SK" w:eastAsia="en-US"/>
          <w14:ligatures w14:val="standardContextual"/>
        </w:rPr>
      </w:pPr>
      <w:r w:rsidRPr="0077393E">
        <w:rPr>
          <w:rFonts w:eastAsia="Calibri"/>
          <w:noProof/>
          <w:kern w:val="2"/>
          <w:szCs w:val="22"/>
          <w:lang w:val="sk-SK" w:eastAsia="en-US"/>
          <w14:ligatures w14:val="standardContextual"/>
        </w:rPr>
        <w:t>Prílohy I a XV k nariadeniu (EÚ) 2021/2115 sa menia takto:</w:t>
      </w:r>
    </w:p>
    <w:p w14:paraId="5A666E2A" w14:textId="77777777" w:rsidR="00BE6341" w:rsidRPr="0077393E" w:rsidRDefault="00BE6341" w:rsidP="00BE6341">
      <w:pPr>
        <w:numPr>
          <w:ilvl w:val="0"/>
          <w:numId w:val="10"/>
        </w:numPr>
        <w:spacing w:before="120" w:after="120" w:line="360" w:lineRule="auto"/>
        <w:ind w:left="851" w:hanging="851"/>
        <w:contextualSpacing/>
        <w:rPr>
          <w:rFonts w:eastAsia="Calibri"/>
          <w:noProof/>
          <w:szCs w:val="22"/>
          <w:lang w:val="sk-SK" w:eastAsia="en-US"/>
        </w:rPr>
      </w:pPr>
      <w:r w:rsidRPr="0077393E">
        <w:rPr>
          <w:rFonts w:eastAsia="Calibri"/>
          <w:noProof/>
          <w:szCs w:val="22"/>
          <w:lang w:val="sk-SK" w:eastAsia="en-US"/>
        </w:rPr>
        <w:t>V prílohe I sa do tabuľky „Monitorovanie – VÝSTUP – Typy intervencií a ich ukazovatele výstupov“ za riadok „Krízové platby poľnohospodárom v dôsledku prírodných katastrof, nepriaznivých poveternostných udalostí alebo katastrofických udalostí (článok 78a)“ vkladá táto položka:</w:t>
      </w:r>
    </w:p>
    <w:p w14:paraId="269D1734" w14:textId="77777777" w:rsidR="00BE6341" w:rsidRPr="0077393E" w:rsidRDefault="00BE6341" w:rsidP="00BE6341">
      <w:pPr>
        <w:spacing w:before="120" w:after="120" w:line="360" w:lineRule="auto"/>
        <w:rPr>
          <w:rFonts w:eastAsia="Calibri"/>
          <w:noProof/>
          <w:szCs w:val="22"/>
          <w:lang w:val="sk-SK" w:eastAsia="en-US"/>
        </w:rPr>
      </w:pPr>
      <w:r w:rsidRPr="0077393E">
        <w:rPr>
          <w:rFonts w:eastAsia="Calibri"/>
          <w:noProof/>
          <w:szCs w:val="22"/>
          <w:lang w:val="sk-SK" w:eastAsia="en-US"/>
        </w:rPr>
        <w:t>„</w:t>
      </w:r>
    </w:p>
    <w:tbl>
      <w:tblPr>
        <w:tblStyle w:val="TableGrid1"/>
        <w:tblW w:w="0" w:type="auto"/>
        <w:tblInd w:w="426" w:type="dxa"/>
        <w:tblLook w:val="04A0" w:firstRow="1" w:lastRow="0" w:firstColumn="1" w:lastColumn="0" w:noHBand="0" w:noVBand="1"/>
      </w:tblPr>
      <w:tblGrid>
        <w:gridCol w:w="4346"/>
        <w:gridCol w:w="4289"/>
      </w:tblGrid>
      <w:tr w:rsidR="00BE6341" w:rsidRPr="0077393E" w14:paraId="2A85009F" w14:textId="77777777" w:rsidTr="006E6F23">
        <w:tc>
          <w:tcPr>
            <w:tcW w:w="4346" w:type="dxa"/>
            <w:tcBorders>
              <w:top w:val="single" w:sz="4" w:space="0" w:color="auto"/>
              <w:left w:val="single" w:sz="4" w:space="0" w:color="auto"/>
              <w:bottom w:val="single" w:sz="4" w:space="0" w:color="auto"/>
              <w:right w:val="single" w:sz="4" w:space="0" w:color="auto"/>
            </w:tcBorders>
            <w:hideMark/>
          </w:tcPr>
          <w:p w14:paraId="738FE67A" w14:textId="68831B95" w:rsidR="00BE6341" w:rsidRPr="0077393E" w:rsidRDefault="00BE6341" w:rsidP="00BE6341">
            <w:pPr>
              <w:spacing w:line="360" w:lineRule="auto"/>
              <w:ind w:left="23" w:hanging="23"/>
              <w:rPr>
                <w:rFonts w:eastAsia="Calibri"/>
                <w:sz w:val="20"/>
                <w:szCs w:val="22"/>
                <w:lang w:val="sk-SK"/>
              </w:rPr>
            </w:pPr>
            <w:r w:rsidRPr="0077393E">
              <w:rPr>
                <w:rFonts w:eastAsia="Calibri"/>
                <w:szCs w:val="24"/>
                <w:lang w:val="sk-SK"/>
              </w:rPr>
              <w:t>Podpora pre poľnohospodárov postihnutých prudkým zvýšením cien hnojív v dôsledku krízy na Blízkom východe (článok 78b)</w:t>
            </w:r>
          </w:p>
        </w:tc>
        <w:tc>
          <w:tcPr>
            <w:tcW w:w="4289" w:type="dxa"/>
            <w:tcBorders>
              <w:top w:val="single" w:sz="4" w:space="0" w:color="auto"/>
              <w:left w:val="single" w:sz="4" w:space="0" w:color="auto"/>
              <w:bottom w:val="single" w:sz="4" w:space="0" w:color="auto"/>
              <w:right w:val="single" w:sz="4" w:space="0" w:color="auto"/>
            </w:tcBorders>
            <w:hideMark/>
          </w:tcPr>
          <w:p w14:paraId="7289C62F" w14:textId="08C60E6E" w:rsidR="00BE6341" w:rsidRPr="0077393E" w:rsidRDefault="00BE6341" w:rsidP="00BE6341">
            <w:pPr>
              <w:spacing w:line="360" w:lineRule="auto"/>
              <w:rPr>
                <w:rFonts w:eastAsia="Calibri"/>
                <w:szCs w:val="24"/>
                <w:lang w:val="sk-SK"/>
              </w:rPr>
            </w:pPr>
            <w:r w:rsidRPr="0077393E">
              <w:rPr>
                <w:rFonts w:eastAsia="Calibri"/>
                <w:szCs w:val="24"/>
                <w:lang w:val="sk-SK"/>
              </w:rPr>
              <w:t>O.9b Počet poľnohospodárov využívajúcich podporu po prudkom zvýšení cien hnojív.</w:t>
            </w:r>
          </w:p>
        </w:tc>
      </w:tr>
    </w:tbl>
    <w:p w14:paraId="4B759DDE" w14:textId="312449A2" w:rsidR="00BE6341" w:rsidRPr="0077393E" w:rsidRDefault="006E6F23" w:rsidP="00BE6341">
      <w:pPr>
        <w:spacing w:before="120" w:after="120" w:line="360" w:lineRule="auto"/>
        <w:ind w:left="851" w:hanging="851"/>
        <w:rPr>
          <w:rFonts w:eastAsia="Calibri"/>
          <w:noProof/>
          <w:szCs w:val="22"/>
          <w:lang w:val="sk-SK" w:eastAsia="en-US"/>
        </w:rPr>
      </w:pPr>
      <w:r w:rsidRPr="0077393E">
        <w:rPr>
          <w:rFonts w:eastAsia="Calibri"/>
          <w:noProof/>
          <w:szCs w:val="22"/>
          <w:lang w:val="sk-SK" w:eastAsia="en-US"/>
        </w:rPr>
        <w:t>“</w:t>
      </w:r>
      <w:r w:rsidR="00BE6341" w:rsidRPr="0077393E">
        <w:rPr>
          <w:rFonts w:eastAsia="Calibri"/>
          <w:noProof/>
          <w:szCs w:val="22"/>
          <w:lang w:val="sk-SK" w:eastAsia="en-US"/>
        </w:rPr>
        <w:t>;</w:t>
      </w:r>
    </w:p>
    <w:p w14:paraId="7A3619C6" w14:textId="77777777" w:rsidR="00BE6341" w:rsidRPr="0077393E" w:rsidRDefault="00BE6341" w:rsidP="00BE6341">
      <w:pPr>
        <w:spacing w:before="120" w:after="120" w:line="360" w:lineRule="auto"/>
        <w:ind w:left="851" w:hanging="851"/>
        <w:rPr>
          <w:rFonts w:eastAsia="Calibri"/>
          <w:noProof/>
          <w:szCs w:val="22"/>
          <w:lang w:val="sk-SK" w:eastAsia="en-US"/>
        </w:rPr>
      </w:pPr>
      <w:r w:rsidRPr="0077393E">
        <w:rPr>
          <w:rFonts w:eastAsia="Calibri"/>
          <w:noProof/>
          <w:szCs w:val="22"/>
          <w:lang w:val="sk-SK" w:eastAsia="en-US"/>
        </w:rPr>
        <w:t>2.</w:t>
      </w:r>
      <w:r w:rsidRPr="0077393E">
        <w:rPr>
          <w:rFonts w:eastAsia="Calibri"/>
          <w:noProof/>
          <w:szCs w:val="22"/>
          <w:lang w:val="sk-SK" w:eastAsia="en-US"/>
        </w:rPr>
        <w:tab/>
        <w:t>Názov prílohy XV sa nahrádza takto:</w:t>
      </w:r>
    </w:p>
    <w:p w14:paraId="0887AFC1" w14:textId="77777777" w:rsidR="00BE6341" w:rsidRPr="0077393E" w:rsidRDefault="00BE6341" w:rsidP="00BE6341">
      <w:pPr>
        <w:spacing w:before="120" w:after="120" w:line="360" w:lineRule="auto"/>
        <w:ind w:left="426" w:firstLine="294"/>
        <w:contextualSpacing/>
        <w:rPr>
          <w:rFonts w:eastAsia="Calibri"/>
          <w:i/>
          <w:noProof/>
          <w:kern w:val="2"/>
          <w:szCs w:val="24"/>
          <w:lang w:val="sk-SK" w:eastAsia="en-US"/>
          <w14:ligatures w14:val="standardContextual"/>
        </w:rPr>
      </w:pPr>
      <w:r w:rsidRPr="0077393E">
        <w:rPr>
          <w:rFonts w:eastAsia="Calibri"/>
          <w:i/>
          <w:noProof/>
          <w:kern w:val="2"/>
          <w:szCs w:val="22"/>
          <w:lang w:val="sk-SK" w:eastAsia="en-US"/>
          <w14:ligatures w14:val="standardContextual"/>
        </w:rPr>
        <w:t>„Príloha XV</w:t>
      </w:r>
    </w:p>
    <w:p w14:paraId="586E251A" w14:textId="77777777" w:rsidR="00BE6341" w:rsidRPr="0077393E" w:rsidRDefault="00BE6341" w:rsidP="00BE6341">
      <w:pPr>
        <w:spacing w:before="120" w:after="120" w:line="360" w:lineRule="auto"/>
        <w:ind w:left="720"/>
        <w:contextualSpacing/>
        <w:rPr>
          <w:rFonts w:eastAsia="Calibri"/>
          <w:noProof/>
          <w:kern w:val="2"/>
          <w:szCs w:val="24"/>
          <w:lang w:val="sk-SK" w:eastAsia="en-US"/>
          <w14:ligatures w14:val="standardContextual"/>
        </w:rPr>
      </w:pPr>
      <w:r w:rsidRPr="0077393E">
        <w:rPr>
          <w:rFonts w:eastAsia="Calibri"/>
          <w:noProof/>
          <w:kern w:val="2"/>
          <w:szCs w:val="22"/>
          <w:lang w:val="sk-SK" w:eastAsia="en-US"/>
          <w14:ligatures w14:val="standardContextual"/>
        </w:rPr>
        <w:t>Maximálna suma na členský štát, ktorú možno vyhradiť na krízové platby farmárom uvedené v článku 78a a na podporu pre poľnohospodárov uvedenú v článku 78b“.</w:t>
      </w:r>
    </w:p>
    <w:p w14:paraId="149233CF" w14:textId="77777777" w:rsidR="00BE6341" w:rsidRPr="0077393E" w:rsidRDefault="00BE6341" w:rsidP="00BE6341">
      <w:pPr>
        <w:spacing w:after="160" w:line="278" w:lineRule="auto"/>
        <w:rPr>
          <w:rFonts w:eastAsia="Calibri"/>
          <w:noProof/>
          <w:kern w:val="2"/>
          <w:sz w:val="22"/>
          <w:szCs w:val="22"/>
          <w:lang w:val="sk-SK" w:eastAsia="en-US"/>
          <w14:ligatures w14:val="standardContextual"/>
        </w:rPr>
      </w:pPr>
      <w:r w:rsidRPr="0077393E">
        <w:rPr>
          <w:rFonts w:eastAsia="Calibri"/>
          <w:noProof/>
          <w:kern w:val="2"/>
          <w:sz w:val="22"/>
          <w:szCs w:val="22"/>
          <w:lang w:val="sk-SK" w:eastAsia="en-US"/>
          <w14:ligatures w14:val="standardContextual"/>
        </w:rPr>
        <w:br w:type="page"/>
      </w:r>
    </w:p>
    <w:p w14:paraId="47DA4C1D" w14:textId="77777777" w:rsidR="00BE6341" w:rsidRPr="0077393E" w:rsidRDefault="00BE6341" w:rsidP="00BE6341">
      <w:pPr>
        <w:spacing w:after="200" w:line="276" w:lineRule="auto"/>
        <w:jc w:val="center"/>
        <w:rPr>
          <w:rFonts w:eastAsia="Calibri"/>
          <w:i/>
          <w:noProof/>
          <w:kern w:val="2"/>
          <w:szCs w:val="24"/>
          <w:lang w:val="sk-SK" w:eastAsia="en-US"/>
          <w14:ligatures w14:val="standardContextual"/>
        </w:rPr>
      </w:pPr>
      <w:r w:rsidRPr="0077393E">
        <w:rPr>
          <w:rFonts w:eastAsia="Calibri"/>
          <w:i/>
          <w:noProof/>
          <w:kern w:val="2"/>
          <w:szCs w:val="24"/>
          <w:lang w:val="sk-SK" w:eastAsia="en-US"/>
          <w14:ligatures w14:val="standardContextual"/>
        </w:rPr>
        <w:lastRenderedPageBreak/>
        <w:t>PRÍLOHA II</w:t>
      </w:r>
    </w:p>
    <w:p w14:paraId="1CA6CC0E" w14:textId="77777777" w:rsidR="00BE6341" w:rsidRPr="0077393E" w:rsidRDefault="00BE6341" w:rsidP="00BE6341">
      <w:pPr>
        <w:spacing w:after="200" w:line="276" w:lineRule="auto"/>
        <w:jc w:val="center"/>
        <w:rPr>
          <w:rFonts w:eastAsia="Calibri"/>
          <w:i/>
          <w:noProof/>
          <w:kern w:val="2"/>
          <w:szCs w:val="24"/>
          <w:lang w:val="sk-SK" w:eastAsia="en-US"/>
          <w14:ligatures w14:val="standardContextual"/>
        </w:rPr>
      </w:pPr>
      <w:r w:rsidRPr="0077393E">
        <w:rPr>
          <w:rFonts w:eastAsia="Calibri"/>
          <w:i/>
          <w:noProof/>
          <w:kern w:val="2"/>
          <w:szCs w:val="24"/>
          <w:lang w:val="sk-SK" w:eastAsia="en-US"/>
          <w14:ligatures w14:val="standardContextual"/>
        </w:rPr>
        <w:t>„Príloha XVI</w:t>
      </w:r>
    </w:p>
    <w:p w14:paraId="45EEEE8E" w14:textId="77777777" w:rsidR="00BE6341" w:rsidRPr="0077393E" w:rsidRDefault="00BE6341" w:rsidP="00BE6341">
      <w:pPr>
        <w:spacing w:after="200" w:line="276" w:lineRule="auto"/>
        <w:jc w:val="center"/>
        <w:rPr>
          <w:rFonts w:eastAsia="Calibri"/>
          <w:b/>
          <w:i/>
          <w:noProof/>
          <w:kern w:val="2"/>
          <w:szCs w:val="24"/>
          <w:lang w:val="sk-SK" w:eastAsia="en-US"/>
          <w14:ligatures w14:val="standardContextual"/>
        </w:rPr>
      </w:pPr>
      <w:r w:rsidRPr="0077393E">
        <w:rPr>
          <w:rFonts w:eastAsia="Calibri"/>
          <w:b/>
          <w:i/>
          <w:noProof/>
          <w:kern w:val="2"/>
          <w:szCs w:val="24"/>
          <w:lang w:val="sk-SK" w:eastAsia="en-US"/>
          <w14:ligatures w14:val="standardContextual"/>
        </w:rPr>
        <w:t>MAXIMÁLNE SUMY UVEDENÉ V ČLÁNKU 103a</w:t>
      </w:r>
    </w:p>
    <w:p w14:paraId="7A42A3A3" w14:textId="77777777" w:rsidR="00BE6341" w:rsidRPr="0077393E" w:rsidRDefault="00BE6341" w:rsidP="00BE6341">
      <w:pPr>
        <w:spacing w:before="120" w:after="120" w:line="360" w:lineRule="auto"/>
        <w:rPr>
          <w:rFonts w:eastAsia="Calibri"/>
          <w:i/>
          <w:iCs/>
          <w:noProof/>
          <w:kern w:val="2"/>
          <w:szCs w:val="24"/>
          <w:lang w:val="sk-SK" w:eastAsia="en-US"/>
          <w14:ligatures w14:val="standardContextual"/>
        </w:rPr>
      </w:pPr>
      <w:r w:rsidRPr="0077393E">
        <w:rPr>
          <w:rFonts w:eastAsia="Calibri"/>
          <w:i/>
          <w:noProof/>
          <w:kern w:val="2"/>
          <w:szCs w:val="24"/>
          <w:lang w:val="sk-SK" w:eastAsia="en-US"/>
          <w14:ligatures w14:val="standardContextual"/>
        </w:rPr>
        <w:t xml:space="preserve">Maximálna suma zvýšenia alokácií na priame platby na kalendárny rok 2027 na členský štát </w:t>
      </w:r>
    </w:p>
    <w:tbl>
      <w:tblPr>
        <w:tblStyle w:val="TableGrid11"/>
        <w:tblW w:w="0" w:type="auto"/>
        <w:tblInd w:w="1696" w:type="dxa"/>
        <w:tblLook w:val="04A0" w:firstRow="1" w:lastRow="0" w:firstColumn="1" w:lastColumn="0" w:noHBand="0" w:noVBand="1"/>
      </w:tblPr>
      <w:tblGrid>
        <w:gridCol w:w="2417"/>
        <w:gridCol w:w="2374"/>
      </w:tblGrid>
      <w:tr w:rsidR="00BE6341" w:rsidRPr="0077393E" w14:paraId="443849A7" w14:textId="77777777" w:rsidTr="00252DC3">
        <w:trPr>
          <w:trHeight w:val="300"/>
        </w:trPr>
        <w:tc>
          <w:tcPr>
            <w:tcW w:w="2417" w:type="dxa"/>
            <w:tcBorders>
              <w:top w:val="single" w:sz="4" w:space="0" w:color="auto"/>
              <w:left w:val="single" w:sz="4" w:space="0" w:color="auto"/>
              <w:bottom w:val="single" w:sz="4" w:space="0" w:color="auto"/>
              <w:right w:val="single" w:sz="4" w:space="0" w:color="auto"/>
            </w:tcBorders>
            <w:noWrap/>
          </w:tcPr>
          <w:p w14:paraId="698C8D30" w14:textId="77777777" w:rsidR="00BE6341" w:rsidRPr="0077393E" w:rsidRDefault="00BE6341" w:rsidP="00BE6341">
            <w:pPr>
              <w:spacing w:before="120" w:after="120"/>
              <w:rPr>
                <w:rFonts w:ascii="Times New Roman" w:hAnsi="Times New Roman"/>
                <w:noProof/>
                <w:lang w:val="sk-SK"/>
              </w:rPr>
            </w:pPr>
          </w:p>
        </w:tc>
        <w:tc>
          <w:tcPr>
            <w:tcW w:w="2374" w:type="dxa"/>
            <w:tcBorders>
              <w:top w:val="single" w:sz="4" w:space="0" w:color="auto"/>
              <w:left w:val="single" w:sz="4" w:space="0" w:color="auto"/>
              <w:bottom w:val="single" w:sz="4" w:space="0" w:color="auto"/>
              <w:right w:val="single" w:sz="4" w:space="0" w:color="auto"/>
            </w:tcBorders>
            <w:noWrap/>
            <w:hideMark/>
          </w:tcPr>
          <w:p w14:paraId="501156B5" w14:textId="77777777" w:rsidR="00BE6341" w:rsidRPr="0077393E" w:rsidRDefault="00BE6341" w:rsidP="00BE6341">
            <w:pPr>
              <w:spacing w:before="120" w:after="120"/>
              <w:jc w:val="right"/>
              <w:rPr>
                <w:rFonts w:ascii="Times New Roman" w:hAnsi="Times New Roman"/>
                <w:noProof/>
                <w:lang w:val="sk-SK"/>
              </w:rPr>
            </w:pPr>
            <w:r w:rsidRPr="0077393E">
              <w:rPr>
                <w:rFonts w:ascii="Times New Roman" w:hAnsi="Times New Roman"/>
                <w:noProof/>
                <w:lang w:val="sk-SK"/>
              </w:rPr>
              <w:t>EUR (bežné ceny)</w:t>
            </w:r>
          </w:p>
        </w:tc>
      </w:tr>
      <w:tr w:rsidR="00BE6341" w:rsidRPr="0077393E" w14:paraId="23D49270" w14:textId="77777777" w:rsidTr="00252DC3">
        <w:trPr>
          <w:trHeight w:val="300"/>
        </w:trPr>
        <w:tc>
          <w:tcPr>
            <w:tcW w:w="2417" w:type="dxa"/>
            <w:tcBorders>
              <w:top w:val="single" w:sz="4" w:space="0" w:color="auto"/>
              <w:left w:val="single" w:sz="4" w:space="0" w:color="auto"/>
              <w:bottom w:val="single" w:sz="4" w:space="0" w:color="auto"/>
              <w:right w:val="single" w:sz="4" w:space="0" w:color="auto"/>
            </w:tcBorders>
            <w:noWrap/>
            <w:hideMark/>
          </w:tcPr>
          <w:p w14:paraId="3E6E54B9" w14:textId="77777777" w:rsidR="00BE6341" w:rsidRPr="0077393E" w:rsidRDefault="00BE6341" w:rsidP="00BE6341">
            <w:pPr>
              <w:spacing w:before="120" w:after="120"/>
              <w:rPr>
                <w:rFonts w:ascii="Times New Roman" w:hAnsi="Times New Roman"/>
                <w:noProof/>
                <w:lang w:val="sk-SK"/>
              </w:rPr>
            </w:pPr>
            <w:r w:rsidRPr="0077393E">
              <w:rPr>
                <w:rFonts w:ascii="Times New Roman" w:hAnsi="Times New Roman"/>
                <w:noProof/>
                <w:lang w:val="sk-SK"/>
              </w:rPr>
              <w:t>Belgicko</w:t>
            </w:r>
          </w:p>
        </w:tc>
        <w:tc>
          <w:tcPr>
            <w:tcW w:w="2374" w:type="dxa"/>
            <w:tcBorders>
              <w:top w:val="single" w:sz="4" w:space="0" w:color="auto"/>
              <w:left w:val="single" w:sz="4" w:space="0" w:color="auto"/>
              <w:bottom w:val="single" w:sz="4" w:space="0" w:color="auto"/>
              <w:right w:val="single" w:sz="4" w:space="0" w:color="auto"/>
            </w:tcBorders>
            <w:noWrap/>
            <w:hideMark/>
          </w:tcPr>
          <w:p w14:paraId="29B51ADE" w14:textId="77777777" w:rsidR="00BE6341" w:rsidRPr="0077393E" w:rsidRDefault="00BE6341" w:rsidP="00BE6341">
            <w:pPr>
              <w:spacing w:before="120" w:after="120"/>
              <w:jc w:val="right"/>
              <w:rPr>
                <w:rFonts w:ascii="Times New Roman" w:hAnsi="Times New Roman"/>
                <w:noProof/>
                <w:lang w:val="sk-SK"/>
              </w:rPr>
            </w:pPr>
            <w:r w:rsidRPr="0077393E">
              <w:rPr>
                <w:rFonts w:ascii="Times New Roman" w:hAnsi="Times New Roman"/>
                <w:noProof/>
                <w:lang w:val="sk-SK"/>
              </w:rPr>
              <w:t>20 700 224</w:t>
            </w:r>
          </w:p>
        </w:tc>
      </w:tr>
      <w:tr w:rsidR="00BE6341" w:rsidRPr="0077393E" w14:paraId="62FCDB50" w14:textId="77777777" w:rsidTr="00252DC3">
        <w:trPr>
          <w:trHeight w:val="300"/>
        </w:trPr>
        <w:tc>
          <w:tcPr>
            <w:tcW w:w="2417" w:type="dxa"/>
            <w:tcBorders>
              <w:top w:val="single" w:sz="4" w:space="0" w:color="auto"/>
              <w:left w:val="single" w:sz="4" w:space="0" w:color="auto"/>
              <w:bottom w:val="single" w:sz="4" w:space="0" w:color="auto"/>
              <w:right w:val="single" w:sz="4" w:space="0" w:color="auto"/>
            </w:tcBorders>
            <w:noWrap/>
            <w:hideMark/>
          </w:tcPr>
          <w:p w14:paraId="2D0299B9" w14:textId="77777777" w:rsidR="00BE6341" w:rsidRPr="0077393E" w:rsidRDefault="00BE6341" w:rsidP="00BE6341">
            <w:pPr>
              <w:spacing w:before="120" w:after="120"/>
              <w:rPr>
                <w:rFonts w:ascii="Times New Roman" w:hAnsi="Times New Roman"/>
                <w:noProof/>
                <w:lang w:val="sk-SK"/>
              </w:rPr>
            </w:pPr>
            <w:r w:rsidRPr="0077393E">
              <w:rPr>
                <w:rFonts w:ascii="Times New Roman" w:hAnsi="Times New Roman"/>
                <w:noProof/>
                <w:lang w:val="sk-SK"/>
              </w:rPr>
              <w:t>Bulharsko</w:t>
            </w:r>
          </w:p>
        </w:tc>
        <w:tc>
          <w:tcPr>
            <w:tcW w:w="2374" w:type="dxa"/>
            <w:tcBorders>
              <w:top w:val="single" w:sz="4" w:space="0" w:color="auto"/>
              <w:left w:val="single" w:sz="4" w:space="0" w:color="auto"/>
              <w:bottom w:val="single" w:sz="4" w:space="0" w:color="auto"/>
              <w:right w:val="single" w:sz="4" w:space="0" w:color="auto"/>
            </w:tcBorders>
            <w:noWrap/>
            <w:hideMark/>
          </w:tcPr>
          <w:p w14:paraId="57D0092D" w14:textId="77777777" w:rsidR="00BE6341" w:rsidRPr="0077393E" w:rsidRDefault="00BE6341" w:rsidP="00BE6341">
            <w:pPr>
              <w:spacing w:before="120" w:after="120"/>
              <w:jc w:val="right"/>
              <w:rPr>
                <w:rFonts w:ascii="Times New Roman" w:hAnsi="Times New Roman"/>
                <w:noProof/>
                <w:lang w:val="sk-SK"/>
              </w:rPr>
            </w:pPr>
            <w:r w:rsidRPr="0077393E">
              <w:rPr>
                <w:rFonts w:ascii="Times New Roman" w:hAnsi="Times New Roman"/>
                <w:noProof/>
                <w:lang w:val="sk-SK"/>
              </w:rPr>
              <w:t>84 648 793</w:t>
            </w:r>
          </w:p>
        </w:tc>
      </w:tr>
      <w:tr w:rsidR="00BE6341" w:rsidRPr="0077393E" w14:paraId="0E073879" w14:textId="77777777" w:rsidTr="00252DC3">
        <w:trPr>
          <w:trHeight w:val="300"/>
        </w:trPr>
        <w:tc>
          <w:tcPr>
            <w:tcW w:w="2417" w:type="dxa"/>
            <w:tcBorders>
              <w:top w:val="single" w:sz="4" w:space="0" w:color="auto"/>
              <w:left w:val="single" w:sz="4" w:space="0" w:color="auto"/>
              <w:bottom w:val="single" w:sz="4" w:space="0" w:color="auto"/>
              <w:right w:val="single" w:sz="4" w:space="0" w:color="auto"/>
            </w:tcBorders>
            <w:noWrap/>
            <w:hideMark/>
          </w:tcPr>
          <w:p w14:paraId="19766F58" w14:textId="77777777" w:rsidR="00BE6341" w:rsidRPr="0077393E" w:rsidRDefault="00BE6341" w:rsidP="00BE6341">
            <w:pPr>
              <w:spacing w:before="120" w:after="120"/>
              <w:rPr>
                <w:rFonts w:ascii="Times New Roman" w:hAnsi="Times New Roman"/>
                <w:noProof/>
                <w:lang w:val="sk-SK"/>
              </w:rPr>
            </w:pPr>
            <w:r w:rsidRPr="0077393E">
              <w:rPr>
                <w:rFonts w:ascii="Times New Roman" w:hAnsi="Times New Roman"/>
                <w:noProof/>
                <w:lang w:val="sk-SK"/>
              </w:rPr>
              <w:t>Česko</w:t>
            </w:r>
          </w:p>
        </w:tc>
        <w:tc>
          <w:tcPr>
            <w:tcW w:w="2374" w:type="dxa"/>
            <w:tcBorders>
              <w:top w:val="single" w:sz="4" w:space="0" w:color="auto"/>
              <w:left w:val="single" w:sz="4" w:space="0" w:color="auto"/>
              <w:bottom w:val="single" w:sz="4" w:space="0" w:color="auto"/>
              <w:right w:val="single" w:sz="4" w:space="0" w:color="auto"/>
            </w:tcBorders>
            <w:noWrap/>
            <w:hideMark/>
          </w:tcPr>
          <w:p w14:paraId="6F9A504B" w14:textId="77777777" w:rsidR="00BE6341" w:rsidRPr="0077393E" w:rsidRDefault="00BE6341" w:rsidP="00BE6341">
            <w:pPr>
              <w:spacing w:before="120" w:after="120"/>
              <w:jc w:val="right"/>
              <w:rPr>
                <w:rFonts w:ascii="Times New Roman" w:hAnsi="Times New Roman"/>
                <w:noProof/>
                <w:lang w:val="sk-SK"/>
              </w:rPr>
            </w:pPr>
            <w:r w:rsidRPr="0077393E">
              <w:rPr>
                <w:rFonts w:ascii="Times New Roman" w:hAnsi="Times New Roman"/>
                <w:noProof/>
                <w:lang w:val="sk-SK"/>
              </w:rPr>
              <w:t>64 796 927</w:t>
            </w:r>
          </w:p>
        </w:tc>
      </w:tr>
      <w:tr w:rsidR="00BE6341" w:rsidRPr="0077393E" w14:paraId="5D6B47F6" w14:textId="77777777" w:rsidTr="00252DC3">
        <w:trPr>
          <w:trHeight w:val="300"/>
        </w:trPr>
        <w:tc>
          <w:tcPr>
            <w:tcW w:w="2417" w:type="dxa"/>
            <w:tcBorders>
              <w:top w:val="single" w:sz="4" w:space="0" w:color="auto"/>
              <w:left w:val="single" w:sz="4" w:space="0" w:color="auto"/>
              <w:bottom w:val="single" w:sz="4" w:space="0" w:color="auto"/>
              <w:right w:val="single" w:sz="4" w:space="0" w:color="auto"/>
            </w:tcBorders>
            <w:noWrap/>
            <w:hideMark/>
          </w:tcPr>
          <w:p w14:paraId="460E2ABC" w14:textId="77777777" w:rsidR="00BE6341" w:rsidRPr="0077393E" w:rsidRDefault="00BE6341" w:rsidP="00BE6341">
            <w:pPr>
              <w:spacing w:before="120" w:after="120"/>
              <w:rPr>
                <w:rFonts w:ascii="Times New Roman" w:hAnsi="Times New Roman"/>
                <w:noProof/>
                <w:lang w:val="sk-SK"/>
              </w:rPr>
            </w:pPr>
            <w:r w:rsidRPr="0077393E">
              <w:rPr>
                <w:rFonts w:ascii="Times New Roman" w:hAnsi="Times New Roman"/>
                <w:noProof/>
                <w:lang w:val="sk-SK"/>
              </w:rPr>
              <w:t>Dánsko</w:t>
            </w:r>
          </w:p>
        </w:tc>
        <w:tc>
          <w:tcPr>
            <w:tcW w:w="2374" w:type="dxa"/>
            <w:tcBorders>
              <w:top w:val="single" w:sz="4" w:space="0" w:color="auto"/>
              <w:left w:val="single" w:sz="4" w:space="0" w:color="auto"/>
              <w:bottom w:val="single" w:sz="4" w:space="0" w:color="auto"/>
              <w:right w:val="single" w:sz="4" w:space="0" w:color="auto"/>
            </w:tcBorders>
            <w:noWrap/>
            <w:hideMark/>
          </w:tcPr>
          <w:p w14:paraId="288A51A7" w14:textId="77777777" w:rsidR="00BE6341" w:rsidRPr="0077393E" w:rsidRDefault="00BE6341" w:rsidP="00BE6341">
            <w:pPr>
              <w:spacing w:before="120" w:after="120"/>
              <w:jc w:val="right"/>
              <w:rPr>
                <w:rFonts w:ascii="Times New Roman" w:hAnsi="Times New Roman"/>
                <w:noProof/>
                <w:lang w:val="sk-SK"/>
              </w:rPr>
            </w:pPr>
            <w:r w:rsidRPr="0077393E">
              <w:rPr>
                <w:rFonts w:ascii="Times New Roman" w:hAnsi="Times New Roman"/>
                <w:noProof/>
                <w:lang w:val="sk-SK"/>
              </w:rPr>
              <w:t>18 983 515</w:t>
            </w:r>
          </w:p>
        </w:tc>
      </w:tr>
      <w:tr w:rsidR="00BE6341" w:rsidRPr="0077393E" w14:paraId="03EA2037" w14:textId="77777777" w:rsidTr="00252DC3">
        <w:trPr>
          <w:trHeight w:val="300"/>
        </w:trPr>
        <w:tc>
          <w:tcPr>
            <w:tcW w:w="2417" w:type="dxa"/>
            <w:tcBorders>
              <w:top w:val="single" w:sz="4" w:space="0" w:color="auto"/>
              <w:left w:val="single" w:sz="4" w:space="0" w:color="auto"/>
              <w:bottom w:val="single" w:sz="4" w:space="0" w:color="auto"/>
              <w:right w:val="single" w:sz="4" w:space="0" w:color="auto"/>
            </w:tcBorders>
            <w:noWrap/>
            <w:hideMark/>
          </w:tcPr>
          <w:p w14:paraId="77B48F77" w14:textId="77777777" w:rsidR="00BE6341" w:rsidRPr="0077393E" w:rsidRDefault="00BE6341" w:rsidP="00BE6341">
            <w:pPr>
              <w:spacing w:before="120" w:after="120"/>
              <w:rPr>
                <w:rFonts w:ascii="Times New Roman" w:hAnsi="Times New Roman"/>
                <w:noProof/>
                <w:lang w:val="sk-SK"/>
              </w:rPr>
            </w:pPr>
            <w:r w:rsidRPr="0077393E">
              <w:rPr>
                <w:rFonts w:ascii="Times New Roman" w:hAnsi="Times New Roman"/>
                <w:noProof/>
                <w:lang w:val="sk-SK"/>
              </w:rPr>
              <w:t>Nemecko</w:t>
            </w:r>
          </w:p>
        </w:tc>
        <w:tc>
          <w:tcPr>
            <w:tcW w:w="2374" w:type="dxa"/>
            <w:tcBorders>
              <w:top w:val="single" w:sz="4" w:space="0" w:color="auto"/>
              <w:left w:val="single" w:sz="4" w:space="0" w:color="auto"/>
              <w:bottom w:val="single" w:sz="4" w:space="0" w:color="auto"/>
              <w:right w:val="single" w:sz="4" w:space="0" w:color="auto"/>
            </w:tcBorders>
            <w:noWrap/>
            <w:hideMark/>
          </w:tcPr>
          <w:p w14:paraId="64F0C608" w14:textId="77777777" w:rsidR="00BE6341" w:rsidRPr="0077393E" w:rsidRDefault="00BE6341" w:rsidP="00BE6341">
            <w:pPr>
              <w:spacing w:before="120" w:after="120"/>
              <w:jc w:val="right"/>
              <w:rPr>
                <w:rFonts w:ascii="Times New Roman" w:hAnsi="Times New Roman"/>
                <w:noProof/>
                <w:lang w:val="sk-SK"/>
              </w:rPr>
            </w:pPr>
            <w:r w:rsidRPr="0077393E">
              <w:rPr>
                <w:rFonts w:ascii="Times New Roman" w:hAnsi="Times New Roman"/>
                <w:noProof/>
                <w:lang w:val="sk-SK"/>
              </w:rPr>
              <w:t>273 089 935</w:t>
            </w:r>
          </w:p>
        </w:tc>
      </w:tr>
      <w:tr w:rsidR="00BE6341" w:rsidRPr="0077393E" w14:paraId="461DFEB7" w14:textId="77777777" w:rsidTr="00252DC3">
        <w:trPr>
          <w:trHeight w:val="300"/>
        </w:trPr>
        <w:tc>
          <w:tcPr>
            <w:tcW w:w="2417" w:type="dxa"/>
            <w:tcBorders>
              <w:top w:val="single" w:sz="4" w:space="0" w:color="auto"/>
              <w:left w:val="single" w:sz="4" w:space="0" w:color="auto"/>
              <w:bottom w:val="single" w:sz="4" w:space="0" w:color="auto"/>
              <w:right w:val="single" w:sz="4" w:space="0" w:color="auto"/>
            </w:tcBorders>
            <w:noWrap/>
            <w:hideMark/>
          </w:tcPr>
          <w:p w14:paraId="47E28265" w14:textId="77777777" w:rsidR="00BE6341" w:rsidRPr="0077393E" w:rsidRDefault="00BE6341" w:rsidP="00BE6341">
            <w:pPr>
              <w:spacing w:before="120" w:after="120"/>
              <w:rPr>
                <w:rFonts w:ascii="Times New Roman" w:hAnsi="Times New Roman"/>
                <w:noProof/>
                <w:lang w:val="sk-SK"/>
              </w:rPr>
            </w:pPr>
            <w:r w:rsidRPr="0077393E">
              <w:rPr>
                <w:rFonts w:ascii="Times New Roman" w:hAnsi="Times New Roman"/>
                <w:noProof/>
                <w:lang w:val="sk-SK"/>
              </w:rPr>
              <w:t>Estónsko</w:t>
            </w:r>
          </w:p>
        </w:tc>
        <w:tc>
          <w:tcPr>
            <w:tcW w:w="2374" w:type="dxa"/>
            <w:tcBorders>
              <w:top w:val="single" w:sz="4" w:space="0" w:color="auto"/>
              <w:left w:val="single" w:sz="4" w:space="0" w:color="auto"/>
              <w:bottom w:val="single" w:sz="4" w:space="0" w:color="auto"/>
              <w:right w:val="single" w:sz="4" w:space="0" w:color="auto"/>
            </w:tcBorders>
            <w:noWrap/>
            <w:hideMark/>
          </w:tcPr>
          <w:p w14:paraId="57B1412B" w14:textId="77777777" w:rsidR="00BE6341" w:rsidRPr="0077393E" w:rsidRDefault="00BE6341" w:rsidP="00BE6341">
            <w:pPr>
              <w:spacing w:before="120" w:after="120"/>
              <w:jc w:val="right"/>
              <w:rPr>
                <w:rFonts w:ascii="Times New Roman" w:hAnsi="Times New Roman"/>
                <w:noProof/>
                <w:lang w:val="sk-SK"/>
              </w:rPr>
            </w:pPr>
            <w:r w:rsidRPr="0077393E">
              <w:rPr>
                <w:rFonts w:ascii="Times New Roman" w:hAnsi="Times New Roman"/>
                <w:noProof/>
                <w:lang w:val="sk-SK"/>
              </w:rPr>
              <w:t>26 404 994</w:t>
            </w:r>
          </w:p>
        </w:tc>
      </w:tr>
      <w:tr w:rsidR="00BE6341" w:rsidRPr="0077393E" w14:paraId="072A0221" w14:textId="77777777" w:rsidTr="00252DC3">
        <w:trPr>
          <w:trHeight w:val="300"/>
        </w:trPr>
        <w:tc>
          <w:tcPr>
            <w:tcW w:w="2417" w:type="dxa"/>
            <w:tcBorders>
              <w:top w:val="single" w:sz="4" w:space="0" w:color="auto"/>
              <w:left w:val="single" w:sz="4" w:space="0" w:color="auto"/>
              <w:bottom w:val="single" w:sz="4" w:space="0" w:color="auto"/>
              <w:right w:val="single" w:sz="4" w:space="0" w:color="auto"/>
            </w:tcBorders>
            <w:noWrap/>
            <w:hideMark/>
          </w:tcPr>
          <w:p w14:paraId="07C18222" w14:textId="77777777" w:rsidR="00BE6341" w:rsidRPr="0077393E" w:rsidRDefault="00BE6341" w:rsidP="00BE6341">
            <w:pPr>
              <w:spacing w:before="120" w:after="120"/>
              <w:rPr>
                <w:rFonts w:ascii="Times New Roman" w:hAnsi="Times New Roman"/>
                <w:noProof/>
                <w:lang w:val="sk-SK"/>
              </w:rPr>
            </w:pPr>
            <w:r w:rsidRPr="0077393E">
              <w:rPr>
                <w:rFonts w:ascii="Times New Roman" w:hAnsi="Times New Roman"/>
                <w:noProof/>
                <w:lang w:val="sk-SK"/>
              </w:rPr>
              <w:t>Írsko</w:t>
            </w:r>
          </w:p>
        </w:tc>
        <w:tc>
          <w:tcPr>
            <w:tcW w:w="2374" w:type="dxa"/>
            <w:tcBorders>
              <w:top w:val="single" w:sz="4" w:space="0" w:color="auto"/>
              <w:left w:val="single" w:sz="4" w:space="0" w:color="auto"/>
              <w:bottom w:val="single" w:sz="4" w:space="0" w:color="auto"/>
              <w:right w:val="single" w:sz="4" w:space="0" w:color="auto"/>
            </w:tcBorders>
            <w:noWrap/>
            <w:hideMark/>
          </w:tcPr>
          <w:p w14:paraId="25AA090D" w14:textId="77777777" w:rsidR="00BE6341" w:rsidRPr="0077393E" w:rsidRDefault="00BE6341" w:rsidP="00BE6341">
            <w:pPr>
              <w:spacing w:before="120" w:after="120"/>
              <w:jc w:val="right"/>
              <w:rPr>
                <w:rFonts w:ascii="Times New Roman" w:hAnsi="Times New Roman"/>
                <w:noProof/>
                <w:lang w:val="sk-SK"/>
              </w:rPr>
            </w:pPr>
            <w:r w:rsidRPr="0077393E">
              <w:rPr>
                <w:rFonts w:ascii="Times New Roman" w:hAnsi="Times New Roman"/>
                <w:noProof/>
                <w:lang w:val="sk-SK"/>
              </w:rPr>
              <w:t>77 910 157</w:t>
            </w:r>
          </w:p>
        </w:tc>
      </w:tr>
      <w:tr w:rsidR="00BE6341" w:rsidRPr="0077393E" w14:paraId="69FF89B7" w14:textId="77777777" w:rsidTr="00252DC3">
        <w:trPr>
          <w:trHeight w:val="300"/>
        </w:trPr>
        <w:tc>
          <w:tcPr>
            <w:tcW w:w="2417" w:type="dxa"/>
            <w:tcBorders>
              <w:top w:val="single" w:sz="4" w:space="0" w:color="auto"/>
              <w:left w:val="single" w:sz="4" w:space="0" w:color="auto"/>
              <w:bottom w:val="single" w:sz="4" w:space="0" w:color="auto"/>
              <w:right w:val="single" w:sz="4" w:space="0" w:color="auto"/>
            </w:tcBorders>
            <w:noWrap/>
            <w:hideMark/>
          </w:tcPr>
          <w:p w14:paraId="71A06D9F" w14:textId="77777777" w:rsidR="00BE6341" w:rsidRPr="0077393E" w:rsidRDefault="00BE6341" w:rsidP="00BE6341">
            <w:pPr>
              <w:spacing w:before="120" w:after="120"/>
              <w:rPr>
                <w:rFonts w:ascii="Times New Roman" w:hAnsi="Times New Roman"/>
                <w:noProof/>
                <w:lang w:val="sk-SK"/>
              </w:rPr>
            </w:pPr>
            <w:r w:rsidRPr="0077393E">
              <w:rPr>
                <w:rFonts w:ascii="Times New Roman" w:hAnsi="Times New Roman"/>
                <w:noProof/>
                <w:lang w:val="sk-SK"/>
              </w:rPr>
              <w:t>Grécko</w:t>
            </w:r>
          </w:p>
        </w:tc>
        <w:tc>
          <w:tcPr>
            <w:tcW w:w="2374" w:type="dxa"/>
            <w:tcBorders>
              <w:top w:val="single" w:sz="4" w:space="0" w:color="auto"/>
              <w:left w:val="single" w:sz="4" w:space="0" w:color="auto"/>
              <w:bottom w:val="single" w:sz="4" w:space="0" w:color="auto"/>
              <w:right w:val="single" w:sz="4" w:space="0" w:color="auto"/>
            </w:tcBorders>
            <w:noWrap/>
            <w:hideMark/>
          </w:tcPr>
          <w:p w14:paraId="329A7176" w14:textId="77777777" w:rsidR="00BE6341" w:rsidRPr="0077393E" w:rsidRDefault="00BE6341" w:rsidP="00BE6341">
            <w:pPr>
              <w:spacing w:before="120" w:after="120"/>
              <w:jc w:val="right"/>
              <w:rPr>
                <w:rFonts w:ascii="Times New Roman" w:hAnsi="Times New Roman"/>
                <w:noProof/>
                <w:lang w:val="sk-SK"/>
              </w:rPr>
            </w:pPr>
            <w:r w:rsidRPr="0077393E">
              <w:rPr>
                <w:rFonts w:ascii="Times New Roman" w:hAnsi="Times New Roman"/>
                <w:noProof/>
                <w:lang w:val="sk-SK"/>
              </w:rPr>
              <w:t>139 238 400</w:t>
            </w:r>
          </w:p>
        </w:tc>
      </w:tr>
      <w:tr w:rsidR="00BE6341" w:rsidRPr="0077393E" w14:paraId="659D6FB1" w14:textId="77777777" w:rsidTr="00252DC3">
        <w:trPr>
          <w:trHeight w:val="300"/>
        </w:trPr>
        <w:tc>
          <w:tcPr>
            <w:tcW w:w="2417" w:type="dxa"/>
            <w:tcBorders>
              <w:top w:val="single" w:sz="4" w:space="0" w:color="auto"/>
              <w:left w:val="single" w:sz="4" w:space="0" w:color="auto"/>
              <w:bottom w:val="single" w:sz="4" w:space="0" w:color="auto"/>
              <w:right w:val="single" w:sz="4" w:space="0" w:color="auto"/>
            </w:tcBorders>
            <w:noWrap/>
            <w:hideMark/>
          </w:tcPr>
          <w:p w14:paraId="0B53271F" w14:textId="77777777" w:rsidR="00BE6341" w:rsidRPr="0077393E" w:rsidRDefault="00BE6341" w:rsidP="00BE6341">
            <w:pPr>
              <w:spacing w:before="120" w:after="120"/>
              <w:rPr>
                <w:rFonts w:ascii="Times New Roman" w:hAnsi="Times New Roman"/>
                <w:noProof/>
                <w:lang w:val="sk-SK"/>
              </w:rPr>
            </w:pPr>
            <w:r w:rsidRPr="0077393E">
              <w:rPr>
                <w:rFonts w:ascii="Times New Roman" w:hAnsi="Times New Roman"/>
                <w:noProof/>
                <w:lang w:val="sk-SK"/>
              </w:rPr>
              <w:t>Španielsko</w:t>
            </w:r>
          </w:p>
        </w:tc>
        <w:tc>
          <w:tcPr>
            <w:tcW w:w="2374" w:type="dxa"/>
            <w:tcBorders>
              <w:top w:val="single" w:sz="4" w:space="0" w:color="auto"/>
              <w:left w:val="single" w:sz="4" w:space="0" w:color="auto"/>
              <w:bottom w:val="single" w:sz="4" w:space="0" w:color="auto"/>
              <w:right w:val="single" w:sz="4" w:space="0" w:color="auto"/>
            </w:tcBorders>
            <w:noWrap/>
            <w:hideMark/>
          </w:tcPr>
          <w:p w14:paraId="10108A7C" w14:textId="77777777" w:rsidR="00BE6341" w:rsidRPr="0077393E" w:rsidRDefault="00BE6341" w:rsidP="00BE6341">
            <w:pPr>
              <w:spacing w:before="120" w:after="120"/>
              <w:jc w:val="right"/>
              <w:rPr>
                <w:rFonts w:ascii="Times New Roman" w:hAnsi="Times New Roman"/>
                <w:noProof/>
                <w:lang w:val="sk-SK"/>
              </w:rPr>
            </w:pPr>
            <w:r w:rsidRPr="0077393E">
              <w:rPr>
                <w:rFonts w:ascii="Times New Roman" w:hAnsi="Times New Roman"/>
                <w:noProof/>
                <w:lang w:val="sk-SK"/>
              </w:rPr>
              <w:t>324 114 848</w:t>
            </w:r>
          </w:p>
        </w:tc>
      </w:tr>
      <w:tr w:rsidR="00BE6341" w:rsidRPr="0077393E" w14:paraId="457C9E35" w14:textId="77777777" w:rsidTr="00252DC3">
        <w:trPr>
          <w:trHeight w:val="300"/>
        </w:trPr>
        <w:tc>
          <w:tcPr>
            <w:tcW w:w="2417" w:type="dxa"/>
            <w:tcBorders>
              <w:top w:val="single" w:sz="4" w:space="0" w:color="auto"/>
              <w:left w:val="single" w:sz="4" w:space="0" w:color="auto"/>
              <w:bottom w:val="single" w:sz="4" w:space="0" w:color="auto"/>
              <w:right w:val="single" w:sz="4" w:space="0" w:color="auto"/>
            </w:tcBorders>
            <w:noWrap/>
            <w:hideMark/>
          </w:tcPr>
          <w:p w14:paraId="63D2BF6D" w14:textId="77777777" w:rsidR="00BE6341" w:rsidRPr="0077393E" w:rsidRDefault="00BE6341" w:rsidP="00BE6341">
            <w:pPr>
              <w:spacing w:before="120" w:after="120"/>
              <w:rPr>
                <w:rFonts w:ascii="Times New Roman" w:hAnsi="Times New Roman"/>
                <w:noProof/>
                <w:lang w:val="sk-SK"/>
              </w:rPr>
            </w:pPr>
            <w:r w:rsidRPr="0077393E">
              <w:rPr>
                <w:rFonts w:ascii="Times New Roman" w:hAnsi="Times New Roman"/>
                <w:noProof/>
                <w:lang w:val="sk-SK"/>
              </w:rPr>
              <w:t>Francúzsko</w:t>
            </w:r>
          </w:p>
        </w:tc>
        <w:tc>
          <w:tcPr>
            <w:tcW w:w="2374" w:type="dxa"/>
            <w:tcBorders>
              <w:top w:val="single" w:sz="4" w:space="0" w:color="auto"/>
              <w:left w:val="single" w:sz="4" w:space="0" w:color="auto"/>
              <w:bottom w:val="single" w:sz="4" w:space="0" w:color="auto"/>
              <w:right w:val="single" w:sz="4" w:space="0" w:color="auto"/>
            </w:tcBorders>
            <w:noWrap/>
            <w:hideMark/>
          </w:tcPr>
          <w:p w14:paraId="2706A88B" w14:textId="77777777" w:rsidR="00BE6341" w:rsidRPr="0077393E" w:rsidRDefault="00BE6341" w:rsidP="00BE6341">
            <w:pPr>
              <w:spacing w:before="120" w:after="120"/>
              <w:jc w:val="right"/>
              <w:rPr>
                <w:rFonts w:ascii="Times New Roman" w:hAnsi="Times New Roman"/>
                <w:noProof/>
                <w:lang w:val="sk-SK"/>
              </w:rPr>
            </w:pPr>
            <w:r w:rsidRPr="0077393E">
              <w:rPr>
                <w:rFonts w:ascii="Times New Roman" w:hAnsi="Times New Roman"/>
                <w:noProof/>
                <w:lang w:val="sk-SK"/>
              </w:rPr>
              <w:t>364 860 018</w:t>
            </w:r>
          </w:p>
        </w:tc>
      </w:tr>
      <w:tr w:rsidR="00BE6341" w:rsidRPr="0077393E" w14:paraId="4AF519FD" w14:textId="77777777" w:rsidTr="00252DC3">
        <w:trPr>
          <w:trHeight w:val="300"/>
        </w:trPr>
        <w:tc>
          <w:tcPr>
            <w:tcW w:w="2417" w:type="dxa"/>
            <w:tcBorders>
              <w:top w:val="single" w:sz="4" w:space="0" w:color="auto"/>
              <w:left w:val="single" w:sz="4" w:space="0" w:color="auto"/>
              <w:bottom w:val="single" w:sz="4" w:space="0" w:color="auto"/>
              <w:right w:val="single" w:sz="4" w:space="0" w:color="auto"/>
            </w:tcBorders>
            <w:noWrap/>
            <w:hideMark/>
          </w:tcPr>
          <w:p w14:paraId="58CE3C8E" w14:textId="77777777" w:rsidR="00BE6341" w:rsidRPr="0077393E" w:rsidRDefault="00BE6341" w:rsidP="00BE6341">
            <w:pPr>
              <w:spacing w:before="120" w:after="120"/>
              <w:rPr>
                <w:rFonts w:ascii="Times New Roman" w:hAnsi="Times New Roman"/>
                <w:noProof/>
                <w:lang w:val="sk-SK"/>
              </w:rPr>
            </w:pPr>
            <w:r w:rsidRPr="0077393E">
              <w:rPr>
                <w:rFonts w:ascii="Times New Roman" w:hAnsi="Times New Roman"/>
                <w:noProof/>
                <w:lang w:val="sk-SK"/>
              </w:rPr>
              <w:t>Chorvátsko</w:t>
            </w:r>
          </w:p>
        </w:tc>
        <w:tc>
          <w:tcPr>
            <w:tcW w:w="2374" w:type="dxa"/>
            <w:tcBorders>
              <w:top w:val="single" w:sz="4" w:space="0" w:color="auto"/>
              <w:left w:val="single" w:sz="4" w:space="0" w:color="auto"/>
              <w:bottom w:val="single" w:sz="4" w:space="0" w:color="auto"/>
              <w:right w:val="single" w:sz="4" w:space="0" w:color="auto"/>
            </w:tcBorders>
            <w:noWrap/>
            <w:hideMark/>
          </w:tcPr>
          <w:p w14:paraId="7AF6039A" w14:textId="77777777" w:rsidR="00BE6341" w:rsidRPr="0077393E" w:rsidRDefault="00BE6341" w:rsidP="00BE6341">
            <w:pPr>
              <w:spacing w:before="120" w:after="120"/>
              <w:jc w:val="right"/>
              <w:rPr>
                <w:rFonts w:ascii="Times New Roman" w:hAnsi="Times New Roman"/>
                <w:noProof/>
                <w:lang w:val="sk-SK"/>
              </w:rPr>
            </w:pPr>
            <w:r w:rsidRPr="0077393E">
              <w:rPr>
                <w:rFonts w:ascii="Times New Roman" w:hAnsi="Times New Roman"/>
                <w:noProof/>
                <w:lang w:val="sk-SK"/>
              </w:rPr>
              <w:t>74 326 850</w:t>
            </w:r>
          </w:p>
        </w:tc>
      </w:tr>
      <w:tr w:rsidR="00BE6341" w:rsidRPr="0077393E" w14:paraId="1847D8B1" w14:textId="77777777" w:rsidTr="00252DC3">
        <w:trPr>
          <w:trHeight w:val="300"/>
        </w:trPr>
        <w:tc>
          <w:tcPr>
            <w:tcW w:w="2417" w:type="dxa"/>
            <w:tcBorders>
              <w:top w:val="single" w:sz="4" w:space="0" w:color="auto"/>
              <w:left w:val="single" w:sz="4" w:space="0" w:color="auto"/>
              <w:bottom w:val="single" w:sz="4" w:space="0" w:color="auto"/>
              <w:right w:val="single" w:sz="4" w:space="0" w:color="auto"/>
            </w:tcBorders>
            <w:noWrap/>
            <w:hideMark/>
          </w:tcPr>
          <w:p w14:paraId="37F2E03E" w14:textId="77777777" w:rsidR="00BE6341" w:rsidRPr="0077393E" w:rsidRDefault="00BE6341" w:rsidP="00BE6341">
            <w:pPr>
              <w:spacing w:before="120" w:after="120"/>
              <w:rPr>
                <w:rFonts w:ascii="Times New Roman" w:hAnsi="Times New Roman"/>
                <w:noProof/>
                <w:lang w:val="sk-SK"/>
              </w:rPr>
            </w:pPr>
            <w:r w:rsidRPr="0077393E">
              <w:rPr>
                <w:rFonts w:ascii="Times New Roman" w:hAnsi="Times New Roman"/>
                <w:noProof/>
                <w:lang w:val="sk-SK"/>
              </w:rPr>
              <w:t>Taliansko</w:t>
            </w:r>
          </w:p>
        </w:tc>
        <w:tc>
          <w:tcPr>
            <w:tcW w:w="2374" w:type="dxa"/>
            <w:tcBorders>
              <w:top w:val="single" w:sz="4" w:space="0" w:color="auto"/>
              <w:left w:val="single" w:sz="4" w:space="0" w:color="auto"/>
              <w:bottom w:val="single" w:sz="4" w:space="0" w:color="auto"/>
              <w:right w:val="single" w:sz="4" w:space="0" w:color="auto"/>
            </w:tcBorders>
            <w:noWrap/>
            <w:hideMark/>
          </w:tcPr>
          <w:p w14:paraId="7B91827C" w14:textId="77777777" w:rsidR="00BE6341" w:rsidRPr="0077393E" w:rsidRDefault="00BE6341" w:rsidP="00BE6341">
            <w:pPr>
              <w:spacing w:before="120" w:after="120"/>
              <w:jc w:val="right"/>
              <w:rPr>
                <w:rFonts w:ascii="Times New Roman" w:hAnsi="Times New Roman"/>
                <w:noProof/>
                <w:lang w:val="sk-SK"/>
              </w:rPr>
            </w:pPr>
            <w:r w:rsidRPr="0077393E">
              <w:rPr>
                <w:rFonts w:ascii="Times New Roman" w:hAnsi="Times New Roman"/>
                <w:noProof/>
                <w:lang w:val="sk-SK"/>
              </w:rPr>
              <w:t>337 480 344</w:t>
            </w:r>
          </w:p>
        </w:tc>
      </w:tr>
    </w:tbl>
    <w:p w14:paraId="1750CBB4" w14:textId="77777777" w:rsidR="00BE6341" w:rsidRPr="0077393E" w:rsidRDefault="00BE6341" w:rsidP="00BE6341">
      <w:pPr>
        <w:spacing w:after="160"/>
        <w:rPr>
          <w:rFonts w:eastAsia="Aptos"/>
          <w:kern w:val="2"/>
          <w:szCs w:val="24"/>
          <w:lang w:val="en-GB" w:eastAsia="en-US"/>
          <w14:ligatures w14:val="standardContextual"/>
        </w:rPr>
      </w:pPr>
      <w:r w:rsidRPr="0077393E">
        <w:rPr>
          <w:rFonts w:eastAsia="Aptos"/>
          <w:kern w:val="2"/>
          <w:szCs w:val="24"/>
          <w:lang w:val="en-GB" w:eastAsia="en-US"/>
          <w14:ligatures w14:val="standardContextual"/>
        </w:rPr>
        <w:br w:type="page"/>
      </w:r>
    </w:p>
    <w:tbl>
      <w:tblPr>
        <w:tblStyle w:val="TableGrid11"/>
        <w:tblW w:w="0" w:type="auto"/>
        <w:tblInd w:w="1696" w:type="dxa"/>
        <w:tblLook w:val="04A0" w:firstRow="1" w:lastRow="0" w:firstColumn="1" w:lastColumn="0" w:noHBand="0" w:noVBand="1"/>
      </w:tblPr>
      <w:tblGrid>
        <w:gridCol w:w="2417"/>
        <w:gridCol w:w="2374"/>
      </w:tblGrid>
      <w:tr w:rsidR="00BE6341" w:rsidRPr="0077393E" w14:paraId="25CD92A5" w14:textId="77777777" w:rsidTr="00252DC3">
        <w:trPr>
          <w:trHeight w:val="300"/>
        </w:trPr>
        <w:tc>
          <w:tcPr>
            <w:tcW w:w="2417" w:type="dxa"/>
            <w:tcBorders>
              <w:top w:val="single" w:sz="4" w:space="0" w:color="auto"/>
              <w:left w:val="single" w:sz="4" w:space="0" w:color="auto"/>
              <w:bottom w:val="single" w:sz="4" w:space="0" w:color="auto"/>
              <w:right w:val="single" w:sz="4" w:space="0" w:color="auto"/>
            </w:tcBorders>
            <w:noWrap/>
            <w:hideMark/>
          </w:tcPr>
          <w:p w14:paraId="11A38439" w14:textId="77777777" w:rsidR="00BE6341" w:rsidRPr="0077393E" w:rsidRDefault="00BE6341" w:rsidP="00BE6341">
            <w:pPr>
              <w:spacing w:before="120" w:after="120"/>
              <w:rPr>
                <w:rFonts w:ascii="Times New Roman" w:hAnsi="Times New Roman"/>
                <w:noProof/>
                <w:lang w:val="sk-SK"/>
              </w:rPr>
            </w:pPr>
            <w:r w:rsidRPr="0077393E">
              <w:rPr>
                <w:rFonts w:ascii="Times New Roman" w:hAnsi="Times New Roman"/>
                <w:noProof/>
                <w:lang w:val="sk-SK"/>
              </w:rPr>
              <w:lastRenderedPageBreak/>
              <w:t>Cyprus</w:t>
            </w:r>
          </w:p>
        </w:tc>
        <w:tc>
          <w:tcPr>
            <w:tcW w:w="2374" w:type="dxa"/>
            <w:tcBorders>
              <w:top w:val="single" w:sz="4" w:space="0" w:color="auto"/>
              <w:left w:val="single" w:sz="4" w:space="0" w:color="auto"/>
              <w:bottom w:val="single" w:sz="4" w:space="0" w:color="auto"/>
              <w:right w:val="single" w:sz="4" w:space="0" w:color="auto"/>
            </w:tcBorders>
            <w:noWrap/>
            <w:hideMark/>
          </w:tcPr>
          <w:p w14:paraId="49142B4A" w14:textId="77777777" w:rsidR="00BE6341" w:rsidRPr="0077393E" w:rsidRDefault="00BE6341" w:rsidP="00BE6341">
            <w:pPr>
              <w:spacing w:before="120" w:after="120"/>
              <w:jc w:val="right"/>
              <w:rPr>
                <w:rFonts w:ascii="Times New Roman" w:hAnsi="Times New Roman"/>
                <w:noProof/>
                <w:lang w:val="sk-SK"/>
              </w:rPr>
            </w:pPr>
            <w:r w:rsidRPr="0077393E">
              <w:rPr>
                <w:rFonts w:ascii="Times New Roman" w:hAnsi="Times New Roman"/>
                <w:noProof/>
                <w:lang w:val="sk-SK"/>
              </w:rPr>
              <w:t>5 942 629</w:t>
            </w:r>
          </w:p>
        </w:tc>
      </w:tr>
      <w:tr w:rsidR="00BE6341" w:rsidRPr="0077393E" w14:paraId="4D94CA1F" w14:textId="77777777" w:rsidTr="00252DC3">
        <w:trPr>
          <w:trHeight w:val="300"/>
        </w:trPr>
        <w:tc>
          <w:tcPr>
            <w:tcW w:w="2417" w:type="dxa"/>
            <w:tcBorders>
              <w:top w:val="single" w:sz="4" w:space="0" w:color="auto"/>
              <w:left w:val="single" w:sz="4" w:space="0" w:color="auto"/>
              <w:bottom w:val="single" w:sz="4" w:space="0" w:color="auto"/>
              <w:right w:val="single" w:sz="4" w:space="0" w:color="auto"/>
            </w:tcBorders>
            <w:noWrap/>
            <w:hideMark/>
          </w:tcPr>
          <w:p w14:paraId="5A7F98D5" w14:textId="77777777" w:rsidR="00BE6341" w:rsidRPr="0077393E" w:rsidRDefault="00BE6341" w:rsidP="00BE6341">
            <w:pPr>
              <w:spacing w:before="120" w:after="120"/>
              <w:rPr>
                <w:rFonts w:ascii="Times New Roman" w:hAnsi="Times New Roman"/>
                <w:noProof/>
                <w:lang w:val="sk-SK"/>
              </w:rPr>
            </w:pPr>
            <w:r w:rsidRPr="0077393E">
              <w:rPr>
                <w:rFonts w:ascii="Times New Roman" w:hAnsi="Times New Roman"/>
                <w:noProof/>
                <w:lang w:val="sk-SK"/>
              </w:rPr>
              <w:t>Lotyšsko</w:t>
            </w:r>
          </w:p>
        </w:tc>
        <w:tc>
          <w:tcPr>
            <w:tcW w:w="2374" w:type="dxa"/>
            <w:tcBorders>
              <w:top w:val="single" w:sz="4" w:space="0" w:color="auto"/>
              <w:left w:val="single" w:sz="4" w:space="0" w:color="auto"/>
              <w:bottom w:val="single" w:sz="4" w:space="0" w:color="auto"/>
              <w:right w:val="single" w:sz="4" w:space="0" w:color="auto"/>
            </w:tcBorders>
            <w:noWrap/>
            <w:hideMark/>
          </w:tcPr>
          <w:p w14:paraId="6C171BDC" w14:textId="77777777" w:rsidR="00BE6341" w:rsidRPr="0077393E" w:rsidRDefault="00BE6341" w:rsidP="00BE6341">
            <w:pPr>
              <w:spacing w:before="120" w:after="120"/>
              <w:jc w:val="right"/>
              <w:rPr>
                <w:rFonts w:ascii="Times New Roman" w:hAnsi="Times New Roman"/>
                <w:noProof/>
                <w:lang w:val="sk-SK"/>
              </w:rPr>
            </w:pPr>
            <w:r w:rsidRPr="0077393E">
              <w:rPr>
                <w:rFonts w:ascii="Times New Roman" w:hAnsi="Times New Roman"/>
                <w:noProof/>
                <w:lang w:val="sk-SK"/>
              </w:rPr>
              <w:t>35 248 552</w:t>
            </w:r>
          </w:p>
        </w:tc>
      </w:tr>
      <w:tr w:rsidR="00BE6341" w:rsidRPr="0077393E" w14:paraId="2739113A" w14:textId="77777777" w:rsidTr="00252DC3">
        <w:trPr>
          <w:trHeight w:val="300"/>
        </w:trPr>
        <w:tc>
          <w:tcPr>
            <w:tcW w:w="2417" w:type="dxa"/>
            <w:tcBorders>
              <w:top w:val="single" w:sz="4" w:space="0" w:color="auto"/>
              <w:left w:val="single" w:sz="4" w:space="0" w:color="auto"/>
              <w:bottom w:val="single" w:sz="4" w:space="0" w:color="auto"/>
              <w:right w:val="single" w:sz="4" w:space="0" w:color="auto"/>
            </w:tcBorders>
            <w:noWrap/>
            <w:hideMark/>
          </w:tcPr>
          <w:p w14:paraId="601AE332" w14:textId="77777777" w:rsidR="00BE6341" w:rsidRPr="0077393E" w:rsidRDefault="00BE6341" w:rsidP="00BE6341">
            <w:pPr>
              <w:spacing w:before="120" w:after="120"/>
              <w:rPr>
                <w:rFonts w:ascii="Times New Roman" w:hAnsi="Times New Roman"/>
                <w:noProof/>
                <w:lang w:val="sk-SK"/>
              </w:rPr>
            </w:pPr>
            <w:r w:rsidRPr="0077393E">
              <w:rPr>
                <w:rFonts w:ascii="Times New Roman" w:hAnsi="Times New Roman"/>
                <w:noProof/>
                <w:lang w:val="sk-SK"/>
              </w:rPr>
              <w:t>Litva</w:t>
            </w:r>
          </w:p>
        </w:tc>
        <w:tc>
          <w:tcPr>
            <w:tcW w:w="2374" w:type="dxa"/>
            <w:tcBorders>
              <w:top w:val="single" w:sz="4" w:space="0" w:color="auto"/>
              <w:left w:val="single" w:sz="4" w:space="0" w:color="auto"/>
              <w:bottom w:val="single" w:sz="4" w:space="0" w:color="auto"/>
              <w:right w:val="single" w:sz="4" w:space="0" w:color="auto"/>
            </w:tcBorders>
            <w:noWrap/>
            <w:hideMark/>
          </w:tcPr>
          <w:p w14:paraId="028AF080" w14:textId="77777777" w:rsidR="00BE6341" w:rsidRPr="0077393E" w:rsidRDefault="00BE6341" w:rsidP="00BE6341">
            <w:pPr>
              <w:spacing w:before="120" w:after="120"/>
              <w:jc w:val="right"/>
              <w:rPr>
                <w:rFonts w:ascii="Times New Roman" w:hAnsi="Times New Roman"/>
                <w:noProof/>
                <w:lang w:val="sk-SK"/>
              </w:rPr>
            </w:pPr>
            <w:r w:rsidRPr="0077393E">
              <w:rPr>
                <w:rFonts w:ascii="Times New Roman" w:hAnsi="Times New Roman"/>
                <w:noProof/>
                <w:lang w:val="sk-SK"/>
              </w:rPr>
              <w:t>58 648 549</w:t>
            </w:r>
          </w:p>
        </w:tc>
      </w:tr>
      <w:tr w:rsidR="00BE6341" w:rsidRPr="0077393E" w14:paraId="1BDB3BC1" w14:textId="77777777" w:rsidTr="00252DC3">
        <w:trPr>
          <w:trHeight w:val="300"/>
        </w:trPr>
        <w:tc>
          <w:tcPr>
            <w:tcW w:w="2417" w:type="dxa"/>
            <w:tcBorders>
              <w:top w:val="single" w:sz="4" w:space="0" w:color="auto"/>
              <w:left w:val="single" w:sz="4" w:space="0" w:color="auto"/>
              <w:bottom w:val="single" w:sz="4" w:space="0" w:color="auto"/>
              <w:right w:val="single" w:sz="4" w:space="0" w:color="auto"/>
            </w:tcBorders>
            <w:noWrap/>
            <w:hideMark/>
          </w:tcPr>
          <w:p w14:paraId="5356B6C9" w14:textId="77777777" w:rsidR="00BE6341" w:rsidRPr="0077393E" w:rsidRDefault="00BE6341" w:rsidP="00BE6341">
            <w:pPr>
              <w:spacing w:before="120" w:after="120"/>
              <w:rPr>
                <w:rFonts w:ascii="Times New Roman" w:hAnsi="Times New Roman"/>
                <w:noProof/>
                <w:lang w:val="sk-SK"/>
              </w:rPr>
            </w:pPr>
            <w:r w:rsidRPr="0077393E">
              <w:rPr>
                <w:rFonts w:ascii="Times New Roman" w:hAnsi="Times New Roman"/>
                <w:noProof/>
                <w:lang w:val="sk-SK"/>
              </w:rPr>
              <w:t>Luxembursko</w:t>
            </w:r>
          </w:p>
        </w:tc>
        <w:tc>
          <w:tcPr>
            <w:tcW w:w="2374" w:type="dxa"/>
            <w:tcBorders>
              <w:top w:val="single" w:sz="4" w:space="0" w:color="auto"/>
              <w:left w:val="single" w:sz="4" w:space="0" w:color="auto"/>
              <w:bottom w:val="single" w:sz="4" w:space="0" w:color="auto"/>
              <w:right w:val="single" w:sz="4" w:space="0" w:color="auto"/>
            </w:tcBorders>
            <w:noWrap/>
            <w:hideMark/>
          </w:tcPr>
          <w:p w14:paraId="40AF3042" w14:textId="77777777" w:rsidR="00BE6341" w:rsidRPr="0077393E" w:rsidRDefault="00BE6341" w:rsidP="00BE6341">
            <w:pPr>
              <w:spacing w:before="120" w:after="120"/>
              <w:jc w:val="right"/>
              <w:rPr>
                <w:rFonts w:ascii="Times New Roman" w:hAnsi="Times New Roman"/>
                <w:noProof/>
                <w:lang w:val="sk-SK"/>
              </w:rPr>
            </w:pPr>
            <w:r w:rsidRPr="0077393E">
              <w:rPr>
                <w:rFonts w:ascii="Times New Roman" w:hAnsi="Times New Roman"/>
                <w:noProof/>
                <w:lang w:val="sk-SK"/>
              </w:rPr>
              <w:t>3 077 661</w:t>
            </w:r>
          </w:p>
        </w:tc>
      </w:tr>
      <w:tr w:rsidR="00BE6341" w:rsidRPr="0077393E" w14:paraId="11F5AE66" w14:textId="77777777" w:rsidTr="00252DC3">
        <w:trPr>
          <w:trHeight w:val="300"/>
        </w:trPr>
        <w:tc>
          <w:tcPr>
            <w:tcW w:w="2417" w:type="dxa"/>
            <w:tcBorders>
              <w:top w:val="single" w:sz="4" w:space="0" w:color="auto"/>
              <w:left w:val="single" w:sz="4" w:space="0" w:color="auto"/>
              <w:bottom w:val="single" w:sz="4" w:space="0" w:color="auto"/>
              <w:right w:val="single" w:sz="4" w:space="0" w:color="auto"/>
            </w:tcBorders>
            <w:noWrap/>
            <w:hideMark/>
          </w:tcPr>
          <w:p w14:paraId="4490248B" w14:textId="77777777" w:rsidR="00BE6341" w:rsidRPr="0077393E" w:rsidRDefault="00BE6341" w:rsidP="00BE6341">
            <w:pPr>
              <w:spacing w:before="120" w:after="120"/>
              <w:rPr>
                <w:rFonts w:ascii="Times New Roman" w:hAnsi="Times New Roman"/>
                <w:noProof/>
                <w:lang w:val="sk-SK"/>
              </w:rPr>
            </w:pPr>
            <w:r w:rsidRPr="0077393E">
              <w:rPr>
                <w:rFonts w:ascii="Times New Roman" w:hAnsi="Times New Roman"/>
                <w:noProof/>
                <w:lang w:val="sk-SK"/>
              </w:rPr>
              <w:t>Maďarsko</w:t>
            </w:r>
          </w:p>
        </w:tc>
        <w:tc>
          <w:tcPr>
            <w:tcW w:w="2374" w:type="dxa"/>
            <w:tcBorders>
              <w:top w:val="single" w:sz="4" w:space="0" w:color="auto"/>
              <w:left w:val="single" w:sz="4" w:space="0" w:color="auto"/>
              <w:bottom w:val="single" w:sz="4" w:space="0" w:color="auto"/>
              <w:right w:val="single" w:sz="4" w:space="0" w:color="auto"/>
            </w:tcBorders>
            <w:noWrap/>
            <w:hideMark/>
          </w:tcPr>
          <w:p w14:paraId="68D6C2A2" w14:textId="77777777" w:rsidR="00BE6341" w:rsidRPr="0077393E" w:rsidRDefault="00BE6341" w:rsidP="00BE6341">
            <w:pPr>
              <w:spacing w:before="120" w:after="120"/>
              <w:jc w:val="right"/>
              <w:rPr>
                <w:rFonts w:ascii="Times New Roman" w:hAnsi="Times New Roman"/>
                <w:noProof/>
                <w:lang w:val="sk-SK"/>
              </w:rPr>
            </w:pPr>
            <w:r w:rsidRPr="0077393E">
              <w:rPr>
                <w:rFonts w:ascii="Times New Roman" w:hAnsi="Times New Roman"/>
                <w:noProof/>
                <w:lang w:val="sk-SK"/>
              </w:rPr>
              <w:t>104 217 287</w:t>
            </w:r>
          </w:p>
        </w:tc>
      </w:tr>
      <w:tr w:rsidR="00BE6341" w:rsidRPr="0077393E" w14:paraId="401CEE63" w14:textId="77777777" w:rsidTr="00252DC3">
        <w:trPr>
          <w:trHeight w:val="300"/>
        </w:trPr>
        <w:tc>
          <w:tcPr>
            <w:tcW w:w="2417" w:type="dxa"/>
            <w:tcBorders>
              <w:top w:val="single" w:sz="4" w:space="0" w:color="auto"/>
              <w:left w:val="single" w:sz="4" w:space="0" w:color="auto"/>
              <w:bottom w:val="single" w:sz="4" w:space="0" w:color="auto"/>
              <w:right w:val="single" w:sz="4" w:space="0" w:color="auto"/>
            </w:tcBorders>
            <w:noWrap/>
            <w:hideMark/>
          </w:tcPr>
          <w:p w14:paraId="193047F6" w14:textId="77777777" w:rsidR="00BE6341" w:rsidRPr="0077393E" w:rsidRDefault="00BE6341" w:rsidP="00BE6341">
            <w:pPr>
              <w:spacing w:before="120" w:after="120"/>
              <w:rPr>
                <w:rFonts w:ascii="Times New Roman" w:hAnsi="Times New Roman"/>
                <w:noProof/>
                <w:lang w:val="sk-SK"/>
              </w:rPr>
            </w:pPr>
            <w:r w:rsidRPr="0077393E">
              <w:rPr>
                <w:rFonts w:ascii="Times New Roman" w:hAnsi="Times New Roman"/>
                <w:noProof/>
                <w:lang w:val="sk-SK"/>
              </w:rPr>
              <w:t>Malta</w:t>
            </w:r>
          </w:p>
        </w:tc>
        <w:tc>
          <w:tcPr>
            <w:tcW w:w="2374" w:type="dxa"/>
            <w:tcBorders>
              <w:top w:val="single" w:sz="4" w:space="0" w:color="auto"/>
              <w:left w:val="single" w:sz="4" w:space="0" w:color="auto"/>
              <w:bottom w:val="single" w:sz="4" w:space="0" w:color="auto"/>
              <w:right w:val="single" w:sz="4" w:space="0" w:color="auto"/>
            </w:tcBorders>
            <w:noWrap/>
            <w:hideMark/>
          </w:tcPr>
          <w:p w14:paraId="6C457817" w14:textId="77777777" w:rsidR="00BE6341" w:rsidRPr="0077393E" w:rsidRDefault="00BE6341" w:rsidP="00BE6341">
            <w:pPr>
              <w:spacing w:before="120" w:after="120"/>
              <w:jc w:val="right"/>
              <w:rPr>
                <w:rFonts w:ascii="Times New Roman" w:hAnsi="Times New Roman"/>
                <w:noProof/>
                <w:lang w:val="sk-SK"/>
              </w:rPr>
            </w:pPr>
            <w:r w:rsidRPr="0077393E">
              <w:rPr>
                <w:rFonts w:ascii="Times New Roman" w:hAnsi="Times New Roman"/>
                <w:noProof/>
                <w:lang w:val="sk-SK"/>
              </w:rPr>
              <w:t>4 996 124</w:t>
            </w:r>
          </w:p>
        </w:tc>
      </w:tr>
      <w:tr w:rsidR="00BE6341" w:rsidRPr="0077393E" w14:paraId="450BC60B" w14:textId="77777777" w:rsidTr="00252DC3">
        <w:trPr>
          <w:trHeight w:val="300"/>
        </w:trPr>
        <w:tc>
          <w:tcPr>
            <w:tcW w:w="2417" w:type="dxa"/>
            <w:tcBorders>
              <w:top w:val="single" w:sz="4" w:space="0" w:color="auto"/>
              <w:left w:val="single" w:sz="4" w:space="0" w:color="auto"/>
              <w:bottom w:val="single" w:sz="4" w:space="0" w:color="auto"/>
              <w:right w:val="single" w:sz="4" w:space="0" w:color="auto"/>
            </w:tcBorders>
            <w:noWrap/>
            <w:hideMark/>
          </w:tcPr>
          <w:p w14:paraId="30F21253" w14:textId="77777777" w:rsidR="00BE6341" w:rsidRPr="0077393E" w:rsidRDefault="00BE6341" w:rsidP="00BE6341">
            <w:pPr>
              <w:spacing w:before="120" w:after="120"/>
              <w:rPr>
                <w:rFonts w:ascii="Times New Roman" w:hAnsi="Times New Roman"/>
                <w:noProof/>
                <w:lang w:val="sk-SK"/>
              </w:rPr>
            </w:pPr>
            <w:r w:rsidRPr="0077393E">
              <w:rPr>
                <w:rFonts w:ascii="Times New Roman" w:hAnsi="Times New Roman"/>
                <w:noProof/>
                <w:lang w:val="sk-SK"/>
              </w:rPr>
              <w:t>Holandsko</w:t>
            </w:r>
          </w:p>
        </w:tc>
        <w:tc>
          <w:tcPr>
            <w:tcW w:w="2374" w:type="dxa"/>
            <w:tcBorders>
              <w:top w:val="single" w:sz="4" w:space="0" w:color="auto"/>
              <w:left w:val="single" w:sz="4" w:space="0" w:color="auto"/>
              <w:bottom w:val="single" w:sz="4" w:space="0" w:color="auto"/>
              <w:right w:val="single" w:sz="4" w:space="0" w:color="auto"/>
            </w:tcBorders>
            <w:noWrap/>
            <w:hideMark/>
          </w:tcPr>
          <w:p w14:paraId="51B5C322" w14:textId="77777777" w:rsidR="00BE6341" w:rsidRPr="0077393E" w:rsidRDefault="00BE6341" w:rsidP="00BE6341">
            <w:pPr>
              <w:spacing w:before="120" w:after="120"/>
              <w:jc w:val="right"/>
              <w:rPr>
                <w:rFonts w:ascii="Times New Roman" w:hAnsi="Times New Roman"/>
                <w:noProof/>
                <w:lang w:val="sk-SK"/>
              </w:rPr>
            </w:pPr>
            <w:r w:rsidRPr="0077393E">
              <w:rPr>
                <w:rFonts w:ascii="Times New Roman" w:hAnsi="Times New Roman"/>
                <w:noProof/>
                <w:lang w:val="sk-SK"/>
              </w:rPr>
              <w:t>18 317 092</w:t>
            </w:r>
          </w:p>
        </w:tc>
      </w:tr>
      <w:tr w:rsidR="00BE6341" w:rsidRPr="0077393E" w14:paraId="7974491D" w14:textId="77777777" w:rsidTr="00252DC3">
        <w:trPr>
          <w:trHeight w:val="300"/>
        </w:trPr>
        <w:tc>
          <w:tcPr>
            <w:tcW w:w="2417" w:type="dxa"/>
            <w:tcBorders>
              <w:top w:val="single" w:sz="4" w:space="0" w:color="auto"/>
              <w:left w:val="single" w:sz="4" w:space="0" w:color="auto"/>
              <w:bottom w:val="single" w:sz="4" w:space="0" w:color="auto"/>
              <w:right w:val="single" w:sz="4" w:space="0" w:color="auto"/>
            </w:tcBorders>
            <w:noWrap/>
            <w:hideMark/>
          </w:tcPr>
          <w:p w14:paraId="6FB973E7" w14:textId="77777777" w:rsidR="00BE6341" w:rsidRPr="0077393E" w:rsidRDefault="00BE6341" w:rsidP="00BE6341">
            <w:pPr>
              <w:spacing w:before="120" w:after="120"/>
              <w:rPr>
                <w:rFonts w:ascii="Times New Roman" w:hAnsi="Times New Roman"/>
                <w:noProof/>
                <w:lang w:val="sk-SK"/>
              </w:rPr>
            </w:pPr>
            <w:r w:rsidRPr="0077393E">
              <w:rPr>
                <w:rFonts w:ascii="Times New Roman" w:hAnsi="Times New Roman"/>
                <w:noProof/>
                <w:lang w:val="sk-SK"/>
              </w:rPr>
              <w:t>Rakúsko</w:t>
            </w:r>
          </w:p>
        </w:tc>
        <w:tc>
          <w:tcPr>
            <w:tcW w:w="2374" w:type="dxa"/>
            <w:tcBorders>
              <w:top w:val="single" w:sz="4" w:space="0" w:color="auto"/>
              <w:left w:val="single" w:sz="4" w:space="0" w:color="auto"/>
              <w:bottom w:val="single" w:sz="4" w:space="0" w:color="auto"/>
              <w:right w:val="single" w:sz="4" w:space="0" w:color="auto"/>
            </w:tcBorders>
            <w:noWrap/>
            <w:hideMark/>
          </w:tcPr>
          <w:p w14:paraId="38A051F0" w14:textId="77777777" w:rsidR="00BE6341" w:rsidRPr="0077393E" w:rsidRDefault="00BE6341" w:rsidP="00BE6341">
            <w:pPr>
              <w:spacing w:before="120" w:after="120"/>
              <w:jc w:val="right"/>
              <w:rPr>
                <w:rFonts w:ascii="Times New Roman" w:hAnsi="Times New Roman"/>
                <w:noProof/>
                <w:lang w:val="sk-SK"/>
              </w:rPr>
            </w:pPr>
            <w:r w:rsidRPr="0077393E">
              <w:rPr>
                <w:rFonts w:ascii="Times New Roman" w:hAnsi="Times New Roman"/>
                <w:noProof/>
                <w:lang w:val="sk-SK"/>
              </w:rPr>
              <w:t>130 006 188</w:t>
            </w:r>
          </w:p>
        </w:tc>
      </w:tr>
      <w:tr w:rsidR="00BE6341" w:rsidRPr="0077393E" w14:paraId="61D10790" w14:textId="77777777" w:rsidTr="00252DC3">
        <w:trPr>
          <w:trHeight w:val="300"/>
        </w:trPr>
        <w:tc>
          <w:tcPr>
            <w:tcW w:w="2417" w:type="dxa"/>
            <w:tcBorders>
              <w:top w:val="single" w:sz="4" w:space="0" w:color="auto"/>
              <w:left w:val="single" w:sz="4" w:space="0" w:color="auto"/>
              <w:bottom w:val="single" w:sz="4" w:space="0" w:color="auto"/>
              <w:right w:val="single" w:sz="4" w:space="0" w:color="auto"/>
            </w:tcBorders>
            <w:noWrap/>
            <w:hideMark/>
          </w:tcPr>
          <w:p w14:paraId="7D25D112" w14:textId="77777777" w:rsidR="00BE6341" w:rsidRPr="0077393E" w:rsidRDefault="00BE6341" w:rsidP="00BE6341">
            <w:pPr>
              <w:spacing w:before="120" w:after="120"/>
              <w:rPr>
                <w:rFonts w:ascii="Times New Roman" w:hAnsi="Times New Roman"/>
                <w:noProof/>
                <w:lang w:val="sk-SK"/>
              </w:rPr>
            </w:pPr>
            <w:r w:rsidRPr="0077393E">
              <w:rPr>
                <w:rFonts w:ascii="Times New Roman" w:hAnsi="Times New Roman"/>
                <w:noProof/>
                <w:lang w:val="sk-SK"/>
              </w:rPr>
              <w:t>Poľsko</w:t>
            </w:r>
          </w:p>
        </w:tc>
        <w:tc>
          <w:tcPr>
            <w:tcW w:w="2374" w:type="dxa"/>
            <w:tcBorders>
              <w:top w:val="single" w:sz="4" w:space="0" w:color="auto"/>
              <w:left w:val="single" w:sz="4" w:space="0" w:color="auto"/>
              <w:bottom w:val="single" w:sz="4" w:space="0" w:color="auto"/>
              <w:right w:val="single" w:sz="4" w:space="0" w:color="auto"/>
            </w:tcBorders>
            <w:noWrap/>
            <w:hideMark/>
          </w:tcPr>
          <w:p w14:paraId="2ED2A357" w14:textId="77777777" w:rsidR="00BE6341" w:rsidRPr="0077393E" w:rsidRDefault="00BE6341" w:rsidP="00BE6341">
            <w:pPr>
              <w:spacing w:before="120" w:after="120"/>
              <w:jc w:val="right"/>
              <w:rPr>
                <w:rFonts w:ascii="Times New Roman" w:hAnsi="Times New Roman"/>
                <w:noProof/>
                <w:lang w:val="sk-SK"/>
              </w:rPr>
            </w:pPr>
            <w:r w:rsidRPr="0077393E">
              <w:rPr>
                <w:rFonts w:ascii="Times New Roman" w:hAnsi="Times New Roman"/>
                <w:noProof/>
                <w:lang w:val="sk-SK"/>
              </w:rPr>
              <w:t>396 000 462</w:t>
            </w:r>
          </w:p>
        </w:tc>
      </w:tr>
      <w:tr w:rsidR="00BE6341" w:rsidRPr="0077393E" w14:paraId="00C2DCBC" w14:textId="77777777" w:rsidTr="00252DC3">
        <w:trPr>
          <w:trHeight w:val="300"/>
        </w:trPr>
        <w:tc>
          <w:tcPr>
            <w:tcW w:w="2417" w:type="dxa"/>
            <w:tcBorders>
              <w:top w:val="single" w:sz="4" w:space="0" w:color="auto"/>
              <w:left w:val="single" w:sz="4" w:space="0" w:color="auto"/>
              <w:bottom w:val="single" w:sz="4" w:space="0" w:color="auto"/>
              <w:right w:val="single" w:sz="4" w:space="0" w:color="auto"/>
            </w:tcBorders>
            <w:noWrap/>
            <w:hideMark/>
          </w:tcPr>
          <w:p w14:paraId="2B1BF9AD" w14:textId="77777777" w:rsidR="00BE6341" w:rsidRPr="0077393E" w:rsidRDefault="00BE6341" w:rsidP="00BE6341">
            <w:pPr>
              <w:spacing w:before="120" w:after="120"/>
              <w:rPr>
                <w:rFonts w:ascii="Times New Roman" w:hAnsi="Times New Roman"/>
                <w:noProof/>
                <w:lang w:val="sk-SK"/>
              </w:rPr>
            </w:pPr>
            <w:r w:rsidRPr="0077393E">
              <w:rPr>
                <w:rFonts w:ascii="Times New Roman" w:hAnsi="Times New Roman"/>
                <w:noProof/>
                <w:lang w:val="sk-SK"/>
              </w:rPr>
              <w:t>Portugalsko</w:t>
            </w:r>
          </w:p>
        </w:tc>
        <w:tc>
          <w:tcPr>
            <w:tcW w:w="2374" w:type="dxa"/>
            <w:tcBorders>
              <w:top w:val="single" w:sz="4" w:space="0" w:color="auto"/>
              <w:left w:val="single" w:sz="4" w:space="0" w:color="auto"/>
              <w:bottom w:val="single" w:sz="4" w:space="0" w:color="auto"/>
              <w:right w:val="single" w:sz="4" w:space="0" w:color="auto"/>
            </w:tcBorders>
            <w:noWrap/>
            <w:hideMark/>
          </w:tcPr>
          <w:p w14:paraId="6B463DEF" w14:textId="77777777" w:rsidR="00BE6341" w:rsidRPr="0077393E" w:rsidRDefault="00BE6341" w:rsidP="00BE6341">
            <w:pPr>
              <w:spacing w:before="120" w:after="120"/>
              <w:jc w:val="right"/>
              <w:rPr>
                <w:rFonts w:ascii="Times New Roman" w:hAnsi="Times New Roman"/>
                <w:noProof/>
                <w:lang w:val="sk-SK"/>
              </w:rPr>
            </w:pPr>
            <w:r w:rsidRPr="0077393E">
              <w:rPr>
                <w:rFonts w:ascii="Times New Roman" w:hAnsi="Times New Roman"/>
                <w:noProof/>
                <w:lang w:val="sk-SK"/>
              </w:rPr>
              <w:t>162 165 186</w:t>
            </w:r>
          </w:p>
        </w:tc>
      </w:tr>
      <w:tr w:rsidR="00BE6341" w:rsidRPr="0077393E" w14:paraId="0B8821EC" w14:textId="77777777" w:rsidTr="00252DC3">
        <w:trPr>
          <w:trHeight w:val="300"/>
        </w:trPr>
        <w:tc>
          <w:tcPr>
            <w:tcW w:w="2417" w:type="dxa"/>
            <w:tcBorders>
              <w:top w:val="single" w:sz="4" w:space="0" w:color="auto"/>
              <w:left w:val="single" w:sz="4" w:space="0" w:color="auto"/>
              <w:bottom w:val="single" w:sz="4" w:space="0" w:color="auto"/>
              <w:right w:val="single" w:sz="4" w:space="0" w:color="auto"/>
            </w:tcBorders>
            <w:noWrap/>
            <w:hideMark/>
          </w:tcPr>
          <w:p w14:paraId="4E9AC2C8" w14:textId="77777777" w:rsidR="00BE6341" w:rsidRPr="0077393E" w:rsidRDefault="00BE6341" w:rsidP="00BE6341">
            <w:pPr>
              <w:spacing w:before="120" w:after="120"/>
              <w:rPr>
                <w:rFonts w:ascii="Times New Roman" w:hAnsi="Times New Roman"/>
                <w:noProof/>
                <w:lang w:val="sk-SK"/>
              </w:rPr>
            </w:pPr>
            <w:r w:rsidRPr="0077393E">
              <w:rPr>
                <w:rFonts w:ascii="Times New Roman" w:hAnsi="Times New Roman"/>
                <w:noProof/>
                <w:lang w:val="sk-SK"/>
              </w:rPr>
              <w:t>Rumunsko</w:t>
            </w:r>
          </w:p>
        </w:tc>
        <w:tc>
          <w:tcPr>
            <w:tcW w:w="2374" w:type="dxa"/>
            <w:tcBorders>
              <w:top w:val="single" w:sz="4" w:space="0" w:color="auto"/>
              <w:left w:val="single" w:sz="4" w:space="0" w:color="auto"/>
              <w:bottom w:val="single" w:sz="4" w:space="0" w:color="auto"/>
              <w:right w:val="single" w:sz="4" w:space="0" w:color="auto"/>
            </w:tcBorders>
            <w:noWrap/>
            <w:hideMark/>
          </w:tcPr>
          <w:p w14:paraId="222F4C20" w14:textId="77777777" w:rsidR="00BE6341" w:rsidRPr="0077393E" w:rsidRDefault="00BE6341" w:rsidP="00BE6341">
            <w:pPr>
              <w:spacing w:before="120" w:after="120"/>
              <w:jc w:val="right"/>
              <w:rPr>
                <w:rFonts w:ascii="Times New Roman" w:hAnsi="Times New Roman"/>
                <w:noProof/>
                <w:lang w:val="sk-SK"/>
              </w:rPr>
            </w:pPr>
            <w:r w:rsidRPr="0077393E">
              <w:rPr>
                <w:rFonts w:ascii="Times New Roman" w:hAnsi="Times New Roman"/>
                <w:noProof/>
                <w:lang w:val="sk-SK"/>
              </w:rPr>
              <w:t>290 114 968</w:t>
            </w:r>
          </w:p>
        </w:tc>
      </w:tr>
      <w:tr w:rsidR="00BE6341" w:rsidRPr="0077393E" w14:paraId="1F909590" w14:textId="77777777" w:rsidTr="00252DC3">
        <w:trPr>
          <w:trHeight w:val="300"/>
        </w:trPr>
        <w:tc>
          <w:tcPr>
            <w:tcW w:w="2417" w:type="dxa"/>
            <w:tcBorders>
              <w:top w:val="single" w:sz="4" w:space="0" w:color="auto"/>
              <w:left w:val="single" w:sz="4" w:space="0" w:color="auto"/>
              <w:bottom w:val="single" w:sz="4" w:space="0" w:color="auto"/>
              <w:right w:val="single" w:sz="4" w:space="0" w:color="auto"/>
            </w:tcBorders>
            <w:noWrap/>
            <w:hideMark/>
          </w:tcPr>
          <w:p w14:paraId="008A1A5A" w14:textId="77777777" w:rsidR="00BE6341" w:rsidRPr="0077393E" w:rsidRDefault="00BE6341" w:rsidP="00BE6341">
            <w:pPr>
              <w:spacing w:before="120" w:after="120"/>
              <w:rPr>
                <w:rFonts w:ascii="Times New Roman" w:hAnsi="Times New Roman"/>
                <w:noProof/>
                <w:lang w:val="sk-SK"/>
              </w:rPr>
            </w:pPr>
            <w:r w:rsidRPr="0077393E">
              <w:rPr>
                <w:rFonts w:ascii="Times New Roman" w:hAnsi="Times New Roman"/>
                <w:noProof/>
                <w:lang w:val="sk-SK"/>
              </w:rPr>
              <w:t>Slovinsko</w:t>
            </w:r>
          </w:p>
        </w:tc>
        <w:tc>
          <w:tcPr>
            <w:tcW w:w="2374" w:type="dxa"/>
            <w:tcBorders>
              <w:top w:val="single" w:sz="4" w:space="0" w:color="auto"/>
              <w:left w:val="single" w:sz="4" w:space="0" w:color="auto"/>
              <w:bottom w:val="single" w:sz="4" w:space="0" w:color="auto"/>
              <w:right w:val="single" w:sz="4" w:space="0" w:color="auto"/>
            </w:tcBorders>
            <w:noWrap/>
            <w:hideMark/>
          </w:tcPr>
          <w:p w14:paraId="4D21AA56" w14:textId="77777777" w:rsidR="00BE6341" w:rsidRPr="0077393E" w:rsidRDefault="00BE6341" w:rsidP="00BE6341">
            <w:pPr>
              <w:spacing w:before="120" w:after="120"/>
              <w:jc w:val="right"/>
              <w:rPr>
                <w:rFonts w:ascii="Times New Roman" w:hAnsi="Times New Roman"/>
                <w:noProof/>
                <w:lang w:val="sk-SK"/>
              </w:rPr>
            </w:pPr>
            <w:r w:rsidRPr="0077393E">
              <w:rPr>
                <w:rFonts w:ascii="Times New Roman" w:hAnsi="Times New Roman"/>
                <w:noProof/>
                <w:lang w:val="sk-SK"/>
              </w:rPr>
              <w:t>27 542 548</w:t>
            </w:r>
          </w:p>
        </w:tc>
      </w:tr>
      <w:tr w:rsidR="00BE6341" w:rsidRPr="0077393E" w14:paraId="571A651C" w14:textId="77777777" w:rsidTr="00252DC3">
        <w:trPr>
          <w:trHeight w:val="300"/>
        </w:trPr>
        <w:tc>
          <w:tcPr>
            <w:tcW w:w="2417" w:type="dxa"/>
            <w:tcBorders>
              <w:top w:val="single" w:sz="4" w:space="0" w:color="auto"/>
              <w:left w:val="single" w:sz="4" w:space="0" w:color="auto"/>
              <w:bottom w:val="single" w:sz="4" w:space="0" w:color="auto"/>
              <w:right w:val="single" w:sz="4" w:space="0" w:color="auto"/>
            </w:tcBorders>
            <w:noWrap/>
            <w:hideMark/>
          </w:tcPr>
          <w:p w14:paraId="08C67EF9" w14:textId="77777777" w:rsidR="00BE6341" w:rsidRPr="0077393E" w:rsidRDefault="00BE6341" w:rsidP="00BE6341">
            <w:pPr>
              <w:spacing w:before="120" w:after="120"/>
              <w:rPr>
                <w:rFonts w:ascii="Times New Roman" w:hAnsi="Times New Roman"/>
                <w:noProof/>
                <w:lang w:val="sk-SK"/>
              </w:rPr>
            </w:pPr>
            <w:r w:rsidRPr="0077393E">
              <w:rPr>
                <w:rFonts w:ascii="Times New Roman" w:hAnsi="Times New Roman"/>
                <w:noProof/>
                <w:lang w:val="sk-SK"/>
              </w:rPr>
              <w:t>Slovensko</w:t>
            </w:r>
          </w:p>
        </w:tc>
        <w:tc>
          <w:tcPr>
            <w:tcW w:w="2374" w:type="dxa"/>
            <w:tcBorders>
              <w:top w:val="single" w:sz="4" w:space="0" w:color="auto"/>
              <w:left w:val="single" w:sz="4" w:space="0" w:color="auto"/>
              <w:bottom w:val="single" w:sz="4" w:space="0" w:color="auto"/>
              <w:right w:val="single" w:sz="4" w:space="0" w:color="auto"/>
            </w:tcBorders>
            <w:noWrap/>
            <w:hideMark/>
          </w:tcPr>
          <w:p w14:paraId="4201B8C6" w14:textId="77777777" w:rsidR="00BE6341" w:rsidRPr="0077393E" w:rsidRDefault="00BE6341" w:rsidP="00BE6341">
            <w:pPr>
              <w:spacing w:before="120" w:after="120"/>
              <w:jc w:val="right"/>
              <w:rPr>
                <w:rFonts w:ascii="Times New Roman" w:hAnsi="Times New Roman"/>
                <w:noProof/>
                <w:lang w:val="sk-SK"/>
              </w:rPr>
            </w:pPr>
            <w:r w:rsidRPr="0077393E">
              <w:rPr>
                <w:rFonts w:ascii="Times New Roman" w:hAnsi="Times New Roman"/>
                <w:noProof/>
                <w:lang w:val="sk-SK"/>
              </w:rPr>
              <w:t>77 723 373</w:t>
            </w:r>
          </w:p>
        </w:tc>
      </w:tr>
      <w:tr w:rsidR="00BE6341" w:rsidRPr="0077393E" w14:paraId="6B88AC51" w14:textId="77777777" w:rsidTr="00252DC3">
        <w:trPr>
          <w:trHeight w:val="300"/>
        </w:trPr>
        <w:tc>
          <w:tcPr>
            <w:tcW w:w="2417" w:type="dxa"/>
            <w:tcBorders>
              <w:top w:val="single" w:sz="4" w:space="0" w:color="auto"/>
              <w:left w:val="single" w:sz="4" w:space="0" w:color="auto"/>
              <w:bottom w:val="single" w:sz="4" w:space="0" w:color="auto"/>
              <w:right w:val="single" w:sz="4" w:space="0" w:color="auto"/>
            </w:tcBorders>
            <w:noWrap/>
            <w:hideMark/>
          </w:tcPr>
          <w:p w14:paraId="2AA5D391" w14:textId="77777777" w:rsidR="00BE6341" w:rsidRPr="0077393E" w:rsidRDefault="00BE6341" w:rsidP="00BE6341">
            <w:pPr>
              <w:spacing w:before="120" w:after="120"/>
              <w:rPr>
                <w:rFonts w:ascii="Times New Roman" w:hAnsi="Times New Roman"/>
                <w:noProof/>
                <w:lang w:val="sk-SK"/>
              </w:rPr>
            </w:pPr>
            <w:r w:rsidRPr="0077393E">
              <w:rPr>
                <w:rFonts w:ascii="Times New Roman" w:hAnsi="Times New Roman"/>
                <w:noProof/>
                <w:lang w:val="sk-SK"/>
              </w:rPr>
              <w:t>Fínsko</w:t>
            </w:r>
          </w:p>
        </w:tc>
        <w:tc>
          <w:tcPr>
            <w:tcW w:w="2374" w:type="dxa"/>
            <w:tcBorders>
              <w:top w:val="single" w:sz="4" w:space="0" w:color="auto"/>
              <w:left w:val="single" w:sz="4" w:space="0" w:color="auto"/>
              <w:bottom w:val="single" w:sz="4" w:space="0" w:color="auto"/>
              <w:right w:val="single" w:sz="4" w:space="0" w:color="auto"/>
            </w:tcBorders>
            <w:noWrap/>
            <w:hideMark/>
          </w:tcPr>
          <w:p w14:paraId="36B226D6" w14:textId="77777777" w:rsidR="00BE6341" w:rsidRPr="0077393E" w:rsidRDefault="00BE6341" w:rsidP="00BE6341">
            <w:pPr>
              <w:spacing w:before="120" w:after="120"/>
              <w:jc w:val="right"/>
              <w:rPr>
                <w:rFonts w:ascii="Times New Roman" w:hAnsi="Times New Roman"/>
                <w:noProof/>
                <w:lang w:val="sk-SK"/>
              </w:rPr>
            </w:pPr>
            <w:r w:rsidRPr="0077393E">
              <w:rPr>
                <w:rFonts w:ascii="Times New Roman" w:hAnsi="Times New Roman"/>
                <w:noProof/>
                <w:lang w:val="sk-SK"/>
              </w:rPr>
              <w:t>106 364 987</w:t>
            </w:r>
          </w:p>
        </w:tc>
      </w:tr>
      <w:tr w:rsidR="00BE6341" w:rsidRPr="0077393E" w14:paraId="6AE3AF90" w14:textId="77777777" w:rsidTr="00252DC3">
        <w:trPr>
          <w:trHeight w:val="300"/>
        </w:trPr>
        <w:tc>
          <w:tcPr>
            <w:tcW w:w="2417" w:type="dxa"/>
            <w:tcBorders>
              <w:top w:val="single" w:sz="4" w:space="0" w:color="auto"/>
              <w:left w:val="single" w:sz="4" w:space="0" w:color="auto"/>
              <w:bottom w:val="single" w:sz="4" w:space="0" w:color="auto"/>
              <w:right w:val="single" w:sz="4" w:space="0" w:color="auto"/>
            </w:tcBorders>
            <w:noWrap/>
            <w:hideMark/>
          </w:tcPr>
          <w:p w14:paraId="754791B0" w14:textId="77777777" w:rsidR="00BE6341" w:rsidRPr="0077393E" w:rsidRDefault="00BE6341" w:rsidP="00BE6341">
            <w:pPr>
              <w:spacing w:before="120" w:after="120"/>
              <w:rPr>
                <w:rFonts w:ascii="Times New Roman" w:hAnsi="Times New Roman"/>
                <w:noProof/>
                <w:lang w:val="sk-SK"/>
              </w:rPr>
            </w:pPr>
            <w:r w:rsidRPr="0077393E">
              <w:rPr>
                <w:rFonts w:ascii="Times New Roman" w:hAnsi="Times New Roman"/>
                <w:noProof/>
                <w:lang w:val="sk-SK"/>
              </w:rPr>
              <w:t>Švédsko</w:t>
            </w:r>
          </w:p>
        </w:tc>
        <w:tc>
          <w:tcPr>
            <w:tcW w:w="2374" w:type="dxa"/>
            <w:tcBorders>
              <w:top w:val="single" w:sz="4" w:space="0" w:color="auto"/>
              <w:left w:val="single" w:sz="4" w:space="0" w:color="auto"/>
              <w:bottom w:val="single" w:sz="4" w:space="0" w:color="auto"/>
              <w:right w:val="single" w:sz="4" w:space="0" w:color="auto"/>
            </w:tcBorders>
            <w:noWrap/>
            <w:hideMark/>
          </w:tcPr>
          <w:p w14:paraId="55AD0D4A" w14:textId="77777777" w:rsidR="00BE6341" w:rsidRPr="0077393E" w:rsidRDefault="00BE6341" w:rsidP="00BE6341">
            <w:pPr>
              <w:spacing w:before="120" w:after="120"/>
              <w:jc w:val="right"/>
              <w:rPr>
                <w:rFonts w:ascii="Times New Roman" w:hAnsi="Times New Roman"/>
                <w:noProof/>
                <w:lang w:val="sk-SK"/>
              </w:rPr>
            </w:pPr>
            <w:r w:rsidRPr="0077393E">
              <w:rPr>
                <w:rFonts w:ascii="Times New Roman" w:hAnsi="Times New Roman"/>
                <w:noProof/>
                <w:lang w:val="sk-SK"/>
              </w:rPr>
              <w:t>63 566 922</w:t>
            </w:r>
          </w:p>
        </w:tc>
      </w:tr>
    </w:tbl>
    <w:p w14:paraId="3BD325CB" w14:textId="77777777" w:rsidR="00BE6341" w:rsidRPr="0077393E" w:rsidRDefault="00BE6341" w:rsidP="00BE6341">
      <w:pPr>
        <w:spacing w:before="120" w:after="120" w:line="360" w:lineRule="auto"/>
        <w:rPr>
          <w:rFonts w:eastAsia="Calibri"/>
          <w:i/>
          <w:iCs/>
          <w:noProof/>
          <w:kern w:val="2"/>
          <w:szCs w:val="24"/>
          <w:lang w:val="sk-SK" w:eastAsia="en-US"/>
          <w14:ligatures w14:val="standardContextual"/>
        </w:rPr>
      </w:pPr>
    </w:p>
    <w:p w14:paraId="2E5DA79A" w14:textId="77777777" w:rsidR="00BE6341" w:rsidRPr="0077393E" w:rsidRDefault="00BE6341" w:rsidP="00BE6341">
      <w:pPr>
        <w:spacing w:after="160" w:line="278" w:lineRule="auto"/>
        <w:rPr>
          <w:rFonts w:eastAsia="Calibri"/>
          <w:i/>
          <w:noProof/>
          <w:kern w:val="2"/>
          <w:szCs w:val="24"/>
          <w:lang w:val="sk-SK" w:eastAsia="en-US"/>
          <w14:ligatures w14:val="standardContextual"/>
        </w:rPr>
      </w:pPr>
      <w:r w:rsidRPr="0077393E">
        <w:rPr>
          <w:rFonts w:eastAsia="Calibri"/>
          <w:i/>
          <w:noProof/>
          <w:kern w:val="2"/>
          <w:szCs w:val="24"/>
          <w:lang w:val="sk-SK" w:eastAsia="en-US"/>
          <w14:ligatures w14:val="standardContextual"/>
        </w:rPr>
        <w:br w:type="page"/>
      </w:r>
    </w:p>
    <w:p w14:paraId="59F38407" w14:textId="77777777" w:rsidR="00BE6341" w:rsidRPr="0077393E" w:rsidRDefault="00BE6341" w:rsidP="00BE6341">
      <w:pPr>
        <w:spacing w:before="120" w:after="120" w:line="360" w:lineRule="auto"/>
        <w:rPr>
          <w:rFonts w:eastAsia="Calibri"/>
          <w:i/>
          <w:iCs/>
          <w:noProof/>
          <w:kern w:val="2"/>
          <w:szCs w:val="24"/>
          <w:lang w:val="sk-SK" w:eastAsia="en-US"/>
          <w14:ligatures w14:val="standardContextual"/>
        </w:rPr>
      </w:pPr>
      <w:r w:rsidRPr="0077393E">
        <w:rPr>
          <w:rFonts w:eastAsia="Calibri"/>
          <w:i/>
          <w:noProof/>
          <w:kern w:val="2"/>
          <w:szCs w:val="24"/>
          <w:lang w:val="sk-SK" w:eastAsia="en-US"/>
          <w14:ligatures w14:val="standardContextual"/>
        </w:rPr>
        <w:lastRenderedPageBreak/>
        <w:t xml:space="preserve">Maximálna suma zníženia alokácií na priame platby na kalendárny rok 2027 na členský štát </w:t>
      </w:r>
    </w:p>
    <w:tbl>
      <w:tblPr>
        <w:tblStyle w:val="TableGrid21"/>
        <w:tblW w:w="0" w:type="auto"/>
        <w:tblInd w:w="1696" w:type="dxa"/>
        <w:tblLook w:val="04A0" w:firstRow="1" w:lastRow="0" w:firstColumn="1" w:lastColumn="0" w:noHBand="0" w:noVBand="1"/>
      </w:tblPr>
      <w:tblGrid>
        <w:gridCol w:w="2417"/>
        <w:gridCol w:w="2374"/>
      </w:tblGrid>
      <w:tr w:rsidR="00BE6341" w:rsidRPr="0077393E" w14:paraId="2F64775C" w14:textId="77777777" w:rsidTr="00252DC3">
        <w:trPr>
          <w:trHeight w:val="300"/>
        </w:trPr>
        <w:tc>
          <w:tcPr>
            <w:tcW w:w="2417" w:type="dxa"/>
            <w:tcBorders>
              <w:top w:val="single" w:sz="4" w:space="0" w:color="auto"/>
              <w:left w:val="single" w:sz="4" w:space="0" w:color="auto"/>
              <w:bottom w:val="single" w:sz="4" w:space="0" w:color="auto"/>
              <w:right w:val="single" w:sz="4" w:space="0" w:color="auto"/>
            </w:tcBorders>
            <w:noWrap/>
            <w:vAlign w:val="center"/>
          </w:tcPr>
          <w:p w14:paraId="6E1CEC83" w14:textId="77777777" w:rsidR="00BE6341" w:rsidRPr="0077393E" w:rsidRDefault="00BE6341" w:rsidP="00BE6341">
            <w:pPr>
              <w:spacing w:before="120" w:after="120"/>
              <w:rPr>
                <w:rFonts w:ascii="Times New Roman" w:hAnsi="Times New Roman"/>
                <w:noProof/>
                <w:lang w:val="sk-SK"/>
              </w:rPr>
            </w:pPr>
          </w:p>
        </w:tc>
        <w:tc>
          <w:tcPr>
            <w:tcW w:w="2374" w:type="dxa"/>
            <w:tcBorders>
              <w:top w:val="single" w:sz="4" w:space="0" w:color="auto"/>
              <w:left w:val="single" w:sz="4" w:space="0" w:color="auto"/>
              <w:bottom w:val="single" w:sz="4" w:space="0" w:color="auto"/>
              <w:right w:val="single" w:sz="4" w:space="0" w:color="auto"/>
            </w:tcBorders>
            <w:noWrap/>
            <w:vAlign w:val="center"/>
            <w:hideMark/>
          </w:tcPr>
          <w:p w14:paraId="66AA53F9" w14:textId="77777777" w:rsidR="00BE6341" w:rsidRPr="0077393E" w:rsidRDefault="00BE6341" w:rsidP="00BE6341">
            <w:pPr>
              <w:spacing w:before="120" w:after="120"/>
              <w:jc w:val="right"/>
              <w:rPr>
                <w:rFonts w:ascii="Times New Roman" w:hAnsi="Times New Roman"/>
                <w:noProof/>
                <w:lang w:val="sk-SK"/>
              </w:rPr>
            </w:pPr>
            <w:r w:rsidRPr="0077393E">
              <w:rPr>
                <w:rFonts w:ascii="Times New Roman" w:hAnsi="Times New Roman"/>
                <w:noProof/>
                <w:lang w:val="sk-SK"/>
              </w:rPr>
              <w:t>EUR (bežné ceny)</w:t>
            </w:r>
          </w:p>
        </w:tc>
      </w:tr>
      <w:tr w:rsidR="00BE6341" w:rsidRPr="0077393E" w14:paraId="3FB95917" w14:textId="77777777" w:rsidTr="00252DC3">
        <w:trPr>
          <w:trHeight w:val="300"/>
        </w:trPr>
        <w:tc>
          <w:tcPr>
            <w:tcW w:w="2417" w:type="dxa"/>
            <w:tcBorders>
              <w:top w:val="single" w:sz="4" w:space="0" w:color="auto"/>
              <w:left w:val="single" w:sz="4" w:space="0" w:color="auto"/>
              <w:bottom w:val="single" w:sz="4" w:space="0" w:color="auto"/>
              <w:right w:val="single" w:sz="4" w:space="0" w:color="auto"/>
            </w:tcBorders>
            <w:noWrap/>
            <w:vAlign w:val="center"/>
            <w:hideMark/>
          </w:tcPr>
          <w:p w14:paraId="3C43E096" w14:textId="77777777" w:rsidR="00BE6341" w:rsidRPr="0077393E" w:rsidRDefault="00BE6341" w:rsidP="00BE6341">
            <w:pPr>
              <w:spacing w:before="120" w:after="120"/>
              <w:rPr>
                <w:rFonts w:ascii="Times New Roman" w:hAnsi="Times New Roman"/>
                <w:noProof/>
                <w:lang w:val="sk-SK"/>
              </w:rPr>
            </w:pPr>
            <w:r w:rsidRPr="0077393E">
              <w:rPr>
                <w:rFonts w:ascii="Times New Roman" w:hAnsi="Times New Roman"/>
                <w:noProof/>
                <w:lang w:val="sk-SK"/>
              </w:rPr>
              <w:t>Belgicko</w:t>
            </w:r>
          </w:p>
        </w:tc>
        <w:tc>
          <w:tcPr>
            <w:tcW w:w="2374" w:type="dxa"/>
            <w:tcBorders>
              <w:top w:val="single" w:sz="4" w:space="0" w:color="auto"/>
              <w:left w:val="single" w:sz="4" w:space="0" w:color="auto"/>
              <w:bottom w:val="single" w:sz="4" w:space="0" w:color="auto"/>
              <w:right w:val="single" w:sz="4" w:space="0" w:color="auto"/>
            </w:tcBorders>
            <w:noWrap/>
            <w:vAlign w:val="center"/>
            <w:hideMark/>
          </w:tcPr>
          <w:p w14:paraId="130B9E01" w14:textId="77777777" w:rsidR="00BE6341" w:rsidRPr="0077393E" w:rsidRDefault="00BE6341" w:rsidP="00BE6341">
            <w:pPr>
              <w:spacing w:before="120" w:after="120"/>
              <w:jc w:val="right"/>
              <w:rPr>
                <w:rFonts w:ascii="Times New Roman" w:hAnsi="Times New Roman"/>
                <w:noProof/>
                <w:lang w:val="sk-SK"/>
              </w:rPr>
            </w:pPr>
            <w:r w:rsidRPr="0077393E">
              <w:rPr>
                <w:rFonts w:ascii="Times New Roman" w:hAnsi="Times New Roman"/>
                <w:noProof/>
                <w:lang w:val="sk-SK"/>
              </w:rPr>
              <w:t>123 731 481</w:t>
            </w:r>
          </w:p>
        </w:tc>
      </w:tr>
      <w:tr w:rsidR="00BE6341" w:rsidRPr="0077393E" w14:paraId="58560721" w14:textId="77777777" w:rsidTr="00252DC3">
        <w:trPr>
          <w:trHeight w:val="300"/>
        </w:trPr>
        <w:tc>
          <w:tcPr>
            <w:tcW w:w="2417" w:type="dxa"/>
            <w:tcBorders>
              <w:top w:val="single" w:sz="4" w:space="0" w:color="auto"/>
              <w:left w:val="single" w:sz="4" w:space="0" w:color="auto"/>
              <w:bottom w:val="single" w:sz="4" w:space="0" w:color="auto"/>
              <w:right w:val="single" w:sz="4" w:space="0" w:color="auto"/>
            </w:tcBorders>
            <w:noWrap/>
            <w:vAlign w:val="center"/>
            <w:hideMark/>
          </w:tcPr>
          <w:p w14:paraId="449BA132" w14:textId="77777777" w:rsidR="00BE6341" w:rsidRPr="0077393E" w:rsidRDefault="00BE6341" w:rsidP="00BE6341">
            <w:pPr>
              <w:spacing w:before="120" w:after="120"/>
              <w:rPr>
                <w:rFonts w:ascii="Times New Roman" w:hAnsi="Times New Roman"/>
                <w:noProof/>
                <w:lang w:val="sk-SK"/>
              </w:rPr>
            </w:pPr>
            <w:r w:rsidRPr="0077393E">
              <w:rPr>
                <w:rFonts w:ascii="Times New Roman" w:hAnsi="Times New Roman"/>
                <w:noProof/>
                <w:lang w:val="sk-SK"/>
              </w:rPr>
              <w:t>Bulharsko</w:t>
            </w:r>
          </w:p>
        </w:tc>
        <w:tc>
          <w:tcPr>
            <w:tcW w:w="2374" w:type="dxa"/>
            <w:tcBorders>
              <w:top w:val="single" w:sz="4" w:space="0" w:color="auto"/>
              <w:left w:val="single" w:sz="4" w:space="0" w:color="auto"/>
              <w:bottom w:val="single" w:sz="4" w:space="0" w:color="auto"/>
              <w:right w:val="single" w:sz="4" w:space="0" w:color="auto"/>
            </w:tcBorders>
            <w:noWrap/>
            <w:vAlign w:val="center"/>
            <w:hideMark/>
          </w:tcPr>
          <w:p w14:paraId="2183CCD7" w14:textId="77777777" w:rsidR="00BE6341" w:rsidRPr="0077393E" w:rsidRDefault="00BE6341" w:rsidP="00BE6341">
            <w:pPr>
              <w:spacing w:before="120" w:after="120"/>
              <w:jc w:val="right"/>
              <w:rPr>
                <w:rFonts w:ascii="Times New Roman" w:hAnsi="Times New Roman"/>
                <w:noProof/>
                <w:lang w:val="sk-SK"/>
              </w:rPr>
            </w:pPr>
            <w:r w:rsidRPr="0077393E">
              <w:rPr>
                <w:rFonts w:ascii="Times New Roman" w:hAnsi="Times New Roman"/>
                <w:noProof/>
                <w:lang w:val="sk-SK"/>
              </w:rPr>
              <w:t>207 943 425</w:t>
            </w:r>
          </w:p>
        </w:tc>
      </w:tr>
      <w:tr w:rsidR="00BE6341" w:rsidRPr="0077393E" w14:paraId="6DCCE85E" w14:textId="77777777" w:rsidTr="00252DC3">
        <w:trPr>
          <w:trHeight w:val="300"/>
        </w:trPr>
        <w:tc>
          <w:tcPr>
            <w:tcW w:w="2417" w:type="dxa"/>
            <w:tcBorders>
              <w:top w:val="single" w:sz="4" w:space="0" w:color="auto"/>
              <w:left w:val="single" w:sz="4" w:space="0" w:color="auto"/>
              <w:bottom w:val="single" w:sz="4" w:space="0" w:color="auto"/>
              <w:right w:val="single" w:sz="4" w:space="0" w:color="auto"/>
            </w:tcBorders>
            <w:noWrap/>
            <w:vAlign w:val="center"/>
            <w:hideMark/>
          </w:tcPr>
          <w:p w14:paraId="775C7193" w14:textId="77777777" w:rsidR="00BE6341" w:rsidRPr="0077393E" w:rsidRDefault="00BE6341" w:rsidP="00BE6341">
            <w:pPr>
              <w:spacing w:before="120" w:after="120"/>
              <w:rPr>
                <w:rFonts w:ascii="Times New Roman" w:hAnsi="Times New Roman"/>
                <w:noProof/>
                <w:lang w:val="sk-SK"/>
              </w:rPr>
            </w:pPr>
            <w:r w:rsidRPr="0077393E">
              <w:rPr>
                <w:rFonts w:ascii="Times New Roman" w:hAnsi="Times New Roman"/>
                <w:noProof/>
                <w:lang w:val="sk-SK"/>
              </w:rPr>
              <w:t>Česko</w:t>
            </w:r>
          </w:p>
        </w:tc>
        <w:tc>
          <w:tcPr>
            <w:tcW w:w="2374" w:type="dxa"/>
            <w:tcBorders>
              <w:top w:val="single" w:sz="4" w:space="0" w:color="auto"/>
              <w:left w:val="single" w:sz="4" w:space="0" w:color="auto"/>
              <w:bottom w:val="single" w:sz="4" w:space="0" w:color="auto"/>
              <w:right w:val="single" w:sz="4" w:space="0" w:color="auto"/>
            </w:tcBorders>
            <w:noWrap/>
            <w:vAlign w:val="center"/>
            <w:hideMark/>
          </w:tcPr>
          <w:p w14:paraId="307E0685" w14:textId="77777777" w:rsidR="00BE6341" w:rsidRPr="0077393E" w:rsidRDefault="00BE6341" w:rsidP="00BE6341">
            <w:pPr>
              <w:spacing w:before="120" w:after="120"/>
              <w:jc w:val="right"/>
              <w:rPr>
                <w:rFonts w:ascii="Times New Roman" w:hAnsi="Times New Roman"/>
                <w:noProof/>
                <w:lang w:val="sk-SK"/>
              </w:rPr>
            </w:pPr>
            <w:r w:rsidRPr="0077393E">
              <w:rPr>
                <w:rFonts w:ascii="Times New Roman" w:hAnsi="Times New Roman"/>
                <w:noProof/>
                <w:lang w:val="sk-SK"/>
              </w:rPr>
              <w:t>213 736 824</w:t>
            </w:r>
          </w:p>
        </w:tc>
      </w:tr>
      <w:tr w:rsidR="00BE6341" w:rsidRPr="0077393E" w14:paraId="7FA164CF" w14:textId="77777777" w:rsidTr="00252DC3">
        <w:trPr>
          <w:trHeight w:val="300"/>
        </w:trPr>
        <w:tc>
          <w:tcPr>
            <w:tcW w:w="2417" w:type="dxa"/>
            <w:tcBorders>
              <w:top w:val="single" w:sz="4" w:space="0" w:color="auto"/>
              <w:left w:val="single" w:sz="4" w:space="0" w:color="auto"/>
              <w:bottom w:val="single" w:sz="4" w:space="0" w:color="auto"/>
              <w:right w:val="single" w:sz="4" w:space="0" w:color="auto"/>
            </w:tcBorders>
            <w:noWrap/>
            <w:vAlign w:val="center"/>
            <w:hideMark/>
          </w:tcPr>
          <w:p w14:paraId="68FB45FF" w14:textId="77777777" w:rsidR="00BE6341" w:rsidRPr="0077393E" w:rsidRDefault="00BE6341" w:rsidP="00BE6341">
            <w:pPr>
              <w:spacing w:before="120" w:after="120"/>
              <w:rPr>
                <w:rFonts w:ascii="Times New Roman" w:hAnsi="Times New Roman"/>
                <w:noProof/>
                <w:lang w:val="sk-SK"/>
              </w:rPr>
            </w:pPr>
            <w:r w:rsidRPr="0077393E">
              <w:rPr>
                <w:rFonts w:ascii="Times New Roman" w:hAnsi="Times New Roman"/>
                <w:noProof/>
                <w:lang w:val="sk-SK"/>
              </w:rPr>
              <w:t>Dánsko</w:t>
            </w:r>
          </w:p>
        </w:tc>
        <w:tc>
          <w:tcPr>
            <w:tcW w:w="2374" w:type="dxa"/>
            <w:tcBorders>
              <w:top w:val="single" w:sz="4" w:space="0" w:color="auto"/>
              <w:left w:val="single" w:sz="4" w:space="0" w:color="auto"/>
              <w:bottom w:val="single" w:sz="4" w:space="0" w:color="auto"/>
              <w:right w:val="single" w:sz="4" w:space="0" w:color="auto"/>
            </w:tcBorders>
            <w:noWrap/>
            <w:vAlign w:val="center"/>
            <w:hideMark/>
          </w:tcPr>
          <w:p w14:paraId="0AB93E8D" w14:textId="77777777" w:rsidR="00BE6341" w:rsidRPr="0077393E" w:rsidRDefault="00BE6341" w:rsidP="00BE6341">
            <w:pPr>
              <w:spacing w:before="120" w:after="120"/>
              <w:jc w:val="right"/>
              <w:rPr>
                <w:rFonts w:ascii="Times New Roman" w:hAnsi="Times New Roman"/>
                <w:noProof/>
                <w:lang w:val="sk-SK"/>
              </w:rPr>
            </w:pPr>
            <w:r w:rsidRPr="0077393E">
              <w:rPr>
                <w:rFonts w:ascii="Times New Roman" w:hAnsi="Times New Roman"/>
                <w:noProof/>
                <w:lang w:val="sk-SK"/>
              </w:rPr>
              <w:t>215 591 819</w:t>
            </w:r>
          </w:p>
        </w:tc>
      </w:tr>
      <w:tr w:rsidR="00BE6341" w:rsidRPr="0077393E" w14:paraId="45FA046A" w14:textId="77777777" w:rsidTr="00252DC3">
        <w:trPr>
          <w:trHeight w:val="300"/>
        </w:trPr>
        <w:tc>
          <w:tcPr>
            <w:tcW w:w="2417" w:type="dxa"/>
            <w:tcBorders>
              <w:top w:val="single" w:sz="4" w:space="0" w:color="auto"/>
              <w:left w:val="single" w:sz="4" w:space="0" w:color="auto"/>
              <w:bottom w:val="single" w:sz="4" w:space="0" w:color="auto"/>
              <w:right w:val="single" w:sz="4" w:space="0" w:color="auto"/>
            </w:tcBorders>
            <w:noWrap/>
            <w:vAlign w:val="center"/>
            <w:hideMark/>
          </w:tcPr>
          <w:p w14:paraId="6DA5653D" w14:textId="77777777" w:rsidR="00BE6341" w:rsidRPr="0077393E" w:rsidRDefault="00BE6341" w:rsidP="00BE6341">
            <w:pPr>
              <w:spacing w:before="120" w:after="120"/>
              <w:rPr>
                <w:rFonts w:ascii="Times New Roman" w:hAnsi="Times New Roman"/>
                <w:noProof/>
                <w:lang w:val="sk-SK"/>
              </w:rPr>
            </w:pPr>
            <w:r w:rsidRPr="0077393E">
              <w:rPr>
                <w:rFonts w:ascii="Times New Roman" w:hAnsi="Times New Roman"/>
                <w:noProof/>
                <w:lang w:val="sk-SK"/>
              </w:rPr>
              <w:t>Nemecko</w:t>
            </w:r>
          </w:p>
        </w:tc>
        <w:tc>
          <w:tcPr>
            <w:tcW w:w="2374" w:type="dxa"/>
            <w:tcBorders>
              <w:top w:val="single" w:sz="4" w:space="0" w:color="auto"/>
              <w:left w:val="single" w:sz="4" w:space="0" w:color="auto"/>
              <w:bottom w:val="single" w:sz="4" w:space="0" w:color="auto"/>
              <w:right w:val="single" w:sz="4" w:space="0" w:color="auto"/>
            </w:tcBorders>
            <w:noWrap/>
            <w:vAlign w:val="center"/>
            <w:hideMark/>
          </w:tcPr>
          <w:p w14:paraId="7D29C1BA" w14:textId="77777777" w:rsidR="00BE6341" w:rsidRPr="0077393E" w:rsidRDefault="00BE6341" w:rsidP="00BE6341">
            <w:pPr>
              <w:spacing w:before="120" w:after="120"/>
              <w:jc w:val="right"/>
              <w:rPr>
                <w:rFonts w:ascii="Times New Roman" w:hAnsi="Times New Roman"/>
                <w:noProof/>
                <w:lang w:val="sk-SK"/>
              </w:rPr>
            </w:pPr>
            <w:r w:rsidRPr="0077393E">
              <w:rPr>
                <w:rFonts w:ascii="Times New Roman" w:hAnsi="Times New Roman"/>
                <w:noProof/>
                <w:lang w:val="sk-SK"/>
              </w:rPr>
              <w:t>1 228 923 865</w:t>
            </w:r>
          </w:p>
        </w:tc>
      </w:tr>
      <w:tr w:rsidR="00BE6341" w:rsidRPr="0077393E" w14:paraId="5F6A3A0A" w14:textId="77777777" w:rsidTr="00252DC3">
        <w:trPr>
          <w:trHeight w:val="300"/>
        </w:trPr>
        <w:tc>
          <w:tcPr>
            <w:tcW w:w="2417" w:type="dxa"/>
            <w:tcBorders>
              <w:top w:val="single" w:sz="4" w:space="0" w:color="auto"/>
              <w:left w:val="single" w:sz="4" w:space="0" w:color="auto"/>
              <w:bottom w:val="single" w:sz="4" w:space="0" w:color="auto"/>
              <w:right w:val="single" w:sz="4" w:space="0" w:color="auto"/>
            </w:tcBorders>
            <w:noWrap/>
            <w:vAlign w:val="center"/>
            <w:hideMark/>
          </w:tcPr>
          <w:p w14:paraId="23883C7D" w14:textId="77777777" w:rsidR="00BE6341" w:rsidRPr="0077393E" w:rsidRDefault="00BE6341" w:rsidP="00BE6341">
            <w:pPr>
              <w:spacing w:before="120" w:after="120"/>
              <w:rPr>
                <w:rFonts w:ascii="Times New Roman" w:hAnsi="Times New Roman"/>
                <w:noProof/>
                <w:lang w:val="sk-SK"/>
              </w:rPr>
            </w:pPr>
            <w:r w:rsidRPr="0077393E">
              <w:rPr>
                <w:rFonts w:ascii="Times New Roman" w:hAnsi="Times New Roman"/>
                <w:noProof/>
                <w:lang w:val="sk-SK"/>
              </w:rPr>
              <w:t>Estónsko</w:t>
            </w:r>
          </w:p>
        </w:tc>
        <w:tc>
          <w:tcPr>
            <w:tcW w:w="2374" w:type="dxa"/>
            <w:tcBorders>
              <w:top w:val="single" w:sz="4" w:space="0" w:color="auto"/>
              <w:left w:val="single" w:sz="4" w:space="0" w:color="auto"/>
              <w:bottom w:val="single" w:sz="4" w:space="0" w:color="auto"/>
              <w:right w:val="single" w:sz="4" w:space="0" w:color="auto"/>
            </w:tcBorders>
            <w:noWrap/>
            <w:vAlign w:val="center"/>
            <w:hideMark/>
          </w:tcPr>
          <w:p w14:paraId="3C85430E" w14:textId="77777777" w:rsidR="00BE6341" w:rsidRPr="0077393E" w:rsidRDefault="00BE6341" w:rsidP="00BE6341">
            <w:pPr>
              <w:spacing w:before="120" w:after="120"/>
              <w:jc w:val="right"/>
              <w:rPr>
                <w:rFonts w:ascii="Times New Roman" w:hAnsi="Times New Roman"/>
                <w:noProof/>
                <w:lang w:val="sk-SK"/>
              </w:rPr>
            </w:pPr>
            <w:r w:rsidRPr="0077393E">
              <w:rPr>
                <w:rFonts w:ascii="Times New Roman" w:hAnsi="Times New Roman"/>
                <w:noProof/>
                <w:lang w:val="sk-SK"/>
              </w:rPr>
              <w:t>51 254 687</w:t>
            </w:r>
          </w:p>
        </w:tc>
      </w:tr>
      <w:tr w:rsidR="00BE6341" w:rsidRPr="0077393E" w14:paraId="0C266A3F" w14:textId="77777777" w:rsidTr="00252DC3">
        <w:trPr>
          <w:trHeight w:val="300"/>
        </w:trPr>
        <w:tc>
          <w:tcPr>
            <w:tcW w:w="2417" w:type="dxa"/>
            <w:tcBorders>
              <w:top w:val="single" w:sz="4" w:space="0" w:color="auto"/>
              <w:left w:val="single" w:sz="4" w:space="0" w:color="auto"/>
              <w:bottom w:val="single" w:sz="4" w:space="0" w:color="auto"/>
              <w:right w:val="single" w:sz="4" w:space="0" w:color="auto"/>
            </w:tcBorders>
            <w:noWrap/>
            <w:vAlign w:val="center"/>
            <w:hideMark/>
          </w:tcPr>
          <w:p w14:paraId="09417631" w14:textId="77777777" w:rsidR="00BE6341" w:rsidRPr="0077393E" w:rsidRDefault="00BE6341" w:rsidP="00BE6341">
            <w:pPr>
              <w:spacing w:before="120" w:after="120"/>
              <w:rPr>
                <w:rFonts w:ascii="Times New Roman" w:hAnsi="Times New Roman"/>
                <w:noProof/>
                <w:lang w:val="sk-SK"/>
              </w:rPr>
            </w:pPr>
            <w:r w:rsidRPr="0077393E">
              <w:rPr>
                <w:rFonts w:ascii="Times New Roman" w:hAnsi="Times New Roman"/>
                <w:noProof/>
                <w:lang w:val="sk-SK"/>
              </w:rPr>
              <w:t>Írsko</w:t>
            </w:r>
          </w:p>
        </w:tc>
        <w:tc>
          <w:tcPr>
            <w:tcW w:w="2374" w:type="dxa"/>
            <w:tcBorders>
              <w:top w:val="single" w:sz="4" w:space="0" w:color="auto"/>
              <w:left w:val="single" w:sz="4" w:space="0" w:color="auto"/>
              <w:bottom w:val="single" w:sz="4" w:space="0" w:color="auto"/>
              <w:right w:val="single" w:sz="4" w:space="0" w:color="auto"/>
            </w:tcBorders>
            <w:noWrap/>
            <w:vAlign w:val="center"/>
            <w:hideMark/>
          </w:tcPr>
          <w:p w14:paraId="2F5FE023" w14:textId="77777777" w:rsidR="00BE6341" w:rsidRPr="0077393E" w:rsidRDefault="00BE6341" w:rsidP="00BE6341">
            <w:pPr>
              <w:spacing w:before="120" w:after="120"/>
              <w:jc w:val="right"/>
              <w:rPr>
                <w:rFonts w:ascii="Times New Roman" w:hAnsi="Times New Roman"/>
                <w:noProof/>
                <w:lang w:val="sk-SK"/>
              </w:rPr>
            </w:pPr>
            <w:r w:rsidRPr="0077393E">
              <w:rPr>
                <w:rFonts w:ascii="Times New Roman" w:hAnsi="Times New Roman"/>
                <w:noProof/>
                <w:lang w:val="sk-SK"/>
              </w:rPr>
              <w:t>296 570 499</w:t>
            </w:r>
          </w:p>
        </w:tc>
      </w:tr>
      <w:tr w:rsidR="00BE6341" w:rsidRPr="0077393E" w14:paraId="3036AFA5" w14:textId="77777777" w:rsidTr="00252DC3">
        <w:trPr>
          <w:trHeight w:val="300"/>
        </w:trPr>
        <w:tc>
          <w:tcPr>
            <w:tcW w:w="2417" w:type="dxa"/>
            <w:tcBorders>
              <w:top w:val="single" w:sz="4" w:space="0" w:color="auto"/>
              <w:left w:val="single" w:sz="4" w:space="0" w:color="auto"/>
              <w:bottom w:val="single" w:sz="4" w:space="0" w:color="auto"/>
              <w:right w:val="single" w:sz="4" w:space="0" w:color="auto"/>
            </w:tcBorders>
            <w:noWrap/>
            <w:vAlign w:val="center"/>
            <w:hideMark/>
          </w:tcPr>
          <w:p w14:paraId="38C6A9F6" w14:textId="77777777" w:rsidR="00BE6341" w:rsidRPr="0077393E" w:rsidRDefault="00BE6341" w:rsidP="00BE6341">
            <w:pPr>
              <w:spacing w:before="120" w:after="120"/>
              <w:rPr>
                <w:rFonts w:ascii="Times New Roman" w:hAnsi="Times New Roman"/>
                <w:noProof/>
                <w:lang w:val="sk-SK"/>
              </w:rPr>
            </w:pPr>
            <w:r w:rsidRPr="0077393E">
              <w:rPr>
                <w:rFonts w:ascii="Times New Roman" w:hAnsi="Times New Roman"/>
                <w:noProof/>
                <w:lang w:val="sk-SK"/>
              </w:rPr>
              <w:t>Grécko</w:t>
            </w:r>
          </w:p>
        </w:tc>
        <w:tc>
          <w:tcPr>
            <w:tcW w:w="2374" w:type="dxa"/>
            <w:tcBorders>
              <w:top w:val="single" w:sz="4" w:space="0" w:color="auto"/>
              <w:left w:val="single" w:sz="4" w:space="0" w:color="auto"/>
              <w:bottom w:val="single" w:sz="4" w:space="0" w:color="auto"/>
              <w:right w:val="single" w:sz="4" w:space="0" w:color="auto"/>
            </w:tcBorders>
            <w:noWrap/>
            <w:vAlign w:val="center"/>
            <w:hideMark/>
          </w:tcPr>
          <w:p w14:paraId="38730940" w14:textId="77777777" w:rsidR="00BE6341" w:rsidRPr="0077393E" w:rsidRDefault="00BE6341" w:rsidP="00BE6341">
            <w:pPr>
              <w:spacing w:before="120" w:after="120"/>
              <w:jc w:val="right"/>
              <w:rPr>
                <w:rFonts w:ascii="Times New Roman" w:hAnsi="Times New Roman"/>
                <w:noProof/>
                <w:lang w:val="sk-SK"/>
              </w:rPr>
            </w:pPr>
            <w:r w:rsidRPr="0077393E">
              <w:rPr>
                <w:rFonts w:ascii="Times New Roman" w:hAnsi="Times New Roman"/>
                <w:noProof/>
                <w:lang w:val="sk-SK"/>
              </w:rPr>
              <w:t>472 915 011</w:t>
            </w:r>
          </w:p>
        </w:tc>
      </w:tr>
      <w:tr w:rsidR="00BE6341" w:rsidRPr="0077393E" w14:paraId="12D2D09D" w14:textId="77777777" w:rsidTr="00252DC3">
        <w:trPr>
          <w:trHeight w:val="300"/>
        </w:trPr>
        <w:tc>
          <w:tcPr>
            <w:tcW w:w="2417" w:type="dxa"/>
            <w:tcBorders>
              <w:top w:val="single" w:sz="4" w:space="0" w:color="auto"/>
              <w:left w:val="single" w:sz="4" w:space="0" w:color="auto"/>
              <w:bottom w:val="single" w:sz="4" w:space="0" w:color="auto"/>
              <w:right w:val="single" w:sz="4" w:space="0" w:color="auto"/>
            </w:tcBorders>
            <w:noWrap/>
            <w:vAlign w:val="center"/>
            <w:hideMark/>
          </w:tcPr>
          <w:p w14:paraId="3CFD2D26" w14:textId="77777777" w:rsidR="00BE6341" w:rsidRPr="0077393E" w:rsidRDefault="00BE6341" w:rsidP="00BE6341">
            <w:pPr>
              <w:spacing w:before="120" w:after="120"/>
              <w:rPr>
                <w:rFonts w:ascii="Times New Roman" w:hAnsi="Times New Roman"/>
                <w:noProof/>
                <w:lang w:val="sk-SK"/>
              </w:rPr>
            </w:pPr>
            <w:r w:rsidRPr="0077393E">
              <w:rPr>
                <w:rFonts w:ascii="Times New Roman" w:hAnsi="Times New Roman"/>
                <w:noProof/>
                <w:lang w:val="sk-SK"/>
              </w:rPr>
              <w:t>Španielsko</w:t>
            </w:r>
          </w:p>
        </w:tc>
        <w:tc>
          <w:tcPr>
            <w:tcW w:w="2374" w:type="dxa"/>
            <w:tcBorders>
              <w:top w:val="single" w:sz="4" w:space="0" w:color="auto"/>
              <w:left w:val="single" w:sz="4" w:space="0" w:color="auto"/>
              <w:bottom w:val="single" w:sz="4" w:space="0" w:color="auto"/>
              <w:right w:val="single" w:sz="4" w:space="0" w:color="auto"/>
            </w:tcBorders>
            <w:noWrap/>
            <w:vAlign w:val="center"/>
            <w:hideMark/>
          </w:tcPr>
          <w:p w14:paraId="57B9ED56" w14:textId="77777777" w:rsidR="00BE6341" w:rsidRPr="0077393E" w:rsidRDefault="00BE6341" w:rsidP="00BE6341">
            <w:pPr>
              <w:spacing w:before="120" w:after="120"/>
              <w:jc w:val="right"/>
              <w:rPr>
                <w:rFonts w:ascii="Times New Roman" w:hAnsi="Times New Roman"/>
                <w:noProof/>
                <w:lang w:val="sk-SK"/>
              </w:rPr>
            </w:pPr>
            <w:r w:rsidRPr="0077393E">
              <w:rPr>
                <w:rFonts w:ascii="Times New Roman" w:hAnsi="Times New Roman"/>
                <w:noProof/>
                <w:lang w:val="sk-SK"/>
              </w:rPr>
              <w:t>1 209 271 990</w:t>
            </w:r>
          </w:p>
        </w:tc>
      </w:tr>
      <w:tr w:rsidR="00BE6341" w:rsidRPr="0077393E" w14:paraId="6A17F335" w14:textId="77777777" w:rsidTr="00252DC3">
        <w:trPr>
          <w:trHeight w:val="300"/>
        </w:trPr>
        <w:tc>
          <w:tcPr>
            <w:tcW w:w="2417" w:type="dxa"/>
            <w:tcBorders>
              <w:top w:val="single" w:sz="4" w:space="0" w:color="auto"/>
              <w:left w:val="single" w:sz="4" w:space="0" w:color="auto"/>
              <w:bottom w:val="single" w:sz="4" w:space="0" w:color="auto"/>
              <w:right w:val="single" w:sz="4" w:space="0" w:color="auto"/>
            </w:tcBorders>
            <w:noWrap/>
            <w:vAlign w:val="center"/>
            <w:hideMark/>
          </w:tcPr>
          <w:p w14:paraId="3C99DEBE" w14:textId="77777777" w:rsidR="00BE6341" w:rsidRPr="0077393E" w:rsidRDefault="00BE6341" w:rsidP="00BE6341">
            <w:pPr>
              <w:spacing w:before="120" w:after="120"/>
              <w:rPr>
                <w:rFonts w:ascii="Times New Roman" w:hAnsi="Times New Roman"/>
                <w:noProof/>
                <w:lang w:val="sk-SK"/>
              </w:rPr>
            </w:pPr>
            <w:r w:rsidRPr="0077393E">
              <w:rPr>
                <w:rFonts w:ascii="Times New Roman" w:hAnsi="Times New Roman"/>
                <w:noProof/>
                <w:lang w:val="sk-SK"/>
              </w:rPr>
              <w:t>Francúzsko</w:t>
            </w:r>
          </w:p>
        </w:tc>
        <w:tc>
          <w:tcPr>
            <w:tcW w:w="2374" w:type="dxa"/>
            <w:tcBorders>
              <w:top w:val="single" w:sz="4" w:space="0" w:color="auto"/>
              <w:left w:val="single" w:sz="4" w:space="0" w:color="auto"/>
              <w:bottom w:val="single" w:sz="4" w:space="0" w:color="auto"/>
              <w:right w:val="single" w:sz="4" w:space="0" w:color="auto"/>
            </w:tcBorders>
            <w:noWrap/>
            <w:vAlign w:val="center"/>
            <w:hideMark/>
          </w:tcPr>
          <w:p w14:paraId="7602F257" w14:textId="77777777" w:rsidR="00BE6341" w:rsidRPr="0077393E" w:rsidRDefault="00BE6341" w:rsidP="00BE6341">
            <w:pPr>
              <w:spacing w:before="120" w:after="120"/>
              <w:jc w:val="right"/>
              <w:rPr>
                <w:rFonts w:ascii="Times New Roman" w:hAnsi="Times New Roman"/>
                <w:noProof/>
                <w:lang w:val="sk-SK"/>
              </w:rPr>
            </w:pPr>
            <w:r w:rsidRPr="0077393E">
              <w:rPr>
                <w:rFonts w:ascii="Times New Roman" w:hAnsi="Times New Roman"/>
                <w:noProof/>
                <w:lang w:val="sk-SK"/>
              </w:rPr>
              <w:t>1 821 250 134</w:t>
            </w:r>
          </w:p>
        </w:tc>
      </w:tr>
      <w:tr w:rsidR="00BE6341" w:rsidRPr="0077393E" w14:paraId="1A9F9EEA" w14:textId="77777777" w:rsidTr="00252DC3">
        <w:trPr>
          <w:trHeight w:val="300"/>
        </w:trPr>
        <w:tc>
          <w:tcPr>
            <w:tcW w:w="2417" w:type="dxa"/>
            <w:tcBorders>
              <w:top w:val="single" w:sz="4" w:space="0" w:color="auto"/>
              <w:left w:val="single" w:sz="4" w:space="0" w:color="auto"/>
              <w:bottom w:val="single" w:sz="4" w:space="0" w:color="auto"/>
              <w:right w:val="single" w:sz="4" w:space="0" w:color="auto"/>
            </w:tcBorders>
            <w:noWrap/>
            <w:vAlign w:val="center"/>
            <w:hideMark/>
          </w:tcPr>
          <w:p w14:paraId="33DA1EFB" w14:textId="77777777" w:rsidR="00BE6341" w:rsidRPr="0077393E" w:rsidRDefault="00BE6341" w:rsidP="00BE6341">
            <w:pPr>
              <w:spacing w:before="120" w:after="120"/>
              <w:rPr>
                <w:rFonts w:ascii="Times New Roman" w:hAnsi="Times New Roman"/>
                <w:noProof/>
                <w:lang w:val="sk-SK"/>
              </w:rPr>
            </w:pPr>
            <w:r w:rsidRPr="0077393E">
              <w:rPr>
                <w:rFonts w:ascii="Times New Roman" w:hAnsi="Times New Roman"/>
                <w:noProof/>
                <w:lang w:val="sk-SK"/>
              </w:rPr>
              <w:t>Chorvátsko</w:t>
            </w:r>
          </w:p>
        </w:tc>
        <w:tc>
          <w:tcPr>
            <w:tcW w:w="2374" w:type="dxa"/>
            <w:tcBorders>
              <w:top w:val="single" w:sz="4" w:space="0" w:color="auto"/>
              <w:left w:val="single" w:sz="4" w:space="0" w:color="auto"/>
              <w:bottom w:val="single" w:sz="4" w:space="0" w:color="auto"/>
              <w:right w:val="single" w:sz="4" w:space="0" w:color="auto"/>
            </w:tcBorders>
            <w:noWrap/>
            <w:vAlign w:val="center"/>
            <w:hideMark/>
          </w:tcPr>
          <w:p w14:paraId="51E35E25" w14:textId="77777777" w:rsidR="00BE6341" w:rsidRPr="0077393E" w:rsidRDefault="00BE6341" w:rsidP="00BE6341">
            <w:pPr>
              <w:spacing w:before="120" w:after="120"/>
              <w:jc w:val="right"/>
              <w:rPr>
                <w:rFonts w:ascii="Times New Roman" w:hAnsi="Times New Roman"/>
                <w:noProof/>
                <w:lang w:val="sk-SK"/>
              </w:rPr>
            </w:pPr>
            <w:r w:rsidRPr="0077393E">
              <w:rPr>
                <w:rFonts w:ascii="Times New Roman" w:hAnsi="Times New Roman"/>
                <w:noProof/>
                <w:lang w:val="sk-SK"/>
              </w:rPr>
              <w:t>93 692 559</w:t>
            </w:r>
          </w:p>
        </w:tc>
      </w:tr>
      <w:tr w:rsidR="00BE6341" w:rsidRPr="0077393E" w14:paraId="0C8D4936" w14:textId="77777777" w:rsidTr="00252DC3">
        <w:trPr>
          <w:trHeight w:val="300"/>
        </w:trPr>
        <w:tc>
          <w:tcPr>
            <w:tcW w:w="2417" w:type="dxa"/>
            <w:tcBorders>
              <w:top w:val="single" w:sz="4" w:space="0" w:color="auto"/>
              <w:left w:val="single" w:sz="4" w:space="0" w:color="auto"/>
              <w:bottom w:val="single" w:sz="4" w:space="0" w:color="auto"/>
              <w:right w:val="single" w:sz="4" w:space="0" w:color="auto"/>
            </w:tcBorders>
            <w:noWrap/>
            <w:vAlign w:val="center"/>
            <w:hideMark/>
          </w:tcPr>
          <w:p w14:paraId="78A038F1" w14:textId="77777777" w:rsidR="00BE6341" w:rsidRPr="0077393E" w:rsidRDefault="00BE6341" w:rsidP="00BE6341">
            <w:pPr>
              <w:spacing w:before="120" w:after="120"/>
              <w:rPr>
                <w:rFonts w:ascii="Times New Roman" w:hAnsi="Times New Roman"/>
                <w:noProof/>
                <w:lang w:val="sk-SK"/>
              </w:rPr>
            </w:pPr>
            <w:r w:rsidRPr="0077393E">
              <w:rPr>
                <w:rFonts w:ascii="Times New Roman" w:hAnsi="Times New Roman"/>
                <w:noProof/>
                <w:lang w:val="sk-SK"/>
              </w:rPr>
              <w:t>Taliansko</w:t>
            </w:r>
          </w:p>
        </w:tc>
        <w:tc>
          <w:tcPr>
            <w:tcW w:w="2374" w:type="dxa"/>
            <w:tcBorders>
              <w:top w:val="single" w:sz="4" w:space="0" w:color="auto"/>
              <w:left w:val="single" w:sz="4" w:space="0" w:color="auto"/>
              <w:bottom w:val="single" w:sz="4" w:space="0" w:color="auto"/>
              <w:right w:val="single" w:sz="4" w:space="0" w:color="auto"/>
            </w:tcBorders>
            <w:noWrap/>
            <w:vAlign w:val="center"/>
            <w:hideMark/>
          </w:tcPr>
          <w:p w14:paraId="35B56FC3" w14:textId="77777777" w:rsidR="00BE6341" w:rsidRPr="0077393E" w:rsidRDefault="00BE6341" w:rsidP="00BE6341">
            <w:pPr>
              <w:spacing w:before="120" w:after="120"/>
              <w:jc w:val="right"/>
              <w:rPr>
                <w:rFonts w:ascii="Times New Roman" w:hAnsi="Times New Roman"/>
                <w:noProof/>
                <w:lang w:val="sk-SK"/>
              </w:rPr>
            </w:pPr>
            <w:r w:rsidRPr="0077393E">
              <w:rPr>
                <w:rFonts w:ascii="Times New Roman" w:hAnsi="Times New Roman"/>
                <w:noProof/>
                <w:lang w:val="sk-SK"/>
              </w:rPr>
              <w:t>907 132 289</w:t>
            </w:r>
          </w:p>
        </w:tc>
      </w:tr>
      <w:tr w:rsidR="00BE6341" w:rsidRPr="0077393E" w14:paraId="1D831AF3" w14:textId="77777777" w:rsidTr="00252DC3">
        <w:trPr>
          <w:trHeight w:val="300"/>
        </w:trPr>
        <w:tc>
          <w:tcPr>
            <w:tcW w:w="2417" w:type="dxa"/>
            <w:tcBorders>
              <w:top w:val="single" w:sz="4" w:space="0" w:color="auto"/>
              <w:left w:val="single" w:sz="4" w:space="0" w:color="auto"/>
              <w:bottom w:val="single" w:sz="4" w:space="0" w:color="auto"/>
              <w:right w:val="single" w:sz="4" w:space="0" w:color="auto"/>
            </w:tcBorders>
            <w:noWrap/>
            <w:vAlign w:val="center"/>
            <w:hideMark/>
          </w:tcPr>
          <w:p w14:paraId="233E4707" w14:textId="77777777" w:rsidR="00BE6341" w:rsidRPr="0077393E" w:rsidRDefault="00BE6341" w:rsidP="00BE6341">
            <w:pPr>
              <w:spacing w:before="120" w:after="120"/>
              <w:rPr>
                <w:rFonts w:ascii="Times New Roman" w:hAnsi="Times New Roman"/>
                <w:noProof/>
                <w:lang w:val="sk-SK"/>
              </w:rPr>
            </w:pPr>
            <w:r w:rsidRPr="0077393E">
              <w:rPr>
                <w:rFonts w:ascii="Times New Roman" w:hAnsi="Times New Roman"/>
                <w:noProof/>
                <w:lang w:val="sk-SK"/>
              </w:rPr>
              <w:t>Cyprus</w:t>
            </w:r>
          </w:p>
        </w:tc>
        <w:tc>
          <w:tcPr>
            <w:tcW w:w="2374" w:type="dxa"/>
            <w:tcBorders>
              <w:top w:val="single" w:sz="4" w:space="0" w:color="auto"/>
              <w:left w:val="single" w:sz="4" w:space="0" w:color="auto"/>
              <w:bottom w:val="single" w:sz="4" w:space="0" w:color="auto"/>
              <w:right w:val="single" w:sz="4" w:space="0" w:color="auto"/>
            </w:tcBorders>
            <w:noWrap/>
            <w:vAlign w:val="center"/>
            <w:hideMark/>
          </w:tcPr>
          <w:p w14:paraId="2737AA0A" w14:textId="77777777" w:rsidR="00BE6341" w:rsidRPr="0077393E" w:rsidRDefault="00BE6341" w:rsidP="00BE6341">
            <w:pPr>
              <w:spacing w:before="120" w:after="120"/>
              <w:jc w:val="right"/>
              <w:rPr>
                <w:rFonts w:ascii="Times New Roman" w:hAnsi="Times New Roman"/>
                <w:noProof/>
                <w:lang w:val="sk-SK"/>
              </w:rPr>
            </w:pPr>
            <w:r w:rsidRPr="0077393E">
              <w:rPr>
                <w:rFonts w:ascii="Times New Roman" w:hAnsi="Times New Roman"/>
                <w:noProof/>
                <w:lang w:val="sk-SK"/>
              </w:rPr>
              <w:t>11 911 885</w:t>
            </w:r>
          </w:p>
        </w:tc>
      </w:tr>
      <w:tr w:rsidR="00BE6341" w:rsidRPr="0077393E" w14:paraId="10D81B8C" w14:textId="77777777" w:rsidTr="00252DC3">
        <w:trPr>
          <w:trHeight w:val="300"/>
        </w:trPr>
        <w:tc>
          <w:tcPr>
            <w:tcW w:w="2417" w:type="dxa"/>
            <w:tcBorders>
              <w:top w:val="single" w:sz="4" w:space="0" w:color="auto"/>
              <w:left w:val="single" w:sz="4" w:space="0" w:color="auto"/>
              <w:bottom w:val="single" w:sz="4" w:space="0" w:color="auto"/>
              <w:right w:val="single" w:sz="4" w:space="0" w:color="auto"/>
            </w:tcBorders>
            <w:noWrap/>
            <w:vAlign w:val="center"/>
            <w:hideMark/>
          </w:tcPr>
          <w:p w14:paraId="49ADA389" w14:textId="77777777" w:rsidR="00BE6341" w:rsidRPr="0077393E" w:rsidRDefault="00BE6341" w:rsidP="00BE6341">
            <w:pPr>
              <w:spacing w:before="120" w:after="120"/>
              <w:rPr>
                <w:rFonts w:ascii="Times New Roman" w:hAnsi="Times New Roman"/>
                <w:noProof/>
                <w:lang w:val="sk-SK"/>
              </w:rPr>
            </w:pPr>
            <w:r w:rsidRPr="0077393E">
              <w:rPr>
                <w:rFonts w:ascii="Times New Roman" w:hAnsi="Times New Roman"/>
                <w:noProof/>
                <w:lang w:val="sk-SK"/>
              </w:rPr>
              <w:t>Lotyšsko</w:t>
            </w:r>
          </w:p>
        </w:tc>
        <w:tc>
          <w:tcPr>
            <w:tcW w:w="2374" w:type="dxa"/>
            <w:tcBorders>
              <w:top w:val="single" w:sz="4" w:space="0" w:color="auto"/>
              <w:left w:val="single" w:sz="4" w:space="0" w:color="auto"/>
              <w:bottom w:val="single" w:sz="4" w:space="0" w:color="auto"/>
              <w:right w:val="single" w:sz="4" w:space="0" w:color="auto"/>
            </w:tcBorders>
            <w:noWrap/>
            <w:vAlign w:val="center"/>
            <w:hideMark/>
          </w:tcPr>
          <w:p w14:paraId="25678EA5" w14:textId="77777777" w:rsidR="00BE6341" w:rsidRPr="0077393E" w:rsidRDefault="00BE6341" w:rsidP="00BE6341">
            <w:pPr>
              <w:spacing w:before="120" w:after="120"/>
              <w:jc w:val="right"/>
              <w:rPr>
                <w:rFonts w:ascii="Times New Roman" w:hAnsi="Times New Roman"/>
                <w:noProof/>
                <w:lang w:val="sk-SK"/>
              </w:rPr>
            </w:pPr>
            <w:r w:rsidRPr="0077393E">
              <w:rPr>
                <w:rFonts w:ascii="Times New Roman" w:hAnsi="Times New Roman"/>
                <w:noProof/>
                <w:lang w:val="sk-SK"/>
              </w:rPr>
              <w:t>91 120 936</w:t>
            </w:r>
          </w:p>
        </w:tc>
      </w:tr>
      <w:tr w:rsidR="00BE6341" w:rsidRPr="0077393E" w14:paraId="683EC5FB" w14:textId="77777777" w:rsidTr="00252DC3">
        <w:trPr>
          <w:trHeight w:val="300"/>
        </w:trPr>
        <w:tc>
          <w:tcPr>
            <w:tcW w:w="2417" w:type="dxa"/>
            <w:tcBorders>
              <w:top w:val="single" w:sz="4" w:space="0" w:color="auto"/>
              <w:left w:val="single" w:sz="4" w:space="0" w:color="auto"/>
              <w:bottom w:val="single" w:sz="4" w:space="0" w:color="auto"/>
              <w:right w:val="single" w:sz="4" w:space="0" w:color="auto"/>
            </w:tcBorders>
            <w:noWrap/>
            <w:vAlign w:val="center"/>
            <w:hideMark/>
          </w:tcPr>
          <w:p w14:paraId="4DA587E6" w14:textId="77777777" w:rsidR="00BE6341" w:rsidRPr="0077393E" w:rsidRDefault="00BE6341" w:rsidP="00BE6341">
            <w:pPr>
              <w:spacing w:before="120" w:after="120"/>
              <w:rPr>
                <w:rFonts w:ascii="Times New Roman" w:hAnsi="Times New Roman"/>
                <w:noProof/>
                <w:lang w:val="sk-SK"/>
              </w:rPr>
            </w:pPr>
            <w:r w:rsidRPr="0077393E">
              <w:rPr>
                <w:rFonts w:ascii="Times New Roman" w:hAnsi="Times New Roman"/>
                <w:noProof/>
                <w:lang w:val="sk-SK"/>
              </w:rPr>
              <w:t>Litva</w:t>
            </w:r>
          </w:p>
        </w:tc>
        <w:tc>
          <w:tcPr>
            <w:tcW w:w="2374" w:type="dxa"/>
            <w:tcBorders>
              <w:top w:val="single" w:sz="4" w:space="0" w:color="auto"/>
              <w:left w:val="single" w:sz="4" w:space="0" w:color="auto"/>
              <w:bottom w:val="single" w:sz="4" w:space="0" w:color="auto"/>
              <w:right w:val="single" w:sz="4" w:space="0" w:color="auto"/>
            </w:tcBorders>
            <w:noWrap/>
            <w:vAlign w:val="center"/>
            <w:hideMark/>
          </w:tcPr>
          <w:p w14:paraId="625B6BAD" w14:textId="77777777" w:rsidR="00BE6341" w:rsidRPr="0077393E" w:rsidRDefault="00BE6341" w:rsidP="00BE6341">
            <w:pPr>
              <w:spacing w:before="120" w:after="120"/>
              <w:jc w:val="right"/>
              <w:rPr>
                <w:rFonts w:ascii="Times New Roman" w:hAnsi="Times New Roman"/>
                <w:noProof/>
                <w:lang w:val="sk-SK"/>
              </w:rPr>
            </w:pPr>
            <w:r w:rsidRPr="0077393E">
              <w:rPr>
                <w:rFonts w:ascii="Times New Roman" w:hAnsi="Times New Roman"/>
                <w:noProof/>
                <w:lang w:val="sk-SK"/>
              </w:rPr>
              <w:t>153 178 204</w:t>
            </w:r>
          </w:p>
        </w:tc>
      </w:tr>
    </w:tbl>
    <w:p w14:paraId="4B3E0ADF" w14:textId="77777777" w:rsidR="00BE6341" w:rsidRPr="0077393E" w:rsidRDefault="00BE6341" w:rsidP="00BE6341">
      <w:pPr>
        <w:spacing w:after="160" w:line="278" w:lineRule="auto"/>
        <w:rPr>
          <w:rFonts w:eastAsia="Aptos"/>
          <w:kern w:val="2"/>
          <w:szCs w:val="24"/>
          <w:lang w:val="en-GB" w:eastAsia="en-US"/>
          <w14:ligatures w14:val="standardContextual"/>
        </w:rPr>
      </w:pPr>
      <w:r w:rsidRPr="0077393E">
        <w:rPr>
          <w:rFonts w:eastAsia="Aptos"/>
          <w:kern w:val="2"/>
          <w:szCs w:val="24"/>
          <w:lang w:val="en-GB" w:eastAsia="en-US"/>
          <w14:ligatures w14:val="standardContextual"/>
        </w:rPr>
        <w:br w:type="page"/>
      </w:r>
    </w:p>
    <w:tbl>
      <w:tblPr>
        <w:tblStyle w:val="TableGrid21"/>
        <w:tblW w:w="0" w:type="auto"/>
        <w:tblInd w:w="1696" w:type="dxa"/>
        <w:tblLook w:val="04A0" w:firstRow="1" w:lastRow="0" w:firstColumn="1" w:lastColumn="0" w:noHBand="0" w:noVBand="1"/>
      </w:tblPr>
      <w:tblGrid>
        <w:gridCol w:w="2417"/>
        <w:gridCol w:w="2374"/>
      </w:tblGrid>
      <w:tr w:rsidR="00BE6341" w:rsidRPr="0077393E" w14:paraId="26EDFB6D" w14:textId="77777777" w:rsidTr="00252DC3">
        <w:trPr>
          <w:trHeight w:val="300"/>
        </w:trPr>
        <w:tc>
          <w:tcPr>
            <w:tcW w:w="2417" w:type="dxa"/>
            <w:tcBorders>
              <w:top w:val="single" w:sz="4" w:space="0" w:color="auto"/>
              <w:left w:val="single" w:sz="4" w:space="0" w:color="auto"/>
              <w:bottom w:val="single" w:sz="4" w:space="0" w:color="auto"/>
              <w:right w:val="single" w:sz="4" w:space="0" w:color="auto"/>
            </w:tcBorders>
            <w:noWrap/>
            <w:vAlign w:val="center"/>
            <w:hideMark/>
          </w:tcPr>
          <w:p w14:paraId="2633DAF0" w14:textId="77777777" w:rsidR="00BE6341" w:rsidRPr="0077393E" w:rsidRDefault="00BE6341" w:rsidP="00BE6341">
            <w:pPr>
              <w:spacing w:before="120" w:after="120"/>
              <w:rPr>
                <w:rFonts w:ascii="Times New Roman" w:hAnsi="Times New Roman"/>
                <w:noProof/>
                <w:lang w:val="sk-SK"/>
              </w:rPr>
            </w:pPr>
            <w:r w:rsidRPr="0077393E">
              <w:rPr>
                <w:rFonts w:ascii="Times New Roman" w:hAnsi="Times New Roman"/>
                <w:noProof/>
                <w:lang w:val="sk-SK"/>
              </w:rPr>
              <w:lastRenderedPageBreak/>
              <w:t>Luxembursko</w:t>
            </w:r>
          </w:p>
        </w:tc>
        <w:tc>
          <w:tcPr>
            <w:tcW w:w="2374" w:type="dxa"/>
            <w:tcBorders>
              <w:top w:val="single" w:sz="4" w:space="0" w:color="auto"/>
              <w:left w:val="single" w:sz="4" w:space="0" w:color="auto"/>
              <w:bottom w:val="single" w:sz="4" w:space="0" w:color="auto"/>
              <w:right w:val="single" w:sz="4" w:space="0" w:color="auto"/>
            </w:tcBorders>
            <w:noWrap/>
            <w:vAlign w:val="center"/>
            <w:hideMark/>
          </w:tcPr>
          <w:p w14:paraId="2E62FF6E" w14:textId="77777777" w:rsidR="00BE6341" w:rsidRPr="0077393E" w:rsidRDefault="00BE6341" w:rsidP="00BE6341">
            <w:pPr>
              <w:spacing w:before="120" w:after="120"/>
              <w:jc w:val="right"/>
              <w:rPr>
                <w:rFonts w:ascii="Times New Roman" w:hAnsi="Times New Roman"/>
                <w:noProof/>
                <w:lang w:val="sk-SK"/>
              </w:rPr>
            </w:pPr>
            <w:r w:rsidRPr="0077393E">
              <w:rPr>
                <w:rFonts w:ascii="Times New Roman" w:hAnsi="Times New Roman"/>
                <w:noProof/>
                <w:lang w:val="sk-SK"/>
              </w:rPr>
              <w:t>8 186 957</w:t>
            </w:r>
          </w:p>
        </w:tc>
      </w:tr>
      <w:tr w:rsidR="00BE6341" w:rsidRPr="0077393E" w14:paraId="239936B4" w14:textId="77777777" w:rsidTr="00252DC3">
        <w:trPr>
          <w:trHeight w:val="300"/>
        </w:trPr>
        <w:tc>
          <w:tcPr>
            <w:tcW w:w="2417" w:type="dxa"/>
            <w:tcBorders>
              <w:top w:val="single" w:sz="4" w:space="0" w:color="auto"/>
              <w:left w:val="single" w:sz="4" w:space="0" w:color="auto"/>
              <w:bottom w:val="single" w:sz="4" w:space="0" w:color="auto"/>
              <w:right w:val="single" w:sz="4" w:space="0" w:color="auto"/>
            </w:tcBorders>
            <w:noWrap/>
            <w:vAlign w:val="center"/>
            <w:hideMark/>
          </w:tcPr>
          <w:p w14:paraId="12D33D9F" w14:textId="77777777" w:rsidR="00BE6341" w:rsidRPr="0077393E" w:rsidRDefault="00BE6341" w:rsidP="00BE6341">
            <w:pPr>
              <w:spacing w:before="120" w:after="120"/>
              <w:rPr>
                <w:rFonts w:ascii="Times New Roman" w:hAnsi="Times New Roman"/>
                <w:noProof/>
                <w:lang w:val="sk-SK"/>
              </w:rPr>
            </w:pPr>
            <w:r w:rsidRPr="0077393E">
              <w:rPr>
                <w:rFonts w:ascii="Times New Roman" w:hAnsi="Times New Roman"/>
                <w:noProof/>
                <w:lang w:val="sk-SK"/>
              </w:rPr>
              <w:t>Maďarsko</w:t>
            </w:r>
          </w:p>
        </w:tc>
        <w:tc>
          <w:tcPr>
            <w:tcW w:w="2374" w:type="dxa"/>
            <w:tcBorders>
              <w:top w:val="single" w:sz="4" w:space="0" w:color="auto"/>
              <w:left w:val="single" w:sz="4" w:space="0" w:color="auto"/>
              <w:bottom w:val="single" w:sz="4" w:space="0" w:color="auto"/>
              <w:right w:val="single" w:sz="4" w:space="0" w:color="auto"/>
            </w:tcBorders>
            <w:noWrap/>
            <w:vAlign w:val="center"/>
            <w:hideMark/>
          </w:tcPr>
          <w:p w14:paraId="4CEFB901" w14:textId="77777777" w:rsidR="00BE6341" w:rsidRPr="0077393E" w:rsidRDefault="00BE6341" w:rsidP="00BE6341">
            <w:pPr>
              <w:spacing w:before="120" w:after="120"/>
              <w:jc w:val="right"/>
              <w:rPr>
                <w:rFonts w:ascii="Times New Roman" w:hAnsi="Times New Roman"/>
                <w:noProof/>
                <w:lang w:val="sk-SK"/>
              </w:rPr>
            </w:pPr>
            <w:r w:rsidRPr="0077393E">
              <w:rPr>
                <w:rFonts w:ascii="Times New Roman" w:hAnsi="Times New Roman"/>
                <w:noProof/>
                <w:lang w:val="sk-SK"/>
              </w:rPr>
              <w:t>310 796 291</w:t>
            </w:r>
          </w:p>
        </w:tc>
      </w:tr>
      <w:tr w:rsidR="00BE6341" w:rsidRPr="0077393E" w14:paraId="458E29AC" w14:textId="77777777" w:rsidTr="00252DC3">
        <w:trPr>
          <w:trHeight w:val="300"/>
        </w:trPr>
        <w:tc>
          <w:tcPr>
            <w:tcW w:w="2417" w:type="dxa"/>
            <w:tcBorders>
              <w:top w:val="single" w:sz="4" w:space="0" w:color="auto"/>
              <w:left w:val="single" w:sz="4" w:space="0" w:color="auto"/>
              <w:bottom w:val="single" w:sz="4" w:space="0" w:color="auto"/>
              <w:right w:val="single" w:sz="4" w:space="0" w:color="auto"/>
            </w:tcBorders>
            <w:noWrap/>
            <w:vAlign w:val="center"/>
            <w:hideMark/>
          </w:tcPr>
          <w:p w14:paraId="47D45AFA" w14:textId="77777777" w:rsidR="00BE6341" w:rsidRPr="0077393E" w:rsidRDefault="00BE6341" w:rsidP="00BE6341">
            <w:pPr>
              <w:spacing w:before="120" w:after="120"/>
              <w:rPr>
                <w:rFonts w:ascii="Times New Roman" w:hAnsi="Times New Roman"/>
                <w:noProof/>
                <w:lang w:val="sk-SK"/>
              </w:rPr>
            </w:pPr>
            <w:r w:rsidRPr="0077393E">
              <w:rPr>
                <w:rFonts w:ascii="Times New Roman" w:hAnsi="Times New Roman"/>
                <w:noProof/>
                <w:lang w:val="sk-SK"/>
              </w:rPr>
              <w:t>Malta</w:t>
            </w:r>
          </w:p>
        </w:tc>
        <w:tc>
          <w:tcPr>
            <w:tcW w:w="2374" w:type="dxa"/>
            <w:tcBorders>
              <w:top w:val="single" w:sz="4" w:space="0" w:color="auto"/>
              <w:left w:val="single" w:sz="4" w:space="0" w:color="auto"/>
              <w:bottom w:val="single" w:sz="4" w:space="0" w:color="auto"/>
              <w:right w:val="single" w:sz="4" w:space="0" w:color="auto"/>
            </w:tcBorders>
            <w:noWrap/>
            <w:vAlign w:val="center"/>
            <w:hideMark/>
          </w:tcPr>
          <w:p w14:paraId="38B2FC84" w14:textId="77777777" w:rsidR="00BE6341" w:rsidRPr="0077393E" w:rsidRDefault="00BE6341" w:rsidP="00BE6341">
            <w:pPr>
              <w:spacing w:before="120" w:after="120"/>
              <w:jc w:val="right"/>
              <w:rPr>
                <w:rFonts w:ascii="Times New Roman" w:hAnsi="Times New Roman"/>
                <w:noProof/>
                <w:lang w:val="sk-SK"/>
              </w:rPr>
            </w:pPr>
            <w:r w:rsidRPr="0077393E">
              <w:rPr>
                <w:rFonts w:ascii="Times New Roman" w:hAnsi="Times New Roman"/>
                <w:noProof/>
                <w:lang w:val="sk-SK"/>
              </w:rPr>
              <w:t>1 148 505</w:t>
            </w:r>
          </w:p>
        </w:tc>
      </w:tr>
      <w:tr w:rsidR="00BE6341" w:rsidRPr="0077393E" w14:paraId="52A67D90" w14:textId="77777777" w:rsidTr="00252DC3">
        <w:trPr>
          <w:trHeight w:val="300"/>
        </w:trPr>
        <w:tc>
          <w:tcPr>
            <w:tcW w:w="2417" w:type="dxa"/>
            <w:tcBorders>
              <w:top w:val="single" w:sz="4" w:space="0" w:color="auto"/>
              <w:left w:val="single" w:sz="4" w:space="0" w:color="auto"/>
              <w:bottom w:val="single" w:sz="4" w:space="0" w:color="auto"/>
              <w:right w:val="single" w:sz="4" w:space="0" w:color="auto"/>
            </w:tcBorders>
            <w:noWrap/>
            <w:vAlign w:val="center"/>
            <w:hideMark/>
          </w:tcPr>
          <w:p w14:paraId="79E17D87" w14:textId="77777777" w:rsidR="00BE6341" w:rsidRPr="0077393E" w:rsidRDefault="00BE6341" w:rsidP="00BE6341">
            <w:pPr>
              <w:spacing w:before="120" w:after="120"/>
              <w:rPr>
                <w:rFonts w:ascii="Times New Roman" w:hAnsi="Times New Roman"/>
                <w:noProof/>
                <w:lang w:val="sk-SK"/>
              </w:rPr>
            </w:pPr>
            <w:r w:rsidRPr="0077393E">
              <w:rPr>
                <w:rFonts w:ascii="Times New Roman" w:hAnsi="Times New Roman"/>
                <w:noProof/>
                <w:lang w:val="sk-SK"/>
              </w:rPr>
              <w:t>Holandsko</w:t>
            </w:r>
          </w:p>
        </w:tc>
        <w:tc>
          <w:tcPr>
            <w:tcW w:w="2374" w:type="dxa"/>
            <w:tcBorders>
              <w:top w:val="single" w:sz="4" w:space="0" w:color="auto"/>
              <w:left w:val="single" w:sz="4" w:space="0" w:color="auto"/>
              <w:bottom w:val="single" w:sz="4" w:space="0" w:color="auto"/>
              <w:right w:val="single" w:sz="4" w:space="0" w:color="auto"/>
            </w:tcBorders>
            <w:noWrap/>
            <w:vAlign w:val="center"/>
            <w:hideMark/>
          </w:tcPr>
          <w:p w14:paraId="5A99A046" w14:textId="77777777" w:rsidR="00BE6341" w:rsidRPr="0077393E" w:rsidRDefault="00BE6341" w:rsidP="00BE6341">
            <w:pPr>
              <w:spacing w:before="120" w:after="120"/>
              <w:jc w:val="right"/>
              <w:rPr>
                <w:rFonts w:ascii="Times New Roman" w:hAnsi="Times New Roman"/>
                <w:noProof/>
                <w:lang w:val="sk-SK"/>
              </w:rPr>
            </w:pPr>
            <w:r w:rsidRPr="0077393E">
              <w:rPr>
                <w:rFonts w:ascii="Times New Roman" w:hAnsi="Times New Roman"/>
                <w:noProof/>
                <w:lang w:val="sk-SK"/>
              </w:rPr>
              <w:t>179 345 582</w:t>
            </w:r>
          </w:p>
        </w:tc>
      </w:tr>
      <w:tr w:rsidR="00BE6341" w:rsidRPr="0077393E" w14:paraId="1F84C8FC" w14:textId="77777777" w:rsidTr="00252DC3">
        <w:trPr>
          <w:trHeight w:val="300"/>
        </w:trPr>
        <w:tc>
          <w:tcPr>
            <w:tcW w:w="2417" w:type="dxa"/>
            <w:tcBorders>
              <w:top w:val="single" w:sz="4" w:space="0" w:color="auto"/>
              <w:left w:val="single" w:sz="4" w:space="0" w:color="auto"/>
              <w:bottom w:val="single" w:sz="4" w:space="0" w:color="auto"/>
              <w:right w:val="single" w:sz="4" w:space="0" w:color="auto"/>
            </w:tcBorders>
            <w:noWrap/>
            <w:vAlign w:val="center"/>
            <w:hideMark/>
          </w:tcPr>
          <w:p w14:paraId="582BD8E0" w14:textId="77777777" w:rsidR="00BE6341" w:rsidRPr="0077393E" w:rsidRDefault="00BE6341" w:rsidP="00BE6341">
            <w:pPr>
              <w:spacing w:before="120" w:after="120"/>
              <w:rPr>
                <w:rFonts w:ascii="Times New Roman" w:hAnsi="Times New Roman"/>
                <w:noProof/>
                <w:lang w:val="sk-SK"/>
              </w:rPr>
            </w:pPr>
            <w:r w:rsidRPr="0077393E">
              <w:rPr>
                <w:rFonts w:ascii="Times New Roman" w:hAnsi="Times New Roman"/>
                <w:noProof/>
                <w:lang w:val="sk-SK"/>
              </w:rPr>
              <w:t>Rakúsko</w:t>
            </w:r>
          </w:p>
        </w:tc>
        <w:tc>
          <w:tcPr>
            <w:tcW w:w="2374" w:type="dxa"/>
            <w:tcBorders>
              <w:top w:val="single" w:sz="4" w:space="0" w:color="auto"/>
              <w:left w:val="single" w:sz="4" w:space="0" w:color="auto"/>
              <w:bottom w:val="single" w:sz="4" w:space="0" w:color="auto"/>
              <w:right w:val="single" w:sz="4" w:space="0" w:color="auto"/>
            </w:tcBorders>
            <w:noWrap/>
            <w:vAlign w:val="center"/>
            <w:hideMark/>
          </w:tcPr>
          <w:p w14:paraId="252BE1DE" w14:textId="77777777" w:rsidR="00BE6341" w:rsidRPr="0077393E" w:rsidRDefault="00BE6341" w:rsidP="00BE6341">
            <w:pPr>
              <w:spacing w:before="120" w:after="120"/>
              <w:jc w:val="right"/>
              <w:rPr>
                <w:rFonts w:ascii="Times New Roman" w:hAnsi="Times New Roman"/>
                <w:noProof/>
                <w:lang w:val="sk-SK"/>
              </w:rPr>
            </w:pPr>
            <w:r w:rsidRPr="0077393E">
              <w:rPr>
                <w:rFonts w:ascii="Times New Roman" w:hAnsi="Times New Roman"/>
                <w:noProof/>
                <w:lang w:val="sk-SK"/>
              </w:rPr>
              <w:t>169 395 462</w:t>
            </w:r>
          </w:p>
        </w:tc>
      </w:tr>
      <w:tr w:rsidR="00BE6341" w:rsidRPr="0077393E" w14:paraId="54A4CAF5" w14:textId="77777777" w:rsidTr="00252DC3">
        <w:trPr>
          <w:trHeight w:val="300"/>
        </w:trPr>
        <w:tc>
          <w:tcPr>
            <w:tcW w:w="2417" w:type="dxa"/>
            <w:tcBorders>
              <w:top w:val="single" w:sz="4" w:space="0" w:color="auto"/>
              <w:left w:val="single" w:sz="4" w:space="0" w:color="auto"/>
              <w:bottom w:val="single" w:sz="4" w:space="0" w:color="auto"/>
              <w:right w:val="single" w:sz="4" w:space="0" w:color="auto"/>
            </w:tcBorders>
            <w:noWrap/>
            <w:vAlign w:val="center"/>
            <w:hideMark/>
          </w:tcPr>
          <w:p w14:paraId="441F1C07" w14:textId="77777777" w:rsidR="00BE6341" w:rsidRPr="0077393E" w:rsidRDefault="00BE6341" w:rsidP="00BE6341">
            <w:pPr>
              <w:spacing w:before="120" w:after="120"/>
              <w:rPr>
                <w:rFonts w:ascii="Times New Roman" w:hAnsi="Times New Roman"/>
                <w:noProof/>
                <w:lang w:val="sk-SK"/>
              </w:rPr>
            </w:pPr>
            <w:r w:rsidRPr="0077393E">
              <w:rPr>
                <w:rFonts w:ascii="Times New Roman" w:hAnsi="Times New Roman"/>
                <w:noProof/>
                <w:lang w:val="sk-SK"/>
              </w:rPr>
              <w:t>Poľsko</w:t>
            </w:r>
          </w:p>
        </w:tc>
        <w:tc>
          <w:tcPr>
            <w:tcW w:w="2374" w:type="dxa"/>
            <w:tcBorders>
              <w:top w:val="single" w:sz="4" w:space="0" w:color="auto"/>
              <w:left w:val="single" w:sz="4" w:space="0" w:color="auto"/>
              <w:bottom w:val="single" w:sz="4" w:space="0" w:color="auto"/>
              <w:right w:val="single" w:sz="4" w:space="0" w:color="auto"/>
            </w:tcBorders>
            <w:noWrap/>
            <w:vAlign w:val="center"/>
            <w:hideMark/>
          </w:tcPr>
          <w:p w14:paraId="78830005" w14:textId="77777777" w:rsidR="00BE6341" w:rsidRPr="0077393E" w:rsidRDefault="00BE6341" w:rsidP="00BE6341">
            <w:pPr>
              <w:spacing w:before="120" w:after="120"/>
              <w:jc w:val="right"/>
              <w:rPr>
                <w:rFonts w:ascii="Times New Roman" w:hAnsi="Times New Roman"/>
                <w:noProof/>
                <w:lang w:val="sk-SK"/>
              </w:rPr>
            </w:pPr>
            <w:r w:rsidRPr="0077393E">
              <w:rPr>
                <w:rFonts w:ascii="Times New Roman" w:hAnsi="Times New Roman"/>
                <w:noProof/>
                <w:lang w:val="sk-SK"/>
              </w:rPr>
              <w:t>796 492 035</w:t>
            </w:r>
          </w:p>
        </w:tc>
      </w:tr>
      <w:tr w:rsidR="00BE6341" w:rsidRPr="0077393E" w14:paraId="03540B32" w14:textId="77777777" w:rsidTr="00252DC3">
        <w:trPr>
          <w:trHeight w:val="300"/>
        </w:trPr>
        <w:tc>
          <w:tcPr>
            <w:tcW w:w="2417" w:type="dxa"/>
            <w:tcBorders>
              <w:top w:val="single" w:sz="4" w:space="0" w:color="auto"/>
              <w:left w:val="single" w:sz="4" w:space="0" w:color="auto"/>
              <w:bottom w:val="single" w:sz="4" w:space="0" w:color="auto"/>
              <w:right w:val="single" w:sz="4" w:space="0" w:color="auto"/>
            </w:tcBorders>
            <w:noWrap/>
            <w:vAlign w:val="center"/>
            <w:hideMark/>
          </w:tcPr>
          <w:p w14:paraId="510AFEAE" w14:textId="77777777" w:rsidR="00BE6341" w:rsidRPr="0077393E" w:rsidRDefault="00BE6341" w:rsidP="00BE6341">
            <w:pPr>
              <w:spacing w:before="120" w:after="120"/>
              <w:rPr>
                <w:rFonts w:ascii="Times New Roman" w:hAnsi="Times New Roman"/>
                <w:noProof/>
                <w:lang w:val="sk-SK"/>
              </w:rPr>
            </w:pPr>
            <w:r w:rsidRPr="0077393E">
              <w:rPr>
                <w:rFonts w:ascii="Times New Roman" w:hAnsi="Times New Roman"/>
                <w:noProof/>
                <w:lang w:val="sk-SK"/>
              </w:rPr>
              <w:t>Portugalsko</w:t>
            </w:r>
          </w:p>
        </w:tc>
        <w:tc>
          <w:tcPr>
            <w:tcW w:w="2374" w:type="dxa"/>
            <w:tcBorders>
              <w:top w:val="single" w:sz="4" w:space="0" w:color="auto"/>
              <w:left w:val="single" w:sz="4" w:space="0" w:color="auto"/>
              <w:bottom w:val="single" w:sz="4" w:space="0" w:color="auto"/>
              <w:right w:val="single" w:sz="4" w:space="0" w:color="auto"/>
            </w:tcBorders>
            <w:noWrap/>
            <w:vAlign w:val="center"/>
            <w:hideMark/>
          </w:tcPr>
          <w:p w14:paraId="2DD945B5" w14:textId="77777777" w:rsidR="00BE6341" w:rsidRPr="0077393E" w:rsidRDefault="00BE6341" w:rsidP="00BE6341">
            <w:pPr>
              <w:spacing w:before="120" w:after="120"/>
              <w:jc w:val="right"/>
              <w:rPr>
                <w:rFonts w:ascii="Times New Roman" w:hAnsi="Times New Roman"/>
                <w:noProof/>
                <w:lang w:val="sk-SK"/>
              </w:rPr>
            </w:pPr>
            <w:r w:rsidRPr="0077393E">
              <w:rPr>
                <w:rFonts w:ascii="Times New Roman" w:hAnsi="Times New Roman"/>
                <w:noProof/>
                <w:lang w:val="sk-SK"/>
              </w:rPr>
              <w:t>159 948 413</w:t>
            </w:r>
          </w:p>
        </w:tc>
      </w:tr>
      <w:tr w:rsidR="00BE6341" w:rsidRPr="0077393E" w14:paraId="04C2C933" w14:textId="77777777" w:rsidTr="00252DC3">
        <w:trPr>
          <w:trHeight w:val="300"/>
        </w:trPr>
        <w:tc>
          <w:tcPr>
            <w:tcW w:w="2417" w:type="dxa"/>
            <w:tcBorders>
              <w:top w:val="single" w:sz="4" w:space="0" w:color="auto"/>
              <w:left w:val="single" w:sz="4" w:space="0" w:color="auto"/>
              <w:bottom w:val="single" w:sz="4" w:space="0" w:color="auto"/>
              <w:right w:val="single" w:sz="4" w:space="0" w:color="auto"/>
            </w:tcBorders>
            <w:noWrap/>
            <w:vAlign w:val="center"/>
            <w:hideMark/>
          </w:tcPr>
          <w:p w14:paraId="4A3E39DB" w14:textId="77777777" w:rsidR="00BE6341" w:rsidRPr="0077393E" w:rsidRDefault="00BE6341" w:rsidP="00BE6341">
            <w:pPr>
              <w:spacing w:before="120" w:after="120"/>
              <w:rPr>
                <w:rFonts w:ascii="Times New Roman" w:hAnsi="Times New Roman"/>
                <w:noProof/>
                <w:lang w:val="sk-SK"/>
              </w:rPr>
            </w:pPr>
            <w:r w:rsidRPr="0077393E">
              <w:rPr>
                <w:rFonts w:ascii="Times New Roman" w:hAnsi="Times New Roman"/>
                <w:noProof/>
                <w:lang w:val="sk-SK"/>
              </w:rPr>
              <w:t>Rumunsko</w:t>
            </w:r>
          </w:p>
        </w:tc>
        <w:tc>
          <w:tcPr>
            <w:tcW w:w="2374" w:type="dxa"/>
            <w:tcBorders>
              <w:top w:val="single" w:sz="4" w:space="0" w:color="auto"/>
              <w:left w:val="single" w:sz="4" w:space="0" w:color="auto"/>
              <w:bottom w:val="single" w:sz="4" w:space="0" w:color="auto"/>
              <w:right w:val="single" w:sz="4" w:space="0" w:color="auto"/>
            </w:tcBorders>
            <w:noWrap/>
            <w:vAlign w:val="center"/>
            <w:hideMark/>
          </w:tcPr>
          <w:p w14:paraId="503E6558" w14:textId="77777777" w:rsidR="00BE6341" w:rsidRPr="0077393E" w:rsidRDefault="00BE6341" w:rsidP="00BE6341">
            <w:pPr>
              <w:spacing w:before="120" w:after="120"/>
              <w:jc w:val="right"/>
              <w:rPr>
                <w:rFonts w:ascii="Times New Roman" w:hAnsi="Times New Roman"/>
                <w:noProof/>
                <w:lang w:val="sk-SK"/>
              </w:rPr>
            </w:pPr>
            <w:r w:rsidRPr="0077393E">
              <w:rPr>
                <w:rFonts w:ascii="Times New Roman" w:hAnsi="Times New Roman"/>
                <w:noProof/>
                <w:lang w:val="sk-SK"/>
              </w:rPr>
              <w:t>507 398 799</w:t>
            </w:r>
          </w:p>
        </w:tc>
      </w:tr>
      <w:tr w:rsidR="00BE6341" w:rsidRPr="0077393E" w14:paraId="35C5C093" w14:textId="77777777" w:rsidTr="00252DC3">
        <w:trPr>
          <w:trHeight w:val="300"/>
        </w:trPr>
        <w:tc>
          <w:tcPr>
            <w:tcW w:w="2417" w:type="dxa"/>
            <w:tcBorders>
              <w:top w:val="single" w:sz="4" w:space="0" w:color="auto"/>
              <w:left w:val="single" w:sz="4" w:space="0" w:color="auto"/>
              <w:bottom w:val="single" w:sz="4" w:space="0" w:color="auto"/>
              <w:right w:val="single" w:sz="4" w:space="0" w:color="auto"/>
            </w:tcBorders>
            <w:noWrap/>
            <w:vAlign w:val="center"/>
            <w:hideMark/>
          </w:tcPr>
          <w:p w14:paraId="3FAD500A" w14:textId="77777777" w:rsidR="00BE6341" w:rsidRPr="0077393E" w:rsidRDefault="00BE6341" w:rsidP="00BE6341">
            <w:pPr>
              <w:spacing w:before="120" w:after="120"/>
              <w:rPr>
                <w:rFonts w:ascii="Times New Roman" w:hAnsi="Times New Roman"/>
                <w:noProof/>
                <w:lang w:val="sk-SK"/>
              </w:rPr>
            </w:pPr>
            <w:r w:rsidRPr="0077393E">
              <w:rPr>
                <w:rFonts w:ascii="Times New Roman" w:hAnsi="Times New Roman"/>
                <w:noProof/>
                <w:lang w:val="sk-SK"/>
              </w:rPr>
              <w:t>Slovinsko</w:t>
            </w:r>
          </w:p>
        </w:tc>
        <w:tc>
          <w:tcPr>
            <w:tcW w:w="2374" w:type="dxa"/>
            <w:tcBorders>
              <w:top w:val="single" w:sz="4" w:space="0" w:color="auto"/>
              <w:left w:val="single" w:sz="4" w:space="0" w:color="auto"/>
              <w:bottom w:val="single" w:sz="4" w:space="0" w:color="auto"/>
              <w:right w:val="single" w:sz="4" w:space="0" w:color="auto"/>
            </w:tcBorders>
            <w:noWrap/>
            <w:vAlign w:val="center"/>
            <w:hideMark/>
          </w:tcPr>
          <w:p w14:paraId="76E47768" w14:textId="77777777" w:rsidR="00BE6341" w:rsidRPr="0077393E" w:rsidRDefault="00BE6341" w:rsidP="00BE6341">
            <w:pPr>
              <w:spacing w:before="120" w:after="120"/>
              <w:jc w:val="right"/>
              <w:rPr>
                <w:rFonts w:ascii="Times New Roman" w:hAnsi="Times New Roman"/>
                <w:noProof/>
                <w:lang w:val="sk-SK"/>
              </w:rPr>
            </w:pPr>
            <w:r w:rsidRPr="0077393E">
              <w:rPr>
                <w:rFonts w:ascii="Times New Roman" w:hAnsi="Times New Roman"/>
                <w:noProof/>
                <w:lang w:val="sk-SK"/>
              </w:rPr>
              <w:t>32 882 513</w:t>
            </w:r>
          </w:p>
        </w:tc>
      </w:tr>
      <w:tr w:rsidR="00BE6341" w:rsidRPr="0077393E" w14:paraId="2BBA9445" w14:textId="77777777" w:rsidTr="00252DC3">
        <w:trPr>
          <w:trHeight w:val="300"/>
        </w:trPr>
        <w:tc>
          <w:tcPr>
            <w:tcW w:w="2417" w:type="dxa"/>
            <w:tcBorders>
              <w:top w:val="single" w:sz="4" w:space="0" w:color="auto"/>
              <w:left w:val="single" w:sz="4" w:space="0" w:color="auto"/>
              <w:bottom w:val="single" w:sz="4" w:space="0" w:color="auto"/>
              <w:right w:val="single" w:sz="4" w:space="0" w:color="auto"/>
            </w:tcBorders>
            <w:noWrap/>
            <w:vAlign w:val="center"/>
            <w:hideMark/>
          </w:tcPr>
          <w:p w14:paraId="7E79A18A" w14:textId="77777777" w:rsidR="00BE6341" w:rsidRPr="0077393E" w:rsidRDefault="00BE6341" w:rsidP="00BE6341">
            <w:pPr>
              <w:spacing w:before="120" w:after="120"/>
              <w:rPr>
                <w:rFonts w:ascii="Times New Roman" w:hAnsi="Times New Roman"/>
                <w:noProof/>
                <w:lang w:val="sk-SK"/>
              </w:rPr>
            </w:pPr>
            <w:r w:rsidRPr="0077393E">
              <w:rPr>
                <w:rFonts w:ascii="Times New Roman" w:hAnsi="Times New Roman"/>
                <w:noProof/>
                <w:lang w:val="sk-SK"/>
              </w:rPr>
              <w:t>Slovensko</w:t>
            </w:r>
          </w:p>
        </w:tc>
        <w:tc>
          <w:tcPr>
            <w:tcW w:w="2374" w:type="dxa"/>
            <w:tcBorders>
              <w:top w:val="single" w:sz="4" w:space="0" w:color="auto"/>
              <w:left w:val="single" w:sz="4" w:space="0" w:color="auto"/>
              <w:bottom w:val="single" w:sz="4" w:space="0" w:color="auto"/>
              <w:right w:val="single" w:sz="4" w:space="0" w:color="auto"/>
            </w:tcBorders>
            <w:noWrap/>
            <w:vAlign w:val="center"/>
            <w:hideMark/>
          </w:tcPr>
          <w:p w14:paraId="1B3718AE" w14:textId="77777777" w:rsidR="00BE6341" w:rsidRPr="0077393E" w:rsidRDefault="00BE6341" w:rsidP="00BE6341">
            <w:pPr>
              <w:spacing w:before="120" w:after="120"/>
              <w:jc w:val="right"/>
              <w:rPr>
                <w:rFonts w:ascii="Times New Roman" w:hAnsi="Times New Roman"/>
                <w:noProof/>
                <w:lang w:val="sk-SK"/>
              </w:rPr>
            </w:pPr>
            <w:r w:rsidRPr="0077393E">
              <w:rPr>
                <w:rFonts w:ascii="Times New Roman" w:hAnsi="Times New Roman"/>
                <w:noProof/>
                <w:lang w:val="sk-SK"/>
              </w:rPr>
              <w:t>103 868 686</w:t>
            </w:r>
          </w:p>
        </w:tc>
      </w:tr>
      <w:tr w:rsidR="00BE6341" w:rsidRPr="0077393E" w14:paraId="44B56F6F" w14:textId="77777777" w:rsidTr="00252DC3">
        <w:trPr>
          <w:trHeight w:val="300"/>
        </w:trPr>
        <w:tc>
          <w:tcPr>
            <w:tcW w:w="2417" w:type="dxa"/>
            <w:tcBorders>
              <w:top w:val="single" w:sz="4" w:space="0" w:color="auto"/>
              <w:left w:val="single" w:sz="4" w:space="0" w:color="auto"/>
              <w:bottom w:val="single" w:sz="4" w:space="0" w:color="auto"/>
              <w:right w:val="single" w:sz="4" w:space="0" w:color="auto"/>
            </w:tcBorders>
            <w:noWrap/>
            <w:vAlign w:val="center"/>
            <w:hideMark/>
          </w:tcPr>
          <w:p w14:paraId="2FD6D25D" w14:textId="77777777" w:rsidR="00BE6341" w:rsidRPr="0077393E" w:rsidRDefault="00BE6341" w:rsidP="00BE6341">
            <w:pPr>
              <w:spacing w:before="120" w:after="120"/>
              <w:rPr>
                <w:rFonts w:ascii="Times New Roman" w:hAnsi="Times New Roman"/>
                <w:noProof/>
                <w:lang w:val="sk-SK"/>
              </w:rPr>
            </w:pPr>
            <w:r w:rsidRPr="0077393E">
              <w:rPr>
                <w:rFonts w:ascii="Times New Roman" w:hAnsi="Times New Roman"/>
                <w:noProof/>
                <w:lang w:val="sk-SK"/>
              </w:rPr>
              <w:t>Fínsko</w:t>
            </w:r>
          </w:p>
        </w:tc>
        <w:tc>
          <w:tcPr>
            <w:tcW w:w="2374" w:type="dxa"/>
            <w:tcBorders>
              <w:top w:val="single" w:sz="4" w:space="0" w:color="auto"/>
              <w:left w:val="single" w:sz="4" w:space="0" w:color="auto"/>
              <w:bottom w:val="single" w:sz="4" w:space="0" w:color="auto"/>
              <w:right w:val="single" w:sz="4" w:space="0" w:color="auto"/>
            </w:tcBorders>
            <w:noWrap/>
            <w:vAlign w:val="center"/>
            <w:hideMark/>
          </w:tcPr>
          <w:p w14:paraId="5F511592" w14:textId="77777777" w:rsidR="00BE6341" w:rsidRPr="0077393E" w:rsidRDefault="00BE6341" w:rsidP="00BE6341">
            <w:pPr>
              <w:spacing w:before="120" w:after="120"/>
              <w:jc w:val="right"/>
              <w:rPr>
                <w:rFonts w:ascii="Times New Roman" w:hAnsi="Times New Roman"/>
                <w:noProof/>
                <w:lang w:val="sk-SK"/>
              </w:rPr>
            </w:pPr>
            <w:r w:rsidRPr="0077393E">
              <w:rPr>
                <w:rFonts w:ascii="Times New Roman" w:hAnsi="Times New Roman"/>
                <w:noProof/>
                <w:lang w:val="sk-SK"/>
              </w:rPr>
              <w:t>131 201 466</w:t>
            </w:r>
          </w:p>
        </w:tc>
      </w:tr>
      <w:tr w:rsidR="00BE6341" w:rsidRPr="0077393E" w14:paraId="00C09412" w14:textId="77777777" w:rsidTr="00252DC3">
        <w:trPr>
          <w:trHeight w:val="300"/>
        </w:trPr>
        <w:tc>
          <w:tcPr>
            <w:tcW w:w="2417" w:type="dxa"/>
            <w:tcBorders>
              <w:top w:val="single" w:sz="4" w:space="0" w:color="auto"/>
              <w:left w:val="single" w:sz="4" w:space="0" w:color="auto"/>
              <w:bottom w:val="single" w:sz="4" w:space="0" w:color="auto"/>
              <w:right w:val="single" w:sz="4" w:space="0" w:color="auto"/>
            </w:tcBorders>
            <w:noWrap/>
            <w:vAlign w:val="center"/>
            <w:hideMark/>
          </w:tcPr>
          <w:p w14:paraId="7F80D6A7" w14:textId="77777777" w:rsidR="00BE6341" w:rsidRPr="0077393E" w:rsidRDefault="00BE6341" w:rsidP="00BE6341">
            <w:pPr>
              <w:spacing w:before="120" w:after="120"/>
              <w:rPr>
                <w:rFonts w:ascii="Times New Roman" w:hAnsi="Times New Roman"/>
                <w:noProof/>
                <w:lang w:val="sk-SK"/>
              </w:rPr>
            </w:pPr>
            <w:r w:rsidRPr="0077393E">
              <w:rPr>
                <w:rFonts w:ascii="Times New Roman" w:hAnsi="Times New Roman"/>
                <w:noProof/>
                <w:lang w:val="sk-SK"/>
              </w:rPr>
              <w:t>Švédsko</w:t>
            </w:r>
          </w:p>
        </w:tc>
        <w:tc>
          <w:tcPr>
            <w:tcW w:w="2374" w:type="dxa"/>
            <w:tcBorders>
              <w:top w:val="single" w:sz="4" w:space="0" w:color="auto"/>
              <w:left w:val="single" w:sz="4" w:space="0" w:color="auto"/>
              <w:bottom w:val="single" w:sz="4" w:space="0" w:color="auto"/>
              <w:right w:val="single" w:sz="4" w:space="0" w:color="auto"/>
            </w:tcBorders>
            <w:noWrap/>
            <w:vAlign w:val="center"/>
            <w:hideMark/>
          </w:tcPr>
          <w:p w14:paraId="0CB7C300" w14:textId="77777777" w:rsidR="00BE6341" w:rsidRPr="0077393E" w:rsidRDefault="00BE6341" w:rsidP="00BE6341">
            <w:pPr>
              <w:spacing w:before="120" w:after="120"/>
              <w:jc w:val="right"/>
              <w:rPr>
                <w:rFonts w:ascii="Times New Roman" w:hAnsi="Times New Roman"/>
                <w:noProof/>
                <w:lang w:val="sk-SK"/>
              </w:rPr>
            </w:pPr>
            <w:r w:rsidRPr="0077393E">
              <w:rPr>
                <w:rFonts w:ascii="Times New Roman" w:hAnsi="Times New Roman"/>
                <w:noProof/>
                <w:lang w:val="sk-SK"/>
              </w:rPr>
              <w:t>171 704 104</w:t>
            </w:r>
          </w:p>
        </w:tc>
      </w:tr>
    </w:tbl>
    <w:p w14:paraId="76FD2B6F" w14:textId="77777777" w:rsidR="00BE6341" w:rsidRPr="0077393E" w:rsidRDefault="00BE6341" w:rsidP="00BE6341">
      <w:pPr>
        <w:spacing w:before="120" w:after="120"/>
        <w:rPr>
          <w:rFonts w:eastAsia="Calibri"/>
          <w:noProof/>
          <w:kern w:val="2"/>
          <w:szCs w:val="24"/>
          <w:lang w:val="sk-SK" w:eastAsia="en-US"/>
          <w14:ligatures w14:val="standardContextual"/>
        </w:rPr>
      </w:pPr>
      <w:r w:rsidRPr="0077393E">
        <w:rPr>
          <w:rFonts w:eastAsia="Calibri"/>
          <w:noProof/>
          <w:kern w:val="2"/>
          <w:szCs w:val="24"/>
          <w:lang w:val="sk-SK" w:eastAsia="en-US"/>
          <w14:ligatures w14:val="standardContextual"/>
        </w:rPr>
        <w:t>„</w:t>
      </w:r>
    </w:p>
    <w:p w14:paraId="7B4501C5" w14:textId="77777777" w:rsidR="00BE6341" w:rsidRPr="0077393E" w:rsidRDefault="00BE6341" w:rsidP="00BE6341">
      <w:pPr>
        <w:rPr>
          <w:rFonts w:eastAsia="Calibri"/>
          <w:b/>
          <w:bCs/>
          <w:noProof/>
          <w:szCs w:val="22"/>
          <w:lang w:val="sk-SK" w:eastAsia="en-US"/>
        </w:rPr>
      </w:pPr>
    </w:p>
    <w:sectPr w:rsidR="00BE6341" w:rsidRPr="0077393E" w:rsidSect="00DD52D6">
      <w:footnotePr>
        <w:numRestart w:val="eachSect"/>
      </w:footnotePr>
      <w:pgSz w:w="11907" w:h="16840" w:code="9"/>
      <w:pgMar w:top="1134" w:right="1418" w:bottom="1134" w:left="1418" w:header="709" w:footer="70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DBE5DF" w14:textId="77777777" w:rsidR="007538A7" w:rsidRDefault="007538A7" w:rsidP="009C4014">
      <w:r>
        <w:separator/>
      </w:r>
    </w:p>
  </w:endnote>
  <w:endnote w:type="continuationSeparator" w:id="0">
    <w:p w14:paraId="411BF7B7" w14:textId="77777777" w:rsidR="007538A7" w:rsidRDefault="007538A7" w:rsidP="009C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0DAE6" w14:textId="77777777" w:rsidR="00185E15" w:rsidRDefault="00185E15">
    <w:pP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39C4D5" w14:textId="77777777" w:rsidR="007538A7" w:rsidRDefault="007538A7" w:rsidP="009C4014">
      <w:r>
        <w:separator/>
      </w:r>
    </w:p>
  </w:footnote>
  <w:footnote w:type="continuationSeparator" w:id="0">
    <w:p w14:paraId="6D14EC7F" w14:textId="77777777" w:rsidR="007538A7" w:rsidRDefault="007538A7" w:rsidP="009C4014">
      <w:r>
        <w:continuationSeparator/>
      </w:r>
    </w:p>
  </w:footnote>
  <w:footnote w:id="1">
    <w:p w14:paraId="69784AAB" w14:textId="5829A41E" w:rsidR="00BE6341" w:rsidRPr="00804E6C" w:rsidRDefault="00BE6341" w:rsidP="00BE6341">
      <w:pPr>
        <w:pStyle w:val="FootnoteText"/>
        <w:ind w:left="851" w:hanging="851"/>
        <w:rPr>
          <w:lang w:val="sk-SK"/>
        </w:rPr>
      </w:pPr>
      <w:r w:rsidRPr="00804E6C">
        <w:rPr>
          <w:rStyle w:val="FootnoteReference"/>
        </w:rPr>
        <w:footnoteRef/>
      </w:r>
      <w:r w:rsidRPr="00804E6C">
        <w:rPr>
          <w:lang w:val="sk-SK"/>
        </w:rPr>
        <w:t xml:space="preserve"> </w:t>
      </w:r>
      <w:r w:rsidRPr="00804E6C">
        <w:rPr>
          <w:lang w:val="sk-SK"/>
        </w:rPr>
        <w:tab/>
      </w:r>
      <w:r w:rsidRPr="00804E6C">
        <w:rPr>
          <w:sz w:val="24"/>
          <w:szCs w:val="24"/>
          <w:lang w:val="sk-SK"/>
        </w:rPr>
        <w:t>Pozícia Európskeho parlamentu z</w:t>
      </w:r>
      <w:r w:rsidR="007F3C6F">
        <w:rPr>
          <w:sz w:val="24"/>
          <w:szCs w:val="24"/>
          <w:lang w:val="sk-SK"/>
        </w:rPr>
        <w:t>o</w:t>
      </w:r>
      <w:r w:rsidRPr="00804E6C">
        <w:rPr>
          <w:sz w:val="24"/>
          <w:szCs w:val="24"/>
          <w:lang w:val="sk-SK"/>
        </w:rPr>
        <w:t xml:space="preserve"> </w:t>
      </w:r>
      <w:r w:rsidR="007F3C6F">
        <w:rPr>
          <w:sz w:val="24"/>
          <w:szCs w:val="24"/>
          <w:lang w:val="sk-SK"/>
        </w:rPr>
        <w:t>7. júla 2026.</w:t>
      </w:r>
    </w:p>
  </w:footnote>
  <w:footnote w:id="2">
    <w:p w14:paraId="46D5658D" w14:textId="77777777" w:rsidR="00BE6341" w:rsidRPr="00804E6C" w:rsidRDefault="00BE6341" w:rsidP="00BE6341">
      <w:pPr>
        <w:ind w:left="851" w:hanging="851"/>
        <w:rPr>
          <w:lang w:val="sk-SK"/>
        </w:rPr>
      </w:pPr>
      <w:r w:rsidRPr="00804E6C">
        <w:rPr>
          <w:rStyle w:val="FootnoteReference"/>
          <w:lang w:val="sk-SK"/>
        </w:rPr>
        <w:footnoteRef/>
      </w:r>
      <w:r w:rsidRPr="00804E6C">
        <w:rPr>
          <w:lang w:val="sk-SK"/>
        </w:rPr>
        <w:tab/>
      </w:r>
      <w:r w:rsidRPr="00804E6C">
        <w:rPr>
          <w:lang w:val="sk-SK"/>
        </w:rPr>
        <w:t xml:space="preserve">Nariadenie Európskeho parlamentu a Rady (EÚ) 2021/2115 z 2. decembra 2021, ktorým sa stanovujú pravidlá podpory strategických plánov, ktoré majú zostaviť členské štáty v rámci spoločnej poľnohospodárskej politiky (strategické plány SPP) a ktoré sú financované z Európskeho poľnohospodárskeho záručného fondu (EPZF) a Európskeho poľnohospodárskeho fondu pre rozvoj vidieka (EPFRV), a ktorým sa zrušujú nariadenia (EÚ) č. 1305/2013 a (EÚ) č. 1307/2013 (Ú. v. EÚ L 435, 6.12.2021, s. 1, ELI: </w:t>
      </w:r>
      <w:r>
        <w:fldChar w:fldCharType="begin"/>
      </w:r>
      <w:r w:rsidRPr="0077393E">
        <w:rPr>
          <w:lang w:val="sk-SK"/>
        </w:rPr>
        <w:instrText>HYPERLINK "http://data.europa.eu/eli/reg/2021/2115/oj"</w:instrText>
      </w:r>
      <w:r>
        <w:fldChar w:fldCharType="separate"/>
      </w:r>
      <w:r w:rsidRPr="00804E6C">
        <w:rPr>
          <w:rStyle w:val="Hyperlink"/>
          <w:lang w:val="sk-SK"/>
        </w:rPr>
        <w:t>http://data.europa.eu/eli/reg/2021/2115/oj</w:t>
      </w:r>
      <w:r>
        <w:fldChar w:fldCharType="end"/>
      </w:r>
      <w:r w:rsidRPr="00804E6C">
        <w:rPr>
          <w:lang w:val="sk-SK"/>
        </w:rPr>
        <w:t xml:space="preserve">). </w:t>
      </w:r>
    </w:p>
  </w:footnote>
  <w:footnote w:id="3">
    <w:p w14:paraId="03A5AD7D" w14:textId="77777777" w:rsidR="00BE6341" w:rsidRPr="00804E6C" w:rsidRDefault="00BE6341" w:rsidP="00BE6341">
      <w:pPr>
        <w:ind w:left="851" w:hanging="851"/>
        <w:rPr>
          <w:lang w:val="sk-SK"/>
        </w:rPr>
      </w:pPr>
      <w:r w:rsidRPr="00804E6C">
        <w:rPr>
          <w:rStyle w:val="FootnoteReference"/>
          <w:lang w:val="sk-SK"/>
        </w:rPr>
        <w:footnoteRef/>
      </w:r>
      <w:r w:rsidRPr="00804E6C">
        <w:rPr>
          <w:lang w:val="sk-SK"/>
        </w:rPr>
        <w:tab/>
      </w:r>
      <w:r w:rsidRPr="00804E6C">
        <w:rPr>
          <w:lang w:val="sk-SK"/>
        </w:rPr>
        <w:t xml:space="preserve">Nariadenie Európskeho parlamentu a Rady (EÚ) 2021/2116 z 2. decembra 2021 o financovaní, riadení a monitorovaní spoločnej poľnohospodárskej politiky a o zrušení nariadenia (EÚ) č. 1306/2013 (Ú. v. EÚ L 435, 6.12.2021, s. 187, ELI: </w:t>
      </w:r>
      <w:r>
        <w:fldChar w:fldCharType="begin"/>
      </w:r>
      <w:r w:rsidRPr="0077393E">
        <w:rPr>
          <w:lang w:val="sk-SK"/>
        </w:rPr>
        <w:instrText>HYPERLINK "http://data.europa.eu/eli/reg/2021/2116/oj"</w:instrText>
      </w:r>
      <w:r>
        <w:fldChar w:fldCharType="separate"/>
      </w:r>
      <w:r w:rsidRPr="00804E6C">
        <w:rPr>
          <w:rStyle w:val="Hyperlink"/>
          <w:lang w:val="sk-SK"/>
        </w:rPr>
        <w:t>http://data.europa.eu/eli/reg/2021/2116/oj</w:t>
      </w:r>
      <w:r>
        <w:fldChar w:fldCharType="end"/>
      </w:r>
      <w:r w:rsidRPr="00804E6C">
        <w:rPr>
          <w:lang w:val="sk-SK"/>
        </w:rPr>
        <w:t>).</w:t>
      </w:r>
    </w:p>
  </w:footnote>
  <w:footnote w:id="4">
    <w:p w14:paraId="05FD5108" w14:textId="77777777" w:rsidR="00BE6341" w:rsidRPr="00804E6C" w:rsidRDefault="00BE6341" w:rsidP="00BE6341">
      <w:pPr>
        <w:ind w:left="851" w:hanging="851"/>
        <w:rPr>
          <w:lang w:val="sk-SK"/>
        </w:rPr>
      </w:pPr>
      <w:r w:rsidRPr="00804E6C">
        <w:rPr>
          <w:rStyle w:val="FootnoteReference"/>
          <w:lang w:val="sk-SK"/>
        </w:rPr>
        <w:footnoteRef/>
      </w:r>
      <w:r w:rsidRPr="00804E6C">
        <w:rPr>
          <w:lang w:val="sk-SK"/>
        </w:rPr>
        <w:tab/>
      </w:r>
      <w:bookmarkStart w:id="9" w:name="https://eur-lex.europa.eu/legal-content/"/>
      <w:r w:rsidRPr="00804E6C">
        <w:rPr>
          <w:lang w:val="sk-SK"/>
        </w:rPr>
        <w:fldChar w:fldCharType="begin"/>
      </w:r>
      <w:r w:rsidRPr="00804E6C">
        <w:rPr>
          <w:lang w:val="sk-SK"/>
        </w:rPr>
        <w:instrText>HYPERLINK "https://eur-lex.europa.eu/legal-content/AUTO/?uri=CELEX:31991L0676&amp;qid=1780589360563&amp;rid=1"</w:instrText>
      </w:r>
      <w:r w:rsidRPr="00804E6C">
        <w:rPr>
          <w:lang w:val="sk-SK"/>
        </w:rPr>
      </w:r>
      <w:r w:rsidRPr="00804E6C">
        <w:rPr>
          <w:lang w:val="sk-SK"/>
        </w:rPr>
        <w:fldChar w:fldCharType="separate"/>
      </w:r>
      <w:r w:rsidRPr="00804E6C">
        <w:rPr>
          <w:lang w:val="sk-SK"/>
        </w:rPr>
        <w:t>Smernica Rady 91/676/EHS z 12. decembra 1991 o ochrane vôd pred znečistením dusičnanmi z poľnohospodárskych zdrojov.</w:t>
      </w:r>
      <w:r w:rsidRPr="00804E6C">
        <w:rPr>
          <w:lang w:val="sk-SK"/>
        </w:rPr>
        <w:fldChar w:fldCharType="end"/>
      </w:r>
      <w:bookmarkEnd w:id="9"/>
      <w:r w:rsidRPr="00804E6C">
        <w:rPr>
          <w:lang w:val="sk-SK"/>
        </w:rPr>
        <w:t xml:space="preserve"> (Ú. v. ES L 375, 31.12.1991, s. 1, ELI: </w:t>
      </w:r>
      <w:r>
        <w:fldChar w:fldCharType="begin"/>
      </w:r>
      <w:r w:rsidRPr="0077393E">
        <w:rPr>
          <w:lang w:val="sk-SK"/>
        </w:rPr>
        <w:instrText>HYPERLINK "http://data.europa.eu/eli/dir/1991/676/oj"</w:instrText>
      </w:r>
      <w:r>
        <w:fldChar w:fldCharType="separate"/>
      </w:r>
      <w:r w:rsidRPr="00804E6C">
        <w:rPr>
          <w:rStyle w:val="Hyperlink"/>
          <w:lang w:val="sk-SK"/>
        </w:rPr>
        <w:t>http://data.europa.eu/eli/dir/1991/676/oj</w:t>
      </w:r>
      <w:r>
        <w:fldChar w:fldCharType="end"/>
      </w:r>
      <w:r w:rsidRPr="00804E6C">
        <w:rPr>
          <w:lang w:val="sk-SK"/>
        </w:rPr>
        <w:t xml:space="preserve">). </w:t>
      </w:r>
    </w:p>
  </w:footnote>
  <w:footnote w:id="5">
    <w:p w14:paraId="621A515B" w14:textId="77777777" w:rsidR="00BE6341" w:rsidRPr="00BD236B" w:rsidRDefault="00BE6341" w:rsidP="00BE6341">
      <w:pPr>
        <w:ind w:left="851" w:hanging="851"/>
        <w:rPr>
          <w:lang w:val="sk-SK"/>
        </w:rPr>
      </w:pPr>
      <w:r w:rsidRPr="00804E6C">
        <w:rPr>
          <w:rStyle w:val="FootnoteReference"/>
          <w:lang w:val="sk-SK"/>
        </w:rPr>
        <w:footnoteRef/>
      </w:r>
      <w:r w:rsidRPr="00804E6C">
        <w:rPr>
          <w:lang w:val="sk-SK"/>
        </w:rPr>
        <w:tab/>
      </w:r>
      <w:r w:rsidRPr="00804E6C">
        <w:rPr>
          <w:lang w:val="sk-SK"/>
        </w:rPr>
        <w:t xml:space="preserve">Nariadenie Európskeho parlamentu a Rady (EÚ, </w:t>
      </w:r>
      <w:proofErr w:type="spellStart"/>
      <w:r w:rsidRPr="00804E6C">
        <w:rPr>
          <w:lang w:val="sk-SK"/>
        </w:rPr>
        <w:t>Euratom</w:t>
      </w:r>
      <w:proofErr w:type="spellEnd"/>
      <w:r w:rsidRPr="00804E6C">
        <w:rPr>
          <w:lang w:val="sk-SK"/>
        </w:rPr>
        <w:t xml:space="preserve">) 2024/2509 z 23. septembra 2024 o rozpočtových pravidlách, ktoré sa vzťahujú na všeobecný rozpočet Únie (Ú. v. EÚ L, 2024/2509, 26.9.2024, ELI: </w:t>
      </w:r>
      <w:hyperlink r:id="rId1" w:history="1">
        <w:r w:rsidRPr="00804E6C">
          <w:rPr>
            <w:rStyle w:val="Hyperlink"/>
            <w:lang w:val="sk-SK"/>
          </w:rPr>
          <w:t>http://data.europa.eu/eli/reg/2024/2509/oj</w:t>
        </w:r>
      </w:hyperlink>
      <w:r w:rsidRPr="00804E6C">
        <w:rPr>
          <w:lang w:val="sk-SK"/>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0846824"/>
    <w:multiLevelType w:val="hybridMultilevel"/>
    <w:tmpl w:val="F40AB9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8" w15:restartNumberingAfterBreak="0">
    <w:nsid w:val="7ECB7708"/>
    <w:multiLevelType w:val="singleLevel"/>
    <w:tmpl w:val="71B46F9E"/>
    <w:lvl w:ilvl="0">
      <w:start w:val="1"/>
      <w:numFmt w:val="decimal"/>
      <w:lvlText w:val="%1."/>
      <w:lvlJc w:val="left"/>
      <w:pPr>
        <w:tabs>
          <w:tab w:val="num" w:pos="360"/>
        </w:tabs>
        <w:ind w:left="360" w:hanging="360"/>
      </w:pPr>
    </w:lvl>
  </w:abstractNum>
  <w:num w:numId="1" w16cid:durableId="551423940">
    <w:abstractNumId w:val="3"/>
  </w:num>
  <w:num w:numId="2" w16cid:durableId="1859928430">
    <w:abstractNumId w:val="2"/>
  </w:num>
  <w:num w:numId="3" w16cid:durableId="1508867546">
    <w:abstractNumId w:val="1"/>
  </w:num>
  <w:num w:numId="4" w16cid:durableId="1003626655">
    <w:abstractNumId w:val="0"/>
  </w:num>
  <w:num w:numId="5" w16cid:durableId="924143064">
    <w:abstractNumId w:val="7"/>
  </w:num>
  <w:num w:numId="6" w16cid:durableId="1128857714">
    <w:abstractNumId w:val="6"/>
  </w:num>
  <w:num w:numId="7" w16cid:durableId="661541148">
    <w:abstractNumId w:val="5"/>
  </w:num>
  <w:num w:numId="8" w16cid:durableId="840238557">
    <w:abstractNumId w:val="8"/>
  </w:num>
  <w:num w:numId="9" w16cid:durableId="1372341562">
    <w:abstractNumId w:val="8"/>
  </w:num>
  <w:num w:numId="10" w16cid:durableId="81102285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activeWritingStyle w:appName="MSWord" w:lang="fr-FR" w:vendorID="9" w:dllVersion="512" w:checkStyle="0"/>
  <w:activeWritingStyle w:appName="MSWord" w:lang="pt-PT" w:vendorID="13"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footnotePr>
    <w:numRestart w:val="eachSect"/>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38A7"/>
    <w:rsid w:val="000016DA"/>
    <w:rsid w:val="00013B2A"/>
    <w:rsid w:val="000171B4"/>
    <w:rsid w:val="000C2BFE"/>
    <w:rsid w:val="000F27A9"/>
    <w:rsid w:val="000F6208"/>
    <w:rsid w:val="00125CBC"/>
    <w:rsid w:val="00152A04"/>
    <w:rsid w:val="00172070"/>
    <w:rsid w:val="00185E15"/>
    <w:rsid w:val="001D2CEA"/>
    <w:rsid w:val="001D4BBF"/>
    <w:rsid w:val="001D63A8"/>
    <w:rsid w:val="001F2A5B"/>
    <w:rsid w:val="0022397C"/>
    <w:rsid w:val="0025508B"/>
    <w:rsid w:val="002924A9"/>
    <w:rsid w:val="002A1D4E"/>
    <w:rsid w:val="002B4BCF"/>
    <w:rsid w:val="002F1925"/>
    <w:rsid w:val="002F51FD"/>
    <w:rsid w:val="00300C61"/>
    <w:rsid w:val="00312A38"/>
    <w:rsid w:val="003202DD"/>
    <w:rsid w:val="003775B9"/>
    <w:rsid w:val="0038654B"/>
    <w:rsid w:val="00397B2A"/>
    <w:rsid w:val="003E1189"/>
    <w:rsid w:val="003E5470"/>
    <w:rsid w:val="003F14E8"/>
    <w:rsid w:val="003F4DFE"/>
    <w:rsid w:val="00425111"/>
    <w:rsid w:val="00440F8C"/>
    <w:rsid w:val="00451C48"/>
    <w:rsid w:val="0047030E"/>
    <w:rsid w:val="004A331C"/>
    <w:rsid w:val="004A710E"/>
    <w:rsid w:val="004A7939"/>
    <w:rsid w:val="004E6A17"/>
    <w:rsid w:val="004F2EA7"/>
    <w:rsid w:val="00520780"/>
    <w:rsid w:val="00525ED0"/>
    <w:rsid w:val="00534CAB"/>
    <w:rsid w:val="0054017B"/>
    <w:rsid w:val="00547BB1"/>
    <w:rsid w:val="00591365"/>
    <w:rsid w:val="005A2421"/>
    <w:rsid w:val="005B23C9"/>
    <w:rsid w:val="005C2AE5"/>
    <w:rsid w:val="005E324C"/>
    <w:rsid w:val="005F0CA1"/>
    <w:rsid w:val="005F35F8"/>
    <w:rsid w:val="00603B14"/>
    <w:rsid w:val="0063672F"/>
    <w:rsid w:val="00642E2F"/>
    <w:rsid w:val="00645044"/>
    <w:rsid w:val="006656E5"/>
    <w:rsid w:val="00666512"/>
    <w:rsid w:val="00666ACE"/>
    <w:rsid w:val="00683F78"/>
    <w:rsid w:val="006A1E82"/>
    <w:rsid w:val="006A7C85"/>
    <w:rsid w:val="006A7CE5"/>
    <w:rsid w:val="006B1646"/>
    <w:rsid w:val="006E5420"/>
    <w:rsid w:val="006E6F23"/>
    <w:rsid w:val="006F135E"/>
    <w:rsid w:val="00751383"/>
    <w:rsid w:val="007538A7"/>
    <w:rsid w:val="00757DD5"/>
    <w:rsid w:val="00760EC5"/>
    <w:rsid w:val="007713FD"/>
    <w:rsid w:val="0077393E"/>
    <w:rsid w:val="00774A9B"/>
    <w:rsid w:val="007906DB"/>
    <w:rsid w:val="007B16FE"/>
    <w:rsid w:val="007B6E48"/>
    <w:rsid w:val="007C3388"/>
    <w:rsid w:val="007D62BD"/>
    <w:rsid w:val="007F3C6F"/>
    <w:rsid w:val="0081416E"/>
    <w:rsid w:val="008512F3"/>
    <w:rsid w:val="00857458"/>
    <w:rsid w:val="00873A0F"/>
    <w:rsid w:val="00895FA0"/>
    <w:rsid w:val="008B1C2E"/>
    <w:rsid w:val="008D7C16"/>
    <w:rsid w:val="008E7632"/>
    <w:rsid w:val="008F0108"/>
    <w:rsid w:val="008F7F1C"/>
    <w:rsid w:val="0090221B"/>
    <w:rsid w:val="00907FE0"/>
    <w:rsid w:val="009865B7"/>
    <w:rsid w:val="00995557"/>
    <w:rsid w:val="009B7E10"/>
    <w:rsid w:val="009C4014"/>
    <w:rsid w:val="009F28EF"/>
    <w:rsid w:val="00A01E0F"/>
    <w:rsid w:val="00A1739E"/>
    <w:rsid w:val="00A80F82"/>
    <w:rsid w:val="00AF646C"/>
    <w:rsid w:val="00AF67F8"/>
    <w:rsid w:val="00B54C72"/>
    <w:rsid w:val="00B85C1E"/>
    <w:rsid w:val="00BE6341"/>
    <w:rsid w:val="00C15516"/>
    <w:rsid w:val="00C16C81"/>
    <w:rsid w:val="00C57739"/>
    <w:rsid w:val="00C65BE8"/>
    <w:rsid w:val="00C750B3"/>
    <w:rsid w:val="00CA045E"/>
    <w:rsid w:val="00CB451F"/>
    <w:rsid w:val="00CC4897"/>
    <w:rsid w:val="00D202A4"/>
    <w:rsid w:val="00D91669"/>
    <w:rsid w:val="00DD52D6"/>
    <w:rsid w:val="00DF097A"/>
    <w:rsid w:val="00DF0A4E"/>
    <w:rsid w:val="00DF53A8"/>
    <w:rsid w:val="00E039BF"/>
    <w:rsid w:val="00E11822"/>
    <w:rsid w:val="00E16C10"/>
    <w:rsid w:val="00E21786"/>
    <w:rsid w:val="00E653E8"/>
    <w:rsid w:val="00E73B02"/>
    <w:rsid w:val="00E74BF3"/>
    <w:rsid w:val="00EF3610"/>
    <w:rsid w:val="00F177A4"/>
    <w:rsid w:val="00F34246"/>
    <w:rsid w:val="00F97E29"/>
    <w:rsid w:val="00FA69B2"/>
    <w:rsid w:val="00FB1507"/>
    <w:rsid w:val="00FB3609"/>
    <w:rsid w:val="00FF5F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5A5A63"/>
  <w15:chartTrackingRefBased/>
  <w15:docId w15:val="{65C8614D-FCF7-4D92-810A-DFBE38D0B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pPr>
      <w:tabs>
        <w:tab w:val="right" w:pos="9639"/>
      </w:tabs>
    </w:pPr>
    <w:rPr>
      <w:sz w:val="22"/>
    </w:rPr>
  </w:style>
  <w:style w:type="character" w:styleId="FootnoteReference">
    <w:name w:val="footnote reference"/>
    <w:uiPriority w:val="99"/>
    <w:rPr>
      <w:b w:val="0"/>
      <w:vertAlign w:val="superscript"/>
    </w:rPr>
  </w:style>
  <w:style w:type="paragraph" w:styleId="FootnoteText">
    <w:name w:val="footnote text"/>
    <w:basedOn w:val="Normal"/>
    <w:link w:val="FootnoteTextChar"/>
    <w:uiPriority w:val="99"/>
    <w:pPr>
      <w:keepLines/>
      <w:spacing w:line="260" w:lineRule="exact"/>
      <w:ind w:left="425" w:hanging="425"/>
    </w:pPr>
    <w:rPr>
      <w:sz w:val="22"/>
    </w:rPr>
  </w:style>
  <w:style w:type="paragraph" w:styleId="Header">
    <w:name w:val="header"/>
    <w:basedOn w:val="Normal"/>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paragraph" w:customStyle="1" w:styleId="NormalHanging12a">
    <w:name w:val="NormalHanging12a"/>
    <w:basedOn w:val="Normal"/>
    <w:rsid w:val="001D2CEA"/>
    <w:pPr>
      <w:widowControl w:val="0"/>
      <w:spacing w:after="240"/>
      <w:ind w:left="567" w:hanging="567"/>
    </w:pPr>
    <w:rPr>
      <w:lang w:val="sk-SK"/>
    </w:rPr>
  </w:style>
  <w:style w:type="paragraph" w:customStyle="1" w:styleId="Institutionquiagit">
    <w:name w:val="Institution qui agit"/>
    <w:basedOn w:val="Normal"/>
    <w:next w:val="Normal"/>
    <w:rsid w:val="001D2CEA"/>
    <w:pPr>
      <w:keepNext/>
      <w:spacing w:before="600" w:after="120"/>
      <w:jc w:val="both"/>
    </w:pPr>
    <w:rPr>
      <w:szCs w:val="24"/>
      <w:lang w:val="en-GB"/>
    </w:rPr>
  </w:style>
  <w:style w:type="character" w:customStyle="1" w:styleId="FootnoteTextChar">
    <w:name w:val="Footnote Text Char"/>
    <w:link w:val="FootnoteText"/>
    <w:uiPriority w:val="99"/>
    <w:rsid w:val="001D2CEA"/>
    <w:rPr>
      <w:sz w:val="22"/>
      <w:lang w:val="fr-FR"/>
    </w:rPr>
  </w:style>
  <w:style w:type="paragraph" w:styleId="Revision">
    <w:name w:val="Revision"/>
    <w:hidden/>
    <w:uiPriority w:val="99"/>
    <w:semiHidden/>
    <w:rsid w:val="00E653E8"/>
    <w:rPr>
      <w:sz w:val="24"/>
      <w:lang w:val="fr-FR"/>
    </w:rPr>
  </w:style>
  <w:style w:type="character" w:styleId="Hyperlink">
    <w:name w:val="Hyperlink"/>
    <w:basedOn w:val="DefaultParagraphFont"/>
    <w:rsid w:val="004A331C"/>
    <w:rPr>
      <w:color w:val="0563C1" w:themeColor="hyperlink"/>
      <w:u w:val="single"/>
    </w:rPr>
  </w:style>
  <w:style w:type="character" w:styleId="UnresolvedMention">
    <w:name w:val="Unresolved Mention"/>
    <w:basedOn w:val="DefaultParagraphFont"/>
    <w:uiPriority w:val="99"/>
    <w:semiHidden/>
    <w:unhideWhenUsed/>
    <w:rsid w:val="004A331C"/>
    <w:rPr>
      <w:color w:val="605E5C"/>
      <w:shd w:val="clear" w:color="auto" w:fill="E1DFDD"/>
    </w:rPr>
  </w:style>
  <w:style w:type="paragraph" w:customStyle="1" w:styleId="EPFooter2">
    <w:name w:val="EPFooter2"/>
    <w:basedOn w:val="Normal"/>
    <w:next w:val="Normal"/>
    <w:rsid w:val="004A710E"/>
    <w:pPr>
      <w:tabs>
        <w:tab w:val="center" w:pos="4535"/>
        <w:tab w:val="right" w:pos="9921"/>
      </w:tabs>
      <w:ind w:left="-851" w:right="-851"/>
    </w:pPr>
    <w:rPr>
      <w:rFonts w:ascii="Arial" w:hAnsi="Arial" w:cs="Arial"/>
      <w:b/>
      <w:sz w:val="48"/>
      <w:lang w:val="sk-SK"/>
    </w:rPr>
  </w:style>
  <w:style w:type="paragraph" w:customStyle="1" w:styleId="EPFooter">
    <w:name w:val="EPFooter"/>
    <w:basedOn w:val="Normal"/>
    <w:rsid w:val="004A710E"/>
    <w:pPr>
      <w:widowControl w:val="0"/>
      <w:tabs>
        <w:tab w:val="center" w:pos="4535"/>
        <w:tab w:val="right" w:pos="9071"/>
      </w:tabs>
      <w:spacing w:before="240" w:after="240"/>
    </w:pPr>
    <w:rPr>
      <w:sz w:val="22"/>
      <w:lang w:val="sk-SK"/>
    </w:rPr>
  </w:style>
  <w:style w:type="character" w:customStyle="1" w:styleId="Hyperlink1">
    <w:name w:val="Hyperlink1"/>
    <w:basedOn w:val="DefaultParagraphFont"/>
    <w:uiPriority w:val="99"/>
    <w:unhideWhenUsed/>
    <w:rsid w:val="004A710E"/>
    <w:rPr>
      <w:color w:val="0563C1"/>
      <w:u w:val="single"/>
    </w:rPr>
  </w:style>
  <w:style w:type="table" w:customStyle="1" w:styleId="TableGrid2">
    <w:name w:val="Table Grid2"/>
    <w:basedOn w:val="TableNormal"/>
    <w:next w:val="TableGrid"/>
    <w:uiPriority w:val="59"/>
    <w:rsid w:val="00A01E0F"/>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A01E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trtEEE">
    <w:name w:val="Intérêt EEE"/>
    <w:basedOn w:val="Normal"/>
    <w:next w:val="Normal"/>
    <w:rsid w:val="00DD52D6"/>
    <w:pPr>
      <w:spacing w:before="360"/>
      <w:jc w:val="center"/>
    </w:pPr>
    <w:rPr>
      <w:rFonts w:eastAsiaTheme="minorHAnsi"/>
      <w:szCs w:val="22"/>
      <w:lang w:val="sk-SK" w:eastAsia="en-US"/>
    </w:rPr>
  </w:style>
  <w:style w:type="table" w:customStyle="1" w:styleId="TableGrid1">
    <w:name w:val="Table Grid1"/>
    <w:basedOn w:val="TableNormal"/>
    <w:next w:val="TableGrid"/>
    <w:rsid w:val="00BE6341"/>
    <w:pPr>
      <w:spacing w:before="120" w:after="120"/>
      <w:jc w:val="both"/>
    </w:pPr>
    <w:rPr>
      <w:lang w:val="en-US"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uiPriority w:val="39"/>
    <w:rsid w:val="00BE6341"/>
    <w:rPr>
      <w:rFonts w:ascii="Calibri" w:eastAsia="Calibri" w:hAnsi="Calibri"/>
      <w:kern w:val="2"/>
      <w:sz w:val="24"/>
      <w:szCs w:val="24"/>
      <w:lang w:val="sk-SK" w:eastAsia="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uiPriority w:val="39"/>
    <w:rsid w:val="00BE6341"/>
    <w:rPr>
      <w:rFonts w:ascii="Calibri" w:eastAsia="Calibri" w:hAnsi="Calibri"/>
      <w:kern w:val="2"/>
      <w:sz w:val="24"/>
      <w:szCs w:val="24"/>
      <w:lang w:val="sk-SK" w:eastAsia="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779241">
      <w:bodyDiv w:val="1"/>
      <w:marLeft w:val="0"/>
      <w:marRight w:val="0"/>
      <w:marTop w:val="0"/>
      <w:marBottom w:val="0"/>
      <w:divBdr>
        <w:top w:val="none" w:sz="0" w:space="0" w:color="auto"/>
        <w:left w:val="none" w:sz="0" w:space="0" w:color="auto"/>
        <w:bottom w:val="none" w:sz="0" w:space="0" w:color="auto"/>
        <w:right w:val="none" w:sz="0" w:space="0" w:color="auto"/>
      </w:divBdr>
    </w:div>
    <w:div w:id="151989307">
      <w:bodyDiv w:val="1"/>
      <w:marLeft w:val="0"/>
      <w:marRight w:val="0"/>
      <w:marTop w:val="0"/>
      <w:marBottom w:val="0"/>
      <w:divBdr>
        <w:top w:val="none" w:sz="0" w:space="0" w:color="auto"/>
        <w:left w:val="none" w:sz="0" w:space="0" w:color="auto"/>
        <w:bottom w:val="none" w:sz="0" w:space="0" w:color="auto"/>
        <w:right w:val="none" w:sz="0" w:space="0" w:color="auto"/>
      </w:divBdr>
    </w:div>
    <w:div w:id="339360662">
      <w:bodyDiv w:val="1"/>
      <w:marLeft w:val="0"/>
      <w:marRight w:val="0"/>
      <w:marTop w:val="0"/>
      <w:marBottom w:val="0"/>
      <w:divBdr>
        <w:top w:val="none" w:sz="0" w:space="0" w:color="auto"/>
        <w:left w:val="none" w:sz="0" w:space="0" w:color="auto"/>
        <w:bottom w:val="none" w:sz="0" w:space="0" w:color="auto"/>
        <w:right w:val="none" w:sz="0" w:space="0" w:color="auto"/>
      </w:divBdr>
    </w:div>
    <w:div w:id="821166735">
      <w:bodyDiv w:val="1"/>
      <w:marLeft w:val="0"/>
      <w:marRight w:val="0"/>
      <w:marTop w:val="0"/>
      <w:marBottom w:val="0"/>
      <w:divBdr>
        <w:top w:val="none" w:sz="0" w:space="0" w:color="auto"/>
        <w:left w:val="none" w:sz="0" w:space="0" w:color="auto"/>
        <w:bottom w:val="none" w:sz="0" w:space="0" w:color="auto"/>
        <w:right w:val="none" w:sz="0" w:space="0" w:color="auto"/>
      </w:divBdr>
    </w:div>
    <w:div w:id="993529404">
      <w:bodyDiv w:val="1"/>
      <w:marLeft w:val="0"/>
      <w:marRight w:val="0"/>
      <w:marTop w:val="0"/>
      <w:marBottom w:val="0"/>
      <w:divBdr>
        <w:top w:val="none" w:sz="0" w:space="0" w:color="auto"/>
        <w:left w:val="none" w:sz="0" w:space="0" w:color="auto"/>
        <w:bottom w:val="none" w:sz="0" w:space="0" w:color="auto"/>
        <w:right w:val="none" w:sz="0" w:space="0" w:color="auto"/>
      </w:divBdr>
    </w:div>
    <w:div w:id="1200977398">
      <w:bodyDiv w:val="1"/>
      <w:marLeft w:val="0"/>
      <w:marRight w:val="0"/>
      <w:marTop w:val="0"/>
      <w:marBottom w:val="0"/>
      <w:divBdr>
        <w:top w:val="none" w:sz="0" w:space="0" w:color="auto"/>
        <w:left w:val="none" w:sz="0" w:space="0" w:color="auto"/>
        <w:bottom w:val="none" w:sz="0" w:space="0" w:color="auto"/>
        <w:right w:val="none" w:sz="0" w:space="0" w:color="auto"/>
      </w:divBdr>
    </w:div>
    <w:div w:id="1263609084">
      <w:bodyDiv w:val="1"/>
      <w:marLeft w:val="0"/>
      <w:marRight w:val="0"/>
      <w:marTop w:val="0"/>
      <w:marBottom w:val="0"/>
      <w:divBdr>
        <w:top w:val="none" w:sz="0" w:space="0" w:color="auto"/>
        <w:left w:val="none" w:sz="0" w:space="0" w:color="auto"/>
        <w:bottom w:val="none" w:sz="0" w:space="0" w:color="auto"/>
        <w:right w:val="none" w:sz="0" w:space="0" w:color="auto"/>
      </w:divBdr>
    </w:div>
    <w:div w:id="1497263435">
      <w:bodyDiv w:val="1"/>
      <w:marLeft w:val="0"/>
      <w:marRight w:val="0"/>
      <w:marTop w:val="0"/>
      <w:marBottom w:val="0"/>
      <w:divBdr>
        <w:top w:val="none" w:sz="0" w:space="0" w:color="auto"/>
        <w:left w:val="none" w:sz="0" w:space="0" w:color="auto"/>
        <w:bottom w:val="none" w:sz="0" w:space="0" w:color="auto"/>
        <w:right w:val="none" w:sz="0" w:space="0" w:color="auto"/>
      </w:divBdr>
    </w:div>
    <w:div w:id="1713728013">
      <w:bodyDiv w:val="1"/>
      <w:marLeft w:val="0"/>
      <w:marRight w:val="0"/>
      <w:marTop w:val="0"/>
      <w:marBottom w:val="0"/>
      <w:divBdr>
        <w:top w:val="none" w:sz="0" w:space="0" w:color="auto"/>
        <w:left w:val="none" w:sz="0" w:space="0" w:color="auto"/>
        <w:bottom w:val="none" w:sz="0" w:space="0" w:color="auto"/>
        <w:right w:val="none" w:sz="0" w:space="0" w:color="auto"/>
      </w:divBdr>
    </w:div>
    <w:div w:id="1762525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4/2509/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9F885B-6A96-41F8-A793-CC19C50C50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1</TotalTime>
  <Pages>29</Pages>
  <Words>4196</Words>
  <Characters>23910</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28050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SOLTYSOVA Zuzana</dc:creator>
  <cp:keywords/>
  <cp:lastModifiedBy>SUCHANOVA Monika</cp:lastModifiedBy>
  <cp:revision>2</cp:revision>
  <cp:lastPrinted>2014-08-07T13:15:00Z</cp:lastPrinted>
  <dcterms:created xsi:type="dcterms:W3CDTF">2026-07-07T09:26:00Z</dcterms:created>
  <dcterms:modified xsi:type="dcterms:W3CDTF">2026-07-07T09:26:00Z</dcterms:modified>
</cp:coreProperties>
</file>