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6A60" w14:paraId="48F084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FE8B88" w14:textId="77777777" w:rsidR="00751A4A" w:rsidRPr="004E6A60" w:rsidRDefault="004921D4" w:rsidP="0010095E">
            <w:pPr>
              <w:pStyle w:val="EPName"/>
            </w:pPr>
            <w:r w:rsidRPr="004E6A60">
              <w:t>Evropský parlament</w:t>
            </w:r>
          </w:p>
          <w:p w14:paraId="323BA232" w14:textId="77777777" w:rsidR="00751A4A" w:rsidRPr="004E6A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6A60">
              <w:t>2024</w:t>
            </w:r>
            <w:r w:rsidR="00817416" w:rsidRPr="004E6A60">
              <w:t>-202</w:t>
            </w:r>
            <w:r w:rsidRPr="004E6A60">
              <w:t>9</w:t>
            </w:r>
          </w:p>
        </w:tc>
        <w:tc>
          <w:tcPr>
            <w:tcW w:w="2268" w:type="dxa"/>
            <w:shd w:val="clear" w:color="auto" w:fill="auto"/>
          </w:tcPr>
          <w:p w14:paraId="34CA1E13" w14:textId="77777777" w:rsidR="00751A4A" w:rsidRPr="004E6A60" w:rsidRDefault="00187494" w:rsidP="0010095E">
            <w:pPr>
              <w:pStyle w:val="EPLogo"/>
            </w:pPr>
            <w:r w:rsidRPr="004E6A60">
              <w:rPr>
                <w:noProof/>
                <w:lang w:eastAsia="ja-JP"/>
              </w:rPr>
              <w:drawing>
                <wp:inline distT="0" distB="0" distL="0" distR="0" wp14:anchorId="412E87CB" wp14:editId="311C50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1585BE" w14:textId="77777777" w:rsidR="00D058B8" w:rsidRPr="004E6A60" w:rsidRDefault="00D058B8" w:rsidP="004C5D52">
      <w:pPr>
        <w:pStyle w:val="LineTop"/>
      </w:pPr>
    </w:p>
    <w:p w14:paraId="2AB8A7AF" w14:textId="77777777" w:rsidR="00680577" w:rsidRPr="004E6A60" w:rsidRDefault="004921D4" w:rsidP="00680577">
      <w:pPr>
        <w:pStyle w:val="EPBodyTA1"/>
      </w:pPr>
      <w:r w:rsidRPr="004E6A60">
        <w:t>PŘIJATÉ TEXTY</w:t>
      </w:r>
    </w:p>
    <w:p w14:paraId="0905C05D" w14:textId="77777777" w:rsidR="00D058B8" w:rsidRPr="004E6A60" w:rsidRDefault="00D058B8" w:rsidP="00D058B8">
      <w:pPr>
        <w:pStyle w:val="LineBottom"/>
      </w:pPr>
    </w:p>
    <w:p w14:paraId="3CB176D1" w14:textId="17D28037" w:rsidR="004921D4" w:rsidRPr="009F228E" w:rsidRDefault="004921D4" w:rsidP="004921D4">
      <w:pPr>
        <w:pStyle w:val="ATHeading1"/>
      </w:pPr>
      <w:bookmarkStart w:id="0" w:name="TANumber"/>
      <w:r w:rsidRPr="009F228E">
        <w:t>P10_TA(2026)0</w:t>
      </w:r>
      <w:r w:rsidR="00B41526">
        <w:t>241</w:t>
      </w:r>
      <w:bookmarkEnd w:id="0"/>
    </w:p>
    <w:p w14:paraId="7F281141" w14:textId="26859886" w:rsidR="004921D4" w:rsidRPr="009F228E" w:rsidRDefault="008B0037" w:rsidP="004921D4">
      <w:pPr>
        <w:pStyle w:val="ATHeading2"/>
      </w:pPr>
      <w:bookmarkStart w:id="1" w:name="title"/>
      <w:r>
        <w:t>Provozování m</w:t>
      </w:r>
      <w:r w:rsidR="004921D4" w:rsidRPr="009F228E">
        <w:t>ezinárodní osobní silniční autokarov</w:t>
      </w:r>
      <w:r>
        <w:t>é</w:t>
      </w:r>
      <w:r w:rsidR="004921D4" w:rsidRPr="009F228E">
        <w:t xml:space="preserve"> a autobusov</w:t>
      </w:r>
      <w:r>
        <w:t>é</w:t>
      </w:r>
      <w:r w:rsidR="004921D4" w:rsidRPr="009F228E">
        <w:t xml:space="preserve"> doprav</w:t>
      </w:r>
      <w:r>
        <w:t>y</w:t>
      </w:r>
      <w:r w:rsidR="004921D4" w:rsidRPr="009F228E">
        <w:t xml:space="preserve"> v příhraničních oblastech: kabotáž mezi Rakouskem a Švýcarskem</w:t>
      </w:r>
      <w:bookmarkEnd w:id="1"/>
    </w:p>
    <w:p w14:paraId="3F2AE8F1" w14:textId="77777777" w:rsidR="004921D4" w:rsidRPr="004E6A60" w:rsidRDefault="004921D4" w:rsidP="004921D4">
      <w:pPr>
        <w:rPr>
          <w:i/>
          <w:vanish/>
        </w:rPr>
      </w:pPr>
      <w:r w:rsidRPr="004E6A60">
        <w:rPr>
          <w:i/>
        </w:rPr>
        <w:fldChar w:fldCharType="begin"/>
      </w:r>
      <w:r w:rsidRPr="004E6A60">
        <w:rPr>
          <w:i/>
        </w:rPr>
        <w:instrText xml:space="preserve"> TC"(</w:instrText>
      </w:r>
      <w:bookmarkStart w:id="2" w:name="DocNumber"/>
      <w:r w:rsidRPr="004E6A60">
        <w:rPr>
          <w:i/>
        </w:rPr>
        <w:instrText>A10-0174/2026</w:instrText>
      </w:r>
      <w:bookmarkEnd w:id="2"/>
      <w:r w:rsidRPr="004E6A60">
        <w:rPr>
          <w:i/>
        </w:rPr>
        <w:instrText xml:space="preserve"> - Zpravodajka: Elissavet Vozemberg-Vrionidi)"\l3 \n&gt; \* MERGEFORMAT </w:instrText>
      </w:r>
      <w:r w:rsidRPr="004E6A60">
        <w:rPr>
          <w:i/>
        </w:rPr>
        <w:fldChar w:fldCharType="end"/>
      </w:r>
    </w:p>
    <w:p w14:paraId="6C3748FA" w14:textId="77777777" w:rsidR="004921D4" w:rsidRPr="004E6A60" w:rsidRDefault="004921D4" w:rsidP="004921D4">
      <w:pPr>
        <w:rPr>
          <w:vanish/>
        </w:rPr>
      </w:pPr>
      <w:bookmarkStart w:id="3" w:name="Commission"/>
      <w:r w:rsidRPr="004E6A60">
        <w:rPr>
          <w:vanish/>
        </w:rPr>
        <w:t>Výbor pro dopravu a cestovní ruch</w:t>
      </w:r>
      <w:bookmarkEnd w:id="3"/>
    </w:p>
    <w:p w14:paraId="1FF7A073" w14:textId="77777777" w:rsidR="004921D4" w:rsidRPr="004E6A60" w:rsidRDefault="004921D4" w:rsidP="004921D4">
      <w:pPr>
        <w:rPr>
          <w:vanish/>
        </w:rPr>
      </w:pPr>
      <w:bookmarkStart w:id="4" w:name="PE"/>
      <w:r w:rsidRPr="004E6A60">
        <w:rPr>
          <w:vanish/>
        </w:rPr>
        <w:t>PE785.404</w:t>
      </w:r>
      <w:bookmarkEnd w:id="4"/>
    </w:p>
    <w:p w14:paraId="79D3188A" w14:textId="77777777" w:rsidR="004921D4" w:rsidRPr="009F228E" w:rsidRDefault="004921D4" w:rsidP="004921D4">
      <w:pPr>
        <w:pStyle w:val="ATHeading3"/>
      </w:pPr>
      <w:bookmarkStart w:id="5" w:name="Sujet"/>
      <w:r w:rsidRPr="009F228E">
        <w:t>Legislativní usnesení Evropského parlamentu ze dne 7. července 2026 o návrhu rozhodnutí Evropského parlamentu a Rady, kterým se Rakousko zmocňuje ke změně své stávající dvoustranné dohody o silniční dopravě se Švýcarskem za účelem povolení kabotáže v rámci provozování mezinárodní osobní silniční autokarové a autobusové dopravy v příhraničních oblastech mezi oběma zeměmi</w:t>
      </w:r>
      <w:bookmarkEnd w:id="5"/>
      <w:r w:rsidRPr="009F228E">
        <w:t xml:space="preserve"> </w:t>
      </w:r>
      <w:bookmarkStart w:id="6" w:name="References"/>
      <w:r w:rsidRPr="009F228E">
        <w:t>(</w:t>
      </w:r>
      <w:proofErr w:type="gramStart"/>
      <w:r w:rsidRPr="009F228E">
        <w:t>COM(</w:t>
      </w:r>
      <w:proofErr w:type="gramEnd"/>
      <w:r w:rsidRPr="009F228E">
        <w:t>2025)0773 – C10-0367/2025 – 2025/0407(COD))</w:t>
      </w:r>
      <w:bookmarkEnd w:id="6"/>
    </w:p>
    <w:p w14:paraId="68069925" w14:textId="77777777" w:rsidR="005C3D10" w:rsidRPr="004E6A60" w:rsidRDefault="005C3D10" w:rsidP="005C3D10">
      <w:pPr>
        <w:pStyle w:val="NormalBold"/>
      </w:pPr>
      <w:r w:rsidRPr="004E6A60">
        <w:t>(Řádný legislativní postup: první čtení)</w:t>
      </w:r>
    </w:p>
    <w:p w14:paraId="602E21C4" w14:textId="77777777" w:rsidR="005C3D10" w:rsidRPr="004E6A60" w:rsidRDefault="005C3D10" w:rsidP="005C3D10">
      <w:pPr>
        <w:pStyle w:val="EPComma"/>
      </w:pPr>
      <w:r w:rsidRPr="004E6A60">
        <w:rPr>
          <w:i/>
        </w:rPr>
        <w:t>Evropský parlament</w:t>
      </w:r>
      <w:r w:rsidRPr="004E6A60">
        <w:t>,</w:t>
      </w:r>
    </w:p>
    <w:p w14:paraId="64D249AC" w14:textId="77777777" w:rsidR="005C3D10" w:rsidRPr="004E6A60" w:rsidRDefault="005C3D10" w:rsidP="005C3D10">
      <w:pPr>
        <w:pStyle w:val="NormalHanging12a"/>
      </w:pPr>
      <w:r w:rsidRPr="004E6A60">
        <w:t>–</w:t>
      </w:r>
      <w:r w:rsidRPr="004E6A60">
        <w:tab/>
        <w:t>s ohledem na návrh Komise předložený Evropskému parlamentu a Radě (</w:t>
      </w:r>
      <w:proofErr w:type="gramStart"/>
      <w:r w:rsidRPr="004E6A60">
        <w:t>COM(</w:t>
      </w:r>
      <w:proofErr w:type="gramEnd"/>
      <w:r w:rsidRPr="004E6A60">
        <w:t>2025)0773),</w:t>
      </w:r>
    </w:p>
    <w:p w14:paraId="726133C8" w14:textId="7D4C53D1" w:rsidR="005C3D10" w:rsidRPr="004E6A60" w:rsidRDefault="005C3D10" w:rsidP="005C3D10">
      <w:pPr>
        <w:pStyle w:val="NormalHanging12a"/>
      </w:pPr>
      <w:r w:rsidRPr="004E6A60">
        <w:t>–</w:t>
      </w:r>
      <w:r w:rsidRPr="004E6A60">
        <w:tab/>
        <w:t>s ohledem na čl. 294 odst. 2 a články 2 odst. 1 a 91 Smlouvy o fungování Evropské unie, v </w:t>
      </w:r>
      <w:proofErr w:type="gramStart"/>
      <w:r w:rsidRPr="004E6A60">
        <w:t>souladu</w:t>
      </w:r>
      <w:proofErr w:type="gramEnd"/>
      <w:r w:rsidRPr="004E6A60">
        <w:t xml:space="preserve"> s</w:t>
      </w:r>
      <w:r w:rsidR="00C65786">
        <w:t>e</w:t>
      </w:r>
      <w:r w:rsidRPr="004E6A60">
        <w:t> </w:t>
      </w:r>
      <w:r w:rsidR="00C65786">
        <w:t>kterými</w:t>
      </w:r>
      <w:r w:rsidRPr="004E6A60">
        <w:t xml:space="preserve"> Komise předložila svůj návrh Parlamentu (C10</w:t>
      </w:r>
      <w:r w:rsidRPr="004E6A60">
        <w:noBreakHyphen/>
        <w:t>0367/2025),</w:t>
      </w:r>
    </w:p>
    <w:p w14:paraId="160C79DE" w14:textId="77777777" w:rsidR="005C3D10" w:rsidRDefault="005C3D10" w:rsidP="005C3D10">
      <w:pPr>
        <w:pStyle w:val="NormalHanging12a"/>
      </w:pPr>
      <w:r w:rsidRPr="004E6A60">
        <w:t>–</w:t>
      </w:r>
      <w:r w:rsidRPr="004E6A60">
        <w:tab/>
        <w:t>s ohledem na čl. 294 odst. 3 Smlouvy o fungování Evropské unie,</w:t>
      </w:r>
    </w:p>
    <w:p w14:paraId="0CE0461C" w14:textId="3FB22767" w:rsidR="009149CD" w:rsidRPr="004E6A60" w:rsidRDefault="009149CD" w:rsidP="009F228E">
      <w:pPr>
        <w:pStyle w:val="NormalHanging12a"/>
        <w:numPr>
          <w:ilvl w:val="0"/>
          <w:numId w:val="45"/>
        </w:numPr>
        <w:ind w:left="567" w:hanging="567"/>
      </w:pPr>
      <w:r w:rsidRPr="009149CD">
        <w:t xml:space="preserve">s ohledem na to, že se zástupce Rady dopisem ze dne </w:t>
      </w:r>
      <w:r>
        <w:t>1</w:t>
      </w:r>
      <w:r w:rsidRPr="009149CD">
        <w:t>0. června 202</w:t>
      </w:r>
      <w:r>
        <w:t>6</w:t>
      </w:r>
      <w:r w:rsidRPr="009149CD">
        <w:t xml:space="preserve"> zavázal schválit postoj Parlamentu v souladu s čl. 294 odst. 4 Smlouvy o fungování Evropské unie,</w:t>
      </w:r>
    </w:p>
    <w:p w14:paraId="77ABF703" w14:textId="77777777" w:rsidR="005C3D10" w:rsidRPr="004E6A60" w:rsidRDefault="005C3D10" w:rsidP="005C3D10">
      <w:pPr>
        <w:pStyle w:val="NormalHanging12a"/>
      </w:pPr>
      <w:r w:rsidRPr="004E6A60">
        <w:t>–</w:t>
      </w:r>
      <w:r w:rsidRPr="004E6A60">
        <w:tab/>
        <w:t>s ohledem na stanovisko Výboru pro právní záležitosti k navrženému právnímu základu,</w:t>
      </w:r>
    </w:p>
    <w:p w14:paraId="1B30253A" w14:textId="0740B7B1" w:rsidR="005C3D10" w:rsidRPr="004E6A60" w:rsidRDefault="005C3D10" w:rsidP="005C3D10">
      <w:pPr>
        <w:pStyle w:val="NormalHanging12a"/>
      </w:pPr>
      <w:r w:rsidRPr="004E6A60">
        <w:t>–</w:t>
      </w:r>
      <w:r w:rsidRPr="004E6A60">
        <w:tab/>
        <w:t>s ohledem na stanovisko Evropského hospodářského a sociálního výboru ze dne 21.</w:t>
      </w:r>
      <w:r w:rsidR="00575EBB" w:rsidRPr="004E6A60">
        <w:t> </w:t>
      </w:r>
      <w:r w:rsidRPr="004E6A60">
        <w:t>ledna 2026</w:t>
      </w:r>
      <w:r w:rsidRPr="004E6A60">
        <w:rPr>
          <w:vertAlign w:val="superscript"/>
        </w:rPr>
        <w:footnoteReference w:id="1"/>
      </w:r>
      <w:r w:rsidRPr="004E6A60">
        <w:t>,</w:t>
      </w:r>
    </w:p>
    <w:p w14:paraId="2110F4B8" w14:textId="77777777" w:rsidR="005C3D10" w:rsidRPr="004E6A60" w:rsidRDefault="005C3D10" w:rsidP="005C3D10">
      <w:pPr>
        <w:pStyle w:val="NormalHanging12a"/>
      </w:pPr>
      <w:r w:rsidRPr="004E6A60">
        <w:t>–</w:t>
      </w:r>
      <w:r w:rsidRPr="004E6A60">
        <w:tab/>
        <w:t>po konzultaci s Výborem regionů,</w:t>
      </w:r>
    </w:p>
    <w:p w14:paraId="2288F7BC" w14:textId="77777777" w:rsidR="005C3D10" w:rsidRPr="004E6A60" w:rsidRDefault="005C3D10" w:rsidP="005C3D10">
      <w:pPr>
        <w:pStyle w:val="NormalHanging12a"/>
      </w:pPr>
      <w:r w:rsidRPr="004E6A60">
        <w:t>–</w:t>
      </w:r>
      <w:r w:rsidRPr="004E6A60">
        <w:tab/>
        <w:t>s ohledem na články 60 a 41 jednacího řádu,</w:t>
      </w:r>
    </w:p>
    <w:p w14:paraId="7B94A64F" w14:textId="77777777" w:rsidR="005C3D10" w:rsidRPr="004E6A60" w:rsidRDefault="005C3D10" w:rsidP="005C3D10">
      <w:pPr>
        <w:pStyle w:val="NormalHanging12a"/>
      </w:pPr>
      <w:r w:rsidRPr="004E6A60">
        <w:lastRenderedPageBreak/>
        <w:t>–</w:t>
      </w:r>
      <w:r w:rsidRPr="004E6A60">
        <w:tab/>
        <w:t>s ohledem na zprávu Výboru pro dopravu a cestovní ruch (A10</w:t>
      </w:r>
      <w:r w:rsidRPr="004E6A60">
        <w:noBreakHyphen/>
        <w:t>0174/2026),</w:t>
      </w:r>
    </w:p>
    <w:p w14:paraId="10BD1BB0" w14:textId="77777777" w:rsidR="005C3D10" w:rsidRPr="004E6A60" w:rsidRDefault="005C3D10" w:rsidP="005C3D10">
      <w:pPr>
        <w:pStyle w:val="NormalHanging12a"/>
      </w:pPr>
      <w:r w:rsidRPr="004E6A60">
        <w:t>1.</w:t>
      </w:r>
      <w:r w:rsidRPr="004E6A60">
        <w:tab/>
        <w:t>přijímá níže uvedený postoj v prvním čtení;</w:t>
      </w:r>
    </w:p>
    <w:p w14:paraId="41DBF37F" w14:textId="77777777" w:rsidR="005C3D10" w:rsidRPr="004E6A60" w:rsidRDefault="005C3D10" w:rsidP="005C3D10">
      <w:pPr>
        <w:pStyle w:val="NormalHanging12a"/>
      </w:pPr>
      <w:r w:rsidRPr="004E6A60">
        <w:t>2.</w:t>
      </w:r>
      <w:r w:rsidRPr="004E6A60">
        <w:tab/>
        <w:t>pověřuje svou předsedkyni, aby předala postoj Parlamentu Radě a Komisi, jakož i vnitrostátním parlamentům.</w:t>
      </w:r>
    </w:p>
    <w:p w14:paraId="00E70B10" w14:textId="77777777" w:rsidR="001C5813" w:rsidRDefault="001C5813" w:rsidP="005C3D10">
      <w:pPr>
        <w:sectPr w:rsidR="001C5813" w:rsidSect="00A712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562EE2" w14:textId="77777777" w:rsidR="001C5813" w:rsidRPr="00BA3700" w:rsidRDefault="001C5813" w:rsidP="001C581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A3700">
        <w:rPr>
          <w:rFonts w:eastAsia="Calibri"/>
          <w:b/>
          <w:bCs/>
          <w:color w:val="000000"/>
          <w:szCs w:val="24"/>
        </w:rPr>
        <w:lastRenderedPageBreak/>
        <w:t>P</w:t>
      </w:r>
      <w:r>
        <w:rPr>
          <w:rFonts w:eastAsia="Calibri"/>
          <w:b/>
          <w:bCs/>
          <w:color w:val="000000"/>
          <w:szCs w:val="24"/>
        </w:rPr>
        <w:t>10</w:t>
      </w:r>
      <w:r w:rsidRPr="00BA3700">
        <w:rPr>
          <w:rFonts w:eastAsia="Calibri"/>
          <w:b/>
          <w:bCs/>
          <w:color w:val="000000"/>
          <w:szCs w:val="24"/>
        </w:rPr>
        <w:t>_TC1-</w:t>
      </w:r>
      <w:proofErr w:type="gramStart"/>
      <w:r w:rsidRPr="00BA370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BA370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BA370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407</w:t>
      </w:r>
    </w:p>
    <w:p w14:paraId="60ADF346" w14:textId="260AFC8A" w:rsidR="004A5367" w:rsidRPr="004A5367" w:rsidRDefault="001C5813" w:rsidP="004A5367">
      <w:pPr>
        <w:rPr>
          <w:rFonts w:eastAsia="Aptos"/>
          <w:b/>
          <w:bCs/>
          <w:szCs w:val="22"/>
          <w:lang w:eastAsia="en-US"/>
        </w:rPr>
      </w:pPr>
      <w:r w:rsidRPr="001C5813">
        <w:rPr>
          <w:rFonts w:eastAsia="Calibri"/>
          <w:b/>
          <w:bCs/>
          <w:szCs w:val="24"/>
        </w:rPr>
        <w:t xml:space="preserve">Postoj Evropského parlamentu přijatý v prvním čtení dne </w:t>
      </w:r>
      <w:r>
        <w:rPr>
          <w:rFonts w:eastAsia="Calibri"/>
          <w:b/>
          <w:bCs/>
          <w:szCs w:val="24"/>
        </w:rPr>
        <w:t>7. července</w:t>
      </w:r>
      <w:r w:rsidRPr="001C5813">
        <w:rPr>
          <w:rFonts w:eastAsia="Calibri"/>
          <w:b/>
          <w:bCs/>
          <w:szCs w:val="24"/>
        </w:rPr>
        <w:t xml:space="preserve"> 2026 k</w:t>
      </w:r>
      <w:r w:rsidR="004A5367">
        <w:rPr>
          <w:rFonts w:eastAsia="Calibri"/>
          <w:b/>
          <w:bCs/>
          <w:szCs w:val="24"/>
        </w:rPr>
        <w:t> </w:t>
      </w:r>
      <w:r w:rsidRPr="001C5813">
        <w:rPr>
          <w:rFonts w:eastAsia="Calibri"/>
          <w:b/>
          <w:bCs/>
          <w:szCs w:val="24"/>
        </w:rPr>
        <w:t>přijetí</w:t>
      </w:r>
      <w:r w:rsidR="004A5367">
        <w:rPr>
          <w:rFonts w:eastAsia="Calibri"/>
          <w:b/>
          <w:bCs/>
          <w:szCs w:val="24"/>
        </w:rPr>
        <w:t xml:space="preserve"> </w:t>
      </w:r>
      <w:r w:rsidR="004A5367" w:rsidRPr="004A5367">
        <w:rPr>
          <w:rFonts w:eastAsia="Aptos"/>
          <w:b/>
          <w:bCs/>
          <w:szCs w:val="22"/>
          <w:lang w:eastAsia="en-US"/>
        </w:rPr>
        <w:t>rozhodnutí</w:t>
      </w:r>
      <w:r w:rsidR="004A5367" w:rsidRPr="004A5367">
        <w:rPr>
          <w:rFonts w:eastAsia="Aptos"/>
          <w:noProof/>
          <w:szCs w:val="22"/>
          <w:lang w:eastAsia="en-US"/>
        </w:rPr>
        <w:t xml:space="preserve"> </w:t>
      </w:r>
      <w:r w:rsidR="004A5367" w:rsidRPr="004A5367">
        <w:rPr>
          <w:rFonts w:eastAsia="Aptos"/>
          <w:b/>
          <w:bCs/>
          <w:szCs w:val="22"/>
          <w:lang w:eastAsia="en-US"/>
        </w:rPr>
        <w:t>Evropského parlamentu a Rady (EU) 2026/…</w:t>
      </w:r>
      <w:r w:rsidR="004A5367">
        <w:rPr>
          <w:rFonts w:eastAsia="Aptos"/>
          <w:b/>
          <w:bCs/>
          <w:szCs w:val="22"/>
          <w:lang w:eastAsia="en-US"/>
        </w:rPr>
        <w:t xml:space="preserve">, </w:t>
      </w:r>
      <w:r w:rsidR="004A5367" w:rsidRPr="004A5367">
        <w:rPr>
          <w:rFonts w:eastAsia="Aptos"/>
          <w:b/>
          <w:bCs/>
          <w:szCs w:val="22"/>
          <w:lang w:eastAsia="en-US"/>
        </w:rPr>
        <w:t>kterým se Rakousko zmocňuje ke změně jeho dvoustranné dohody o silniční dopravě se Švýcarskem za účelem povolení kabotáže v rámci provozování mezinárodní osobní autokarové a autobusové dopravy v příhraničních oblastech mezi oběma zeměmi</w:t>
      </w:r>
    </w:p>
    <w:p w14:paraId="0C5AB234" w14:textId="77777777" w:rsidR="004A5367" w:rsidRPr="004A5367" w:rsidRDefault="004A5367" w:rsidP="004A5367">
      <w:pPr>
        <w:widowControl/>
        <w:spacing w:before="60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EVROPSKÝ PARLAMENT A RADA EVROPSKÉ UNIE,</w:t>
      </w:r>
    </w:p>
    <w:p w14:paraId="0E732C57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 xml:space="preserve">s ohledem na Smlouvu o fungování Evropské unie, a zejména na </w:t>
      </w:r>
      <w:r w:rsidRPr="004A5367">
        <w:rPr>
          <w:rFonts w:eastAsia="Aptos"/>
          <w:b/>
          <w:bCs/>
          <w:i/>
          <w:iCs/>
          <w:szCs w:val="22"/>
          <w:lang w:eastAsia="en-US"/>
        </w:rPr>
        <w:t>článek</w:t>
      </w:r>
      <w:r w:rsidRPr="004A5367">
        <w:rPr>
          <w:rFonts w:eastAsia="Aptos"/>
          <w:szCs w:val="22"/>
          <w:lang w:eastAsia="en-US"/>
        </w:rPr>
        <w:t xml:space="preserve"> 91 této smlouvy,</w:t>
      </w:r>
    </w:p>
    <w:p w14:paraId="7378C8F7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s ohledem na návrh Evropské komise,</w:t>
      </w:r>
    </w:p>
    <w:p w14:paraId="7BC290E1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po postoupení návrhu legislativního aktu vnitrostátním parlamentům,</w:t>
      </w:r>
    </w:p>
    <w:p w14:paraId="723D1054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s ohledem na stanovisko Evropského hospodářského a sociálního výboru</w:t>
      </w:r>
      <w:r w:rsidRPr="004A5367">
        <w:rPr>
          <w:rFonts w:eastAsia="Aptos"/>
          <w:szCs w:val="22"/>
          <w:vertAlign w:val="superscript"/>
          <w:lang w:eastAsia="en-US"/>
        </w:rPr>
        <w:footnoteReference w:id="2"/>
      </w:r>
      <w:r w:rsidRPr="004A5367">
        <w:rPr>
          <w:rFonts w:eastAsia="Aptos"/>
          <w:szCs w:val="22"/>
          <w:lang w:eastAsia="en-US"/>
        </w:rPr>
        <w:t>,</w:t>
      </w:r>
    </w:p>
    <w:p w14:paraId="2BA86BD1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po konzultaci s Výborem regionů,</w:t>
      </w:r>
    </w:p>
    <w:p w14:paraId="773CE9CB" w14:textId="77777777" w:rsidR="004A5367" w:rsidRPr="004A5367" w:rsidRDefault="004A5367" w:rsidP="004A5367">
      <w:pPr>
        <w:widowControl/>
        <w:spacing w:after="160" w:line="278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v souladu s řádným legislativním postupem</w:t>
      </w:r>
      <w:r w:rsidRPr="004A5367">
        <w:rPr>
          <w:rFonts w:eastAsia="Aptos"/>
          <w:szCs w:val="22"/>
          <w:vertAlign w:val="superscript"/>
          <w:lang w:eastAsia="en-US"/>
        </w:rPr>
        <w:footnoteReference w:id="3"/>
      </w:r>
      <w:r w:rsidRPr="004A5367">
        <w:rPr>
          <w:rFonts w:eastAsia="Aptos"/>
          <w:szCs w:val="22"/>
          <w:lang w:eastAsia="en-US"/>
        </w:rPr>
        <w:t>,</w:t>
      </w:r>
    </w:p>
    <w:p w14:paraId="76E20BC6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br w:type="page"/>
      </w:r>
    </w:p>
    <w:p w14:paraId="58EAB505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lastRenderedPageBreak/>
        <w:t xml:space="preserve">vzhledem k </w:t>
      </w:r>
      <w:r w:rsidRPr="004A5367">
        <w:rPr>
          <w:rFonts w:eastAsia="Aptos"/>
          <w:szCs w:val="22"/>
          <w:lang w:eastAsia="en-US"/>
        </w:rPr>
        <w:t>těmto</w:t>
      </w:r>
      <w:r w:rsidRPr="004A5367">
        <w:rPr>
          <w:rFonts w:eastAsia="Aptos"/>
          <w:noProof/>
          <w:szCs w:val="22"/>
          <w:lang w:eastAsia="en-US"/>
        </w:rPr>
        <w:t xml:space="preserve"> důvodům:</w:t>
      </w:r>
    </w:p>
    <w:p w14:paraId="3F2F7807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bookmarkStart w:id="7" w:name="_Hlk211264391"/>
      <w:r w:rsidRPr="004A5367">
        <w:rPr>
          <w:rFonts w:eastAsia="Aptos"/>
          <w:szCs w:val="22"/>
          <w:lang w:eastAsia="en-US"/>
        </w:rPr>
        <w:t>(1)</w:t>
      </w:r>
      <w:r w:rsidRPr="004A5367">
        <w:rPr>
          <w:rFonts w:eastAsia="Aptos"/>
          <w:szCs w:val="22"/>
          <w:lang w:eastAsia="en-US"/>
        </w:rPr>
        <w:tab/>
        <w:t>V souladu s čl. 20 odst. 1 Dohody mezi Evropským společenstvím a Švýcarskou konfederací o přepravě zboží a cestujících po železnici a silnici</w:t>
      </w:r>
      <w:r w:rsidRPr="004A5367">
        <w:rPr>
          <w:rFonts w:eastAsia="Aptos"/>
          <w:szCs w:val="22"/>
          <w:vertAlign w:val="superscript"/>
          <w:lang w:eastAsia="en-US"/>
        </w:rPr>
        <w:footnoteReference w:id="4"/>
      </w:r>
      <w:r w:rsidRPr="004A5367">
        <w:rPr>
          <w:rFonts w:eastAsia="Aptos"/>
          <w:szCs w:val="22"/>
          <w:lang w:eastAsia="en-US"/>
        </w:rPr>
        <w:t xml:space="preserve"> (dále jen „dohoda EU-Švýcarsko“) není povolena osobní autokarová a autobusová doprava mezi dvěma místy na území téže smluvní strany dohody EU-Švýcarsko provozovaná dopravci usazenými na území druhé smluvní strany, známá jako kabotáž.</w:t>
      </w:r>
    </w:p>
    <w:p w14:paraId="1B1C7E03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(2)</w:t>
      </w:r>
      <w:r w:rsidRPr="004A5367">
        <w:rPr>
          <w:rFonts w:eastAsia="Aptos"/>
          <w:szCs w:val="22"/>
          <w:lang w:eastAsia="en-US"/>
        </w:rPr>
        <w:tab/>
        <w:t>V souladu s čl. 20 odst. 2 dohody EU-Švýcarsko mohou být nadále uplatňována stávající práva kabotáže stanovená ve dvoustranných dohodách uzavřených mezi členskými státy a Švýcarskem, které byly platné při uzavření dohody EU-Švýcarsko dne 21. června 1999, pokud nezakládají diskriminaci mezi dopravci usazenými v Unii a nenarušují hospodářskou soutěž. Dvoustranná dohoda o silniční dopravě mezi Rakouskem a Švýcarskem ze dne 22. října 1958</w:t>
      </w:r>
      <w:r w:rsidRPr="004A5367">
        <w:rPr>
          <w:rFonts w:eastAsia="Aptos"/>
          <w:szCs w:val="22"/>
          <w:vertAlign w:val="superscript"/>
          <w:lang w:eastAsia="en-US"/>
        </w:rPr>
        <w:footnoteReference w:id="5"/>
      </w:r>
      <w:r w:rsidRPr="004A5367">
        <w:rPr>
          <w:rFonts w:eastAsia="Aptos"/>
          <w:szCs w:val="22"/>
          <w:lang w:eastAsia="en-US"/>
        </w:rPr>
        <w:t xml:space="preserve"> (dále jen „rakousko-švýcarská dohoda“) nepovoluje kabotáž během provozování mezinárodní osobní autokarové a autobusové dopravy mezi oběma zeměmi. Právo provádět ji proto nepatří mezi práva, na něž se vztahuje čl. 20 odst. 2 dohody EU-Švýcarsko.</w:t>
      </w:r>
    </w:p>
    <w:p w14:paraId="2F1AE7EC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br w:type="page"/>
      </w:r>
    </w:p>
    <w:p w14:paraId="3640105E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lastRenderedPageBreak/>
        <w:t>(3)</w:t>
      </w:r>
      <w:r w:rsidRPr="004A5367">
        <w:rPr>
          <w:rFonts w:eastAsia="Aptos"/>
          <w:noProof/>
          <w:szCs w:val="22"/>
          <w:lang w:eastAsia="en-US"/>
        </w:rPr>
        <w:tab/>
        <w:t>Mezinárodní závazky, které umožňují dopravcům usazeným ve Švýcarsku provádět kabotáž v Unii, se mohou dotýkat článku 20 dohody EU-Švýcarsko, neboť uvedený článek kabotáž nepovoluje.</w:t>
      </w:r>
    </w:p>
    <w:p w14:paraId="52C0B280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(4)</w:t>
      </w:r>
      <w:r w:rsidRPr="004A5367">
        <w:rPr>
          <w:rFonts w:eastAsia="Aptos"/>
          <w:szCs w:val="22"/>
          <w:lang w:eastAsia="en-US"/>
        </w:rPr>
        <w:tab/>
        <w:t>Mimoto nařízení Evropského parlamentu a Rady (ES) č. 1073/2009</w:t>
      </w:r>
      <w:r w:rsidRPr="004A5367">
        <w:rPr>
          <w:rFonts w:eastAsia="Aptos"/>
          <w:szCs w:val="22"/>
          <w:vertAlign w:val="superscript"/>
          <w:lang w:eastAsia="en-US"/>
        </w:rPr>
        <w:footnoteReference w:id="6"/>
      </w:r>
      <w:r w:rsidRPr="004A5367">
        <w:rPr>
          <w:rFonts w:eastAsia="Aptos"/>
          <w:szCs w:val="22"/>
          <w:lang w:eastAsia="en-US"/>
        </w:rPr>
        <w:t xml:space="preserve"> povoluje kabotáž v Unii za určitých podmínek provádět výlučně dopravcům, kteří jsou držiteli licence Společenství. Mezinárodní závazky, které umožňují, aby dopravci ze třetích zemí</w:t>
      </w:r>
      <w:r w:rsidRPr="004A5367">
        <w:rPr>
          <w:rFonts w:eastAsia="Aptos"/>
          <w:b/>
          <w:bCs/>
          <w:i/>
          <w:iCs/>
          <w:szCs w:val="22"/>
          <w:lang w:eastAsia="en-US"/>
        </w:rPr>
        <w:t xml:space="preserve"> </w:t>
      </w:r>
      <w:r w:rsidRPr="004A5367">
        <w:rPr>
          <w:rFonts w:eastAsia="Aptos"/>
          <w:szCs w:val="22"/>
          <w:lang w:eastAsia="en-US"/>
        </w:rPr>
        <w:t>bez této licence prováděli činnost uvedeného druhu, se mohou dotýkat uvedeného nařízení.</w:t>
      </w:r>
    </w:p>
    <w:p w14:paraId="458CB5DC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(5)</w:t>
      </w:r>
      <w:r w:rsidRPr="004A5367">
        <w:rPr>
          <w:rFonts w:eastAsia="Aptos"/>
          <w:szCs w:val="22"/>
          <w:lang w:eastAsia="en-US"/>
        </w:rPr>
        <w:tab/>
        <w:t>V důsledku toho tyto mezinárodní závazky spadají do výlučné vnější pravomoci Unie. V souladu s čl. 2 odst. 1 Smlouvy o fungování Evropské unie (dále jen „Smlouva o fungování EU“) mohou členské státy tyto závazky sjednat nebo přijmout pouze tehdy, jsou-li k tomu Unií zmocněny.</w:t>
      </w:r>
    </w:p>
    <w:p w14:paraId="42299F33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br w:type="page"/>
      </w:r>
    </w:p>
    <w:p w14:paraId="51CD3F0B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lastRenderedPageBreak/>
        <w:t>(6)</w:t>
      </w:r>
      <w:r w:rsidRPr="004A5367">
        <w:rPr>
          <w:rFonts w:eastAsia="Aptos"/>
          <w:noProof/>
          <w:szCs w:val="22"/>
          <w:lang w:eastAsia="en-US"/>
        </w:rPr>
        <w:tab/>
        <w:t xml:space="preserve">Kabotáž provozovaná vUnii dopravci ze třetích zemí, kteří nejsou držiteli licence Společenství stanovené v nařízení (ES) č. 1073/2009, se dotýká fungování vnitřního trhu </w:t>
      </w:r>
      <w:r w:rsidRPr="004A5367">
        <w:rPr>
          <w:rFonts w:eastAsia="Aptos"/>
          <w:szCs w:val="22"/>
          <w:lang w:eastAsia="en-US"/>
        </w:rPr>
        <w:t>autokarové</w:t>
      </w:r>
      <w:r w:rsidRPr="004A5367">
        <w:rPr>
          <w:rFonts w:eastAsia="Aptos"/>
          <w:noProof/>
          <w:szCs w:val="22"/>
          <w:lang w:eastAsia="en-US"/>
        </w:rPr>
        <w:t xml:space="preserve"> a autobusové dopravy zřízeného uvedeným nařízením. Je proto nezbytné, aby zmocnění podle čl. 2 odst. 1 Smlouvy o fungování EU udělil normotvůrce Unie legislativním postupem stanoveným v článku 91 Smlouvy o fungování EU.</w:t>
      </w:r>
    </w:p>
    <w:p w14:paraId="49F868D4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t>(7)</w:t>
      </w:r>
      <w:r w:rsidRPr="004A5367">
        <w:rPr>
          <w:rFonts w:eastAsia="Aptos"/>
          <w:noProof/>
          <w:szCs w:val="22"/>
          <w:lang w:eastAsia="en-US"/>
        </w:rPr>
        <w:tab/>
      </w:r>
      <w:r w:rsidRPr="004A5367">
        <w:rPr>
          <w:rFonts w:eastAsia="Aptos"/>
          <w:szCs w:val="22"/>
          <w:lang w:eastAsia="en-US"/>
        </w:rPr>
        <w:t>Dopisem</w:t>
      </w:r>
      <w:r w:rsidRPr="004A5367">
        <w:rPr>
          <w:rFonts w:eastAsia="Aptos"/>
          <w:noProof/>
          <w:szCs w:val="22"/>
          <w:lang w:eastAsia="en-US"/>
        </w:rPr>
        <w:t xml:space="preserve"> ze dne 17. března 2025 Rakousko požádalo o zmocnění Unie ke změně rakousko-švýcarské dohody za účelem povolení kabotáže během provozování mezinárodní osobní autokarové a autobusové dopravy v příhraničních oblastech Rakouska a Švýcarska, </w:t>
      </w:r>
      <w:r w:rsidRPr="004A5367">
        <w:rPr>
          <w:rFonts w:eastAsia="Aptos"/>
          <w:b/>
          <w:bCs/>
          <w:i/>
          <w:iCs/>
          <w:noProof/>
          <w:szCs w:val="22"/>
          <w:lang w:eastAsia="en-US"/>
        </w:rPr>
        <w:t>a tím podpořit větší územní soudržnost</w:t>
      </w:r>
      <w:r w:rsidRPr="004A5367">
        <w:rPr>
          <w:rFonts w:eastAsia="Aptos"/>
          <w:noProof/>
          <w:szCs w:val="22"/>
          <w:lang w:eastAsia="en-US"/>
        </w:rPr>
        <w:t>.</w:t>
      </w:r>
    </w:p>
    <w:p w14:paraId="59DA7311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(8)</w:t>
      </w:r>
      <w:r w:rsidRPr="004A5367">
        <w:rPr>
          <w:rFonts w:eastAsia="Aptos"/>
          <w:szCs w:val="22"/>
          <w:lang w:eastAsia="en-US"/>
        </w:rPr>
        <w:tab/>
        <w:t xml:space="preserve">Kabotáž umožňuje zvýšit vytíženost vozidel, což zvyšuje hospodářskou efektivnost mezinárodní osobní autokarové a autobusové dopravy. Je proto vhodné povolit tyto činnosti v rámci provozování mezinárodní osobní autokarové a autobusové dopravy v příhraničních oblastech </w:t>
      </w:r>
      <w:r w:rsidRPr="004A5367">
        <w:rPr>
          <w:rFonts w:eastAsia="Aptos"/>
          <w:noProof/>
          <w:szCs w:val="22"/>
          <w:u w:color="FF0000"/>
          <w:lang w:eastAsia="en-US"/>
        </w:rPr>
        <w:t xml:space="preserve">Rakouska </w:t>
      </w:r>
      <w:r w:rsidRPr="004A5367">
        <w:rPr>
          <w:rFonts w:eastAsia="Aptos"/>
          <w:b/>
          <w:bCs/>
          <w:i/>
          <w:iCs/>
          <w:noProof/>
          <w:szCs w:val="22"/>
          <w:u w:color="FF0000"/>
          <w:lang w:eastAsia="en-US"/>
        </w:rPr>
        <w:t xml:space="preserve">a </w:t>
      </w:r>
      <w:r w:rsidRPr="004A5367">
        <w:rPr>
          <w:rFonts w:eastAsia="Aptos"/>
          <w:szCs w:val="22"/>
          <w:lang w:eastAsia="en-US"/>
        </w:rPr>
        <w:t>Švýcarska. To by mohlo dále posílit úzkou integraci těchto příhraničních oblastí.</w:t>
      </w:r>
    </w:p>
    <w:p w14:paraId="2C7D3C27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br w:type="page"/>
      </w:r>
    </w:p>
    <w:p w14:paraId="5B796A00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lastRenderedPageBreak/>
        <w:t>(9)</w:t>
      </w:r>
      <w:r w:rsidRPr="004A5367">
        <w:rPr>
          <w:rFonts w:eastAsia="Aptos"/>
          <w:noProof/>
          <w:szCs w:val="22"/>
          <w:lang w:eastAsia="en-US"/>
        </w:rPr>
        <w:tab/>
        <w:t xml:space="preserve">S cílem zajistit, aby dotčená kabotáž nadměrně nezměnila fungování vnitřního trhu autokarové a </w:t>
      </w:r>
      <w:r w:rsidRPr="004A5367">
        <w:rPr>
          <w:rFonts w:eastAsia="Aptos"/>
          <w:szCs w:val="22"/>
          <w:lang w:eastAsia="en-US"/>
        </w:rPr>
        <w:t>autobusové</w:t>
      </w:r>
      <w:r w:rsidRPr="004A5367">
        <w:rPr>
          <w:rFonts w:eastAsia="Aptos"/>
          <w:noProof/>
          <w:szCs w:val="22"/>
          <w:lang w:eastAsia="en-US"/>
        </w:rPr>
        <w:t xml:space="preserve"> dopravy zřízeného nařízením (ES) č. 1073/2009, by mělo být povolení k této kabotáži podmíněno tím, že nezakládá diskriminaci mezi dopravci usazenými v Unii a nenarušuje hospodářskou soutěž. </w:t>
      </w:r>
    </w:p>
    <w:p w14:paraId="5BE466ED" w14:textId="77777777" w:rsidR="004A5367" w:rsidRPr="004A5367" w:rsidRDefault="004A5367" w:rsidP="004A5367">
      <w:pPr>
        <w:widowControl/>
        <w:spacing w:before="120" w:after="120" w:line="360" w:lineRule="auto"/>
        <w:ind w:left="851" w:hanging="851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(10)</w:t>
      </w:r>
      <w:r w:rsidRPr="004A5367">
        <w:rPr>
          <w:rFonts w:eastAsia="Aptos"/>
          <w:szCs w:val="22"/>
          <w:lang w:eastAsia="en-US"/>
        </w:rPr>
        <w:tab/>
      </w:r>
      <w:r w:rsidRPr="004A5367">
        <w:rPr>
          <w:rFonts w:eastAsia="Aptos"/>
          <w:noProof/>
          <w:szCs w:val="22"/>
          <w:lang w:eastAsia="en-US"/>
        </w:rPr>
        <w:t>Z téhož důvodu by kabotáž měla být povolena pouze v příhraničních oblastech Rakouska v rámci provozování mezinárodní osobní autokarové a autobusové dopravy mezi Rakouskem a Švýcarskem. Za tímto účelem je nezbytné vymezit příhraniční oblasti Rakouska pro účely tohoto rozhodnutí způsobem, který náležitě zohlední fungování nařízení (ES) č. 1073/2009 a zároveň umožní zvýšení efektivnosti dotčené kabotáže</w:t>
      </w:r>
      <w:r w:rsidRPr="004A5367">
        <w:rPr>
          <w:rFonts w:eastAsia="Aptos"/>
          <w:szCs w:val="22"/>
          <w:lang w:eastAsia="en-US"/>
        </w:rPr>
        <w:t>,</w:t>
      </w:r>
    </w:p>
    <w:bookmarkEnd w:id="7"/>
    <w:p w14:paraId="644D85A3" w14:textId="77777777" w:rsidR="004A5367" w:rsidRPr="004A5367" w:rsidRDefault="004A5367" w:rsidP="004A5367">
      <w:pPr>
        <w:widowControl/>
        <w:spacing w:after="160" w:line="278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PŘIJALY TOTO ROZHODNUTÍ:</w:t>
      </w:r>
    </w:p>
    <w:p w14:paraId="0D0C9B81" w14:textId="77777777" w:rsidR="004A5367" w:rsidRPr="004A5367" w:rsidRDefault="004A5367" w:rsidP="004A5367">
      <w:pPr>
        <w:keepNext/>
        <w:widowControl/>
        <w:spacing w:before="120" w:after="120" w:line="360" w:lineRule="auto"/>
        <w:jc w:val="center"/>
        <w:rPr>
          <w:rFonts w:eastAsia="Aptos"/>
          <w:i/>
          <w:szCs w:val="22"/>
          <w:lang w:eastAsia="en-US"/>
        </w:rPr>
      </w:pPr>
      <w:r w:rsidRPr="004A5367">
        <w:rPr>
          <w:rFonts w:eastAsia="Aptos"/>
          <w:i/>
          <w:szCs w:val="22"/>
          <w:lang w:eastAsia="en-US"/>
        </w:rPr>
        <w:br w:type="page"/>
      </w:r>
    </w:p>
    <w:p w14:paraId="37B65CCF" w14:textId="77777777" w:rsidR="004A5367" w:rsidRPr="004A5367" w:rsidRDefault="004A5367" w:rsidP="004A5367">
      <w:pPr>
        <w:widowControl/>
        <w:spacing w:before="120" w:after="120" w:line="360" w:lineRule="auto"/>
        <w:jc w:val="center"/>
        <w:rPr>
          <w:rFonts w:eastAsia="Aptos"/>
          <w:i/>
          <w:iCs/>
          <w:noProof/>
          <w:szCs w:val="22"/>
          <w:lang w:eastAsia="en-US"/>
        </w:rPr>
      </w:pPr>
      <w:r w:rsidRPr="004A5367">
        <w:rPr>
          <w:rFonts w:eastAsia="Aptos"/>
          <w:i/>
          <w:iCs/>
          <w:noProof/>
          <w:szCs w:val="22"/>
          <w:lang w:eastAsia="en-US"/>
        </w:rPr>
        <w:lastRenderedPageBreak/>
        <w:t>Článek 1</w:t>
      </w:r>
    </w:p>
    <w:p w14:paraId="6A134CD6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Rakousko se zmocňuje ke změně jeho dvoustranné dohody o silniční dopravě mezi Rakouskem a Švýcarskem ze dne 22. října 1958 (dále jen „rakousko-švýcarská dohoda“) za účelem povolení kabotáže v příhraničních oblastech Rakouska a Švýcarska v rámci provozování mezinárodní osobní autokarové a autobusové dopravy mezi oběma zeměmi, pokud mezi dopravci usazenými v Unii nezakládá diskriminaci a nenarušuje hospodářskou soutěž.</w:t>
      </w:r>
    </w:p>
    <w:p w14:paraId="01778D34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 xml:space="preserve">Za příhraniční regiony Rakouska ve smyslu prvního pododstavce se považují správní okresy </w:t>
      </w:r>
      <w:proofErr w:type="spellStart"/>
      <w:r w:rsidRPr="004A5367">
        <w:rPr>
          <w:rFonts w:eastAsia="Aptos"/>
          <w:szCs w:val="22"/>
          <w:lang w:eastAsia="en-US"/>
        </w:rPr>
        <w:t>Bludenz</w:t>
      </w:r>
      <w:proofErr w:type="spellEnd"/>
      <w:r w:rsidRPr="004A5367">
        <w:rPr>
          <w:rFonts w:eastAsia="Aptos"/>
          <w:szCs w:val="22"/>
          <w:lang w:eastAsia="en-US"/>
        </w:rPr>
        <w:t xml:space="preserve">, </w:t>
      </w:r>
      <w:proofErr w:type="spellStart"/>
      <w:r w:rsidRPr="004A5367">
        <w:rPr>
          <w:rFonts w:eastAsia="Aptos"/>
          <w:szCs w:val="22"/>
          <w:lang w:eastAsia="en-US"/>
        </w:rPr>
        <w:t>Bregenz</w:t>
      </w:r>
      <w:proofErr w:type="spellEnd"/>
      <w:r w:rsidRPr="004A5367">
        <w:rPr>
          <w:rFonts w:eastAsia="Aptos"/>
          <w:szCs w:val="22"/>
          <w:lang w:eastAsia="en-US"/>
        </w:rPr>
        <w:t xml:space="preserve">, </w:t>
      </w:r>
      <w:proofErr w:type="spellStart"/>
      <w:r w:rsidRPr="004A5367">
        <w:rPr>
          <w:rFonts w:eastAsia="Aptos"/>
          <w:szCs w:val="22"/>
          <w:lang w:eastAsia="en-US"/>
        </w:rPr>
        <w:t>Dornbirn</w:t>
      </w:r>
      <w:proofErr w:type="spellEnd"/>
      <w:r w:rsidRPr="004A5367">
        <w:rPr>
          <w:rFonts w:eastAsia="Aptos"/>
          <w:szCs w:val="22"/>
          <w:lang w:eastAsia="en-US"/>
        </w:rPr>
        <w:t xml:space="preserve">, </w:t>
      </w:r>
      <w:proofErr w:type="spellStart"/>
      <w:r w:rsidRPr="004A5367">
        <w:rPr>
          <w:rFonts w:eastAsia="Aptos"/>
          <w:szCs w:val="22"/>
          <w:lang w:eastAsia="en-US"/>
        </w:rPr>
        <w:t>Feldkirch</w:t>
      </w:r>
      <w:proofErr w:type="spellEnd"/>
      <w:r w:rsidRPr="004A5367">
        <w:rPr>
          <w:rFonts w:eastAsia="Aptos"/>
          <w:szCs w:val="22"/>
          <w:lang w:eastAsia="en-US"/>
        </w:rPr>
        <w:t xml:space="preserve"> v zemi Vorarlbersko a okres </w:t>
      </w:r>
      <w:proofErr w:type="spellStart"/>
      <w:r w:rsidRPr="004A5367">
        <w:rPr>
          <w:rFonts w:eastAsia="Aptos"/>
          <w:szCs w:val="22"/>
          <w:lang w:eastAsia="en-US"/>
        </w:rPr>
        <w:t>Landeck</w:t>
      </w:r>
      <w:proofErr w:type="spellEnd"/>
      <w:r w:rsidRPr="004A5367">
        <w:rPr>
          <w:rFonts w:eastAsia="Aptos"/>
          <w:szCs w:val="22"/>
          <w:lang w:eastAsia="en-US"/>
        </w:rPr>
        <w:t xml:space="preserve"> v zemi Tyrolsko.</w:t>
      </w:r>
    </w:p>
    <w:p w14:paraId="6270C719" w14:textId="77777777" w:rsidR="004A5367" w:rsidRPr="004A5367" w:rsidRDefault="004A5367" w:rsidP="004A5367">
      <w:pPr>
        <w:keepNext/>
        <w:widowControl/>
        <w:spacing w:before="120" w:after="120" w:line="360" w:lineRule="auto"/>
        <w:jc w:val="center"/>
        <w:rPr>
          <w:rFonts w:eastAsia="Aptos"/>
          <w:i/>
          <w:szCs w:val="22"/>
          <w:lang w:eastAsia="en-US"/>
        </w:rPr>
      </w:pPr>
      <w:r w:rsidRPr="004A5367">
        <w:rPr>
          <w:rFonts w:eastAsia="Aptos"/>
          <w:i/>
          <w:szCs w:val="22"/>
          <w:lang w:eastAsia="en-US"/>
        </w:rPr>
        <w:br w:type="page"/>
      </w:r>
    </w:p>
    <w:p w14:paraId="1B9307AA" w14:textId="77777777" w:rsidR="004A5367" w:rsidRPr="004A5367" w:rsidRDefault="004A5367" w:rsidP="004A5367">
      <w:pPr>
        <w:widowControl/>
        <w:spacing w:before="200" w:after="120" w:line="360" w:lineRule="auto"/>
        <w:jc w:val="center"/>
        <w:rPr>
          <w:rFonts w:eastAsia="Aptos"/>
          <w:i/>
          <w:iCs/>
          <w:szCs w:val="22"/>
          <w:lang w:eastAsia="en-US"/>
        </w:rPr>
      </w:pPr>
      <w:r w:rsidRPr="004A5367">
        <w:rPr>
          <w:rFonts w:eastAsia="Aptos"/>
          <w:i/>
          <w:iCs/>
          <w:szCs w:val="22"/>
          <w:lang w:eastAsia="en-US"/>
        </w:rPr>
        <w:lastRenderedPageBreak/>
        <w:t>Článek 2</w:t>
      </w:r>
    </w:p>
    <w:p w14:paraId="7299D42E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t xml:space="preserve">Rakousko informuje Komisi o změně rakousko-švýcarské dohody podle článku 1 tohoto rozhodnutí a oznámí jí znění pozměněné dohody. </w:t>
      </w:r>
    </w:p>
    <w:p w14:paraId="126DD73C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t>Komise o tom uvědomí Evropský parlament a Radu .</w:t>
      </w:r>
    </w:p>
    <w:p w14:paraId="1AE6C947" w14:textId="77777777" w:rsidR="004A5367" w:rsidRPr="004A5367" w:rsidRDefault="004A5367" w:rsidP="004A5367">
      <w:pPr>
        <w:widowControl/>
        <w:spacing w:before="200" w:after="120" w:line="360" w:lineRule="auto"/>
        <w:jc w:val="center"/>
        <w:rPr>
          <w:rFonts w:eastAsia="Aptos"/>
          <w:i/>
          <w:iCs/>
          <w:szCs w:val="22"/>
          <w:lang w:eastAsia="en-US"/>
        </w:rPr>
      </w:pPr>
      <w:r w:rsidRPr="004A5367">
        <w:rPr>
          <w:rFonts w:eastAsia="Aptos"/>
          <w:i/>
          <w:iCs/>
          <w:szCs w:val="22"/>
          <w:lang w:eastAsia="en-US"/>
        </w:rPr>
        <w:t>Článek 3</w:t>
      </w:r>
    </w:p>
    <w:p w14:paraId="22C47047" w14:textId="77777777" w:rsidR="004A5367" w:rsidRPr="004A5367" w:rsidRDefault="004A5367" w:rsidP="004A5367">
      <w:pPr>
        <w:widowControl/>
        <w:spacing w:before="120" w:after="120" w:line="360" w:lineRule="auto"/>
        <w:rPr>
          <w:rFonts w:eastAsia="Aptos"/>
          <w:szCs w:val="22"/>
          <w:lang w:eastAsia="en-US"/>
        </w:rPr>
      </w:pPr>
      <w:r w:rsidRPr="004A5367">
        <w:rPr>
          <w:rFonts w:eastAsia="Aptos"/>
          <w:szCs w:val="22"/>
          <w:lang w:eastAsia="en-US"/>
        </w:rPr>
        <w:t>Toto rozhodnutí je určeno Rakouské republice.</w:t>
      </w:r>
    </w:p>
    <w:p w14:paraId="65141235" w14:textId="77777777" w:rsidR="004A5367" w:rsidRPr="004A5367" w:rsidRDefault="004A5367" w:rsidP="004A5367">
      <w:pPr>
        <w:keepNext/>
        <w:widowControl/>
        <w:spacing w:before="120" w:line="360" w:lineRule="auto"/>
        <w:rPr>
          <w:rFonts w:eastAsia="Aptos"/>
          <w:noProof/>
          <w:szCs w:val="22"/>
          <w:lang w:eastAsia="en-US"/>
        </w:rPr>
      </w:pPr>
      <w:r w:rsidRPr="004A5367">
        <w:rPr>
          <w:rFonts w:eastAsia="Aptos"/>
          <w:noProof/>
          <w:szCs w:val="22"/>
          <w:lang w:eastAsia="en-US"/>
        </w:rPr>
        <w:t>V … dne</w:t>
      </w:r>
    </w:p>
    <w:p w14:paraId="4E0B60DB" w14:textId="77777777" w:rsidR="004A5367" w:rsidRPr="004A5367" w:rsidRDefault="004A5367" w:rsidP="004A5367">
      <w:pPr>
        <w:keepNext/>
        <w:widowControl/>
        <w:tabs>
          <w:tab w:val="left" w:pos="5669"/>
        </w:tabs>
        <w:spacing w:before="720" w:line="360" w:lineRule="auto"/>
        <w:rPr>
          <w:rFonts w:eastAsia="Aptos"/>
          <w:i/>
          <w:szCs w:val="22"/>
          <w:lang w:eastAsia="en-US"/>
        </w:rPr>
      </w:pPr>
      <w:r w:rsidRPr="004A5367">
        <w:rPr>
          <w:rFonts w:eastAsia="Aptos"/>
          <w:i/>
          <w:szCs w:val="22"/>
          <w:lang w:eastAsia="en-US"/>
        </w:rPr>
        <w:t>Za Evropský parlament</w:t>
      </w:r>
      <w:r w:rsidRPr="004A5367">
        <w:rPr>
          <w:rFonts w:eastAsia="Aptos"/>
          <w:i/>
          <w:szCs w:val="22"/>
          <w:lang w:eastAsia="en-US"/>
        </w:rPr>
        <w:tab/>
        <w:t>Za Radu</w:t>
      </w:r>
    </w:p>
    <w:p w14:paraId="258F9717" w14:textId="77777777" w:rsidR="004A5367" w:rsidRPr="004A5367" w:rsidRDefault="004A5367" w:rsidP="004A5367">
      <w:pPr>
        <w:widowControl/>
        <w:tabs>
          <w:tab w:val="left" w:pos="5669"/>
        </w:tabs>
        <w:spacing w:line="360" w:lineRule="auto"/>
        <w:rPr>
          <w:rFonts w:eastAsia="Aptos"/>
          <w:i/>
          <w:szCs w:val="22"/>
          <w:lang w:eastAsia="en-US"/>
        </w:rPr>
      </w:pPr>
      <w:r w:rsidRPr="004A5367">
        <w:rPr>
          <w:rFonts w:eastAsia="Aptos"/>
          <w:i/>
          <w:szCs w:val="22"/>
          <w:lang w:eastAsia="en-US"/>
        </w:rPr>
        <w:t>předsedkyně</w:t>
      </w:r>
      <w:r w:rsidRPr="004A5367">
        <w:rPr>
          <w:rFonts w:eastAsia="Aptos"/>
          <w:i/>
          <w:szCs w:val="22"/>
          <w:lang w:eastAsia="en-US"/>
        </w:rPr>
        <w:tab/>
        <w:t>předseda/předsedkyně</w:t>
      </w:r>
    </w:p>
    <w:p w14:paraId="07BADCC2" w14:textId="77777777" w:rsidR="00B74F30" w:rsidRDefault="00B74F30" w:rsidP="001C5813">
      <w:pPr>
        <w:rPr>
          <w:rFonts w:eastAsia="Calibri"/>
          <w:b/>
          <w:bCs/>
          <w:szCs w:val="24"/>
        </w:rPr>
      </w:pPr>
    </w:p>
    <w:sectPr w:rsidR="00B74F30" w:rsidSect="00B74F30">
      <w:footnotePr>
        <w:numRestart w:val="eachSect"/>
      </w:footnotePr>
      <w:pgSz w:w="11906" w:h="16838" w:code="9"/>
      <w:pgMar w:top="1134" w:right="1418" w:bottom="1418" w:left="1418" w:header="1134" w:footer="567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070A1" w14:textId="77777777" w:rsidR="004921D4" w:rsidRPr="00A7124F" w:rsidRDefault="004921D4">
      <w:r w:rsidRPr="00A7124F">
        <w:separator/>
      </w:r>
    </w:p>
  </w:endnote>
  <w:endnote w:type="continuationSeparator" w:id="0">
    <w:p w14:paraId="5141F455" w14:textId="77777777" w:rsidR="004921D4" w:rsidRPr="00A7124F" w:rsidRDefault="004921D4">
      <w:r w:rsidRPr="00A712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3A74" w14:textId="77777777" w:rsidR="00064002" w:rsidRPr="00A712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2FD1" w14:textId="77777777" w:rsidR="00064002" w:rsidRPr="00A712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C6A9" w14:textId="77777777" w:rsidR="00064002" w:rsidRPr="00A712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26C1" w14:textId="77777777" w:rsidR="004921D4" w:rsidRPr="00A7124F" w:rsidRDefault="004921D4">
      <w:r w:rsidRPr="00A7124F">
        <w:separator/>
      </w:r>
    </w:p>
  </w:footnote>
  <w:footnote w:type="continuationSeparator" w:id="0">
    <w:p w14:paraId="03FD9BDE" w14:textId="77777777" w:rsidR="004921D4" w:rsidRPr="00A7124F" w:rsidRDefault="004921D4">
      <w:r w:rsidRPr="00A7124F">
        <w:continuationSeparator/>
      </w:r>
    </w:p>
  </w:footnote>
  <w:footnote w:id="1">
    <w:p w14:paraId="729FCFC8" w14:textId="7107DB21" w:rsidR="005C3D10" w:rsidRPr="00A7124F" w:rsidRDefault="005C3D10" w:rsidP="00A7124F">
      <w:pPr>
        <w:pStyle w:val="FootnoteText"/>
        <w:ind w:left="567" w:hanging="567"/>
        <w:rPr>
          <w:sz w:val="24"/>
          <w:lang w:val="cs-CZ"/>
        </w:rPr>
      </w:pPr>
      <w:r w:rsidRPr="00A7124F">
        <w:rPr>
          <w:rStyle w:val="FootnoteReference"/>
          <w:sz w:val="24"/>
          <w:lang w:val="cs-CZ"/>
        </w:rPr>
        <w:footnoteRef/>
      </w:r>
      <w:r w:rsidR="00A7124F" w:rsidRPr="00A7124F">
        <w:rPr>
          <w:sz w:val="24"/>
          <w:lang w:val="cs-CZ"/>
        </w:rPr>
        <w:t xml:space="preserve"> </w:t>
      </w:r>
      <w:r w:rsidR="00A7124F" w:rsidRPr="00A7124F">
        <w:rPr>
          <w:sz w:val="24"/>
          <w:lang w:val="cs-CZ"/>
        </w:rPr>
        <w:tab/>
      </w:r>
      <w:proofErr w:type="spellStart"/>
      <w:r w:rsidRPr="00A7124F">
        <w:rPr>
          <w:sz w:val="24"/>
          <w:lang w:val="cs-CZ"/>
        </w:rPr>
        <w:t>Úř</w:t>
      </w:r>
      <w:proofErr w:type="spellEnd"/>
      <w:r w:rsidRPr="00A7124F">
        <w:rPr>
          <w:sz w:val="24"/>
          <w:lang w:val="cs-CZ"/>
        </w:rPr>
        <w:t xml:space="preserve">. </w:t>
      </w:r>
      <w:proofErr w:type="spellStart"/>
      <w:r w:rsidRPr="00A7124F">
        <w:rPr>
          <w:sz w:val="24"/>
          <w:lang w:val="cs-CZ"/>
        </w:rPr>
        <w:t>věst</w:t>
      </w:r>
      <w:proofErr w:type="spellEnd"/>
      <w:r w:rsidRPr="00A7124F">
        <w:rPr>
          <w:sz w:val="24"/>
          <w:lang w:val="cs-CZ"/>
        </w:rPr>
        <w:t xml:space="preserve"> C, C/2026/1970, 28.4.2026, ELI: </w:t>
      </w:r>
      <w:r>
        <w:fldChar w:fldCharType="begin"/>
      </w:r>
      <w:r w:rsidRPr="00B41526">
        <w:rPr>
          <w:lang w:val="fi-FI"/>
        </w:rPr>
        <w:instrText>HYPERLINK "http://data.europa.eu/eli/C/2026/1970/oj"</w:instrText>
      </w:r>
      <w:r>
        <w:fldChar w:fldCharType="separate"/>
      </w:r>
      <w:r w:rsidRPr="00A7124F">
        <w:rPr>
          <w:rStyle w:val="Hyperlink"/>
          <w:sz w:val="24"/>
          <w:lang w:val="cs-CZ"/>
        </w:rPr>
        <w:t>http://data.europa.eu/eli/C/2026/1970/oj</w:t>
      </w:r>
      <w:r>
        <w:fldChar w:fldCharType="end"/>
      </w:r>
      <w:r w:rsidRPr="00A7124F">
        <w:rPr>
          <w:sz w:val="24"/>
          <w:lang w:val="cs-CZ"/>
        </w:rPr>
        <w:t>.</w:t>
      </w:r>
    </w:p>
  </w:footnote>
  <w:footnote w:id="2">
    <w:p w14:paraId="10A4058E" w14:textId="6A932C13" w:rsidR="004A5367" w:rsidRPr="004A5367" w:rsidRDefault="004A5367" w:rsidP="004A5367">
      <w:pPr>
        <w:pStyle w:val="FootnoteText"/>
        <w:ind w:left="851" w:hanging="851"/>
        <w:rPr>
          <w:lang w:val="fi-FI"/>
        </w:rPr>
      </w:pPr>
      <w:r>
        <w:rPr>
          <w:rStyle w:val="FootnoteReference"/>
        </w:rPr>
        <w:footnoteRef/>
      </w:r>
      <w:r w:rsidRPr="004A5367">
        <w:rPr>
          <w:lang w:val="fi-FI"/>
        </w:rPr>
        <w:tab/>
      </w:r>
      <w:proofErr w:type="spellStart"/>
      <w:r w:rsidRPr="004A5367">
        <w:rPr>
          <w:sz w:val="24"/>
          <w:szCs w:val="24"/>
          <w:lang w:val="fi-FI"/>
        </w:rPr>
        <w:t>Úř</w:t>
      </w:r>
      <w:proofErr w:type="spellEnd"/>
      <w:r w:rsidRPr="004A5367">
        <w:rPr>
          <w:sz w:val="24"/>
          <w:szCs w:val="24"/>
          <w:lang w:val="fi-FI"/>
        </w:rPr>
        <w:t xml:space="preserve">. </w:t>
      </w:r>
      <w:proofErr w:type="spellStart"/>
      <w:r w:rsidRPr="004A5367">
        <w:rPr>
          <w:sz w:val="24"/>
          <w:szCs w:val="24"/>
          <w:lang w:val="fi-FI"/>
        </w:rPr>
        <w:t>věst</w:t>
      </w:r>
      <w:proofErr w:type="spellEnd"/>
      <w:r w:rsidRPr="004A5367">
        <w:rPr>
          <w:sz w:val="24"/>
          <w:szCs w:val="24"/>
          <w:lang w:val="fi-FI"/>
        </w:rPr>
        <w:t xml:space="preserve">. C, C/2026/1970, 28.4.2026, ELI: </w:t>
      </w:r>
      <w:r>
        <w:fldChar w:fldCharType="begin"/>
      </w:r>
      <w:r w:rsidRPr="00B41526">
        <w:rPr>
          <w:lang w:val="fi-FI"/>
        </w:rPr>
        <w:instrText>HYPERLINK "http://data.europa.eu/eli/C/2026/1970/oj"</w:instrText>
      </w:r>
      <w:r>
        <w:fldChar w:fldCharType="separate"/>
      </w:r>
      <w:r w:rsidRPr="00D21A43">
        <w:rPr>
          <w:rStyle w:val="Hyperlink"/>
          <w:sz w:val="24"/>
          <w:szCs w:val="24"/>
          <w:lang w:val="fi-FI"/>
        </w:rPr>
        <w:t>http://data.europa.eu/eli/C/2026/1970/oj</w:t>
      </w:r>
      <w:r>
        <w:fldChar w:fldCharType="end"/>
      </w:r>
      <w:r w:rsidRPr="004A5367">
        <w:rPr>
          <w:sz w:val="24"/>
          <w:szCs w:val="24"/>
          <w:lang w:val="fi-FI"/>
        </w:rPr>
        <w:t>.</w:t>
      </w:r>
    </w:p>
  </w:footnote>
  <w:footnote w:id="3">
    <w:p w14:paraId="7F75D4E6" w14:textId="743884F7" w:rsidR="004A5367" w:rsidRPr="00A13FF4" w:rsidRDefault="004A5367" w:rsidP="004A5367">
      <w:pPr>
        <w:pStyle w:val="FootnoteText"/>
        <w:ind w:left="851" w:hanging="851"/>
        <w:rPr>
          <w:sz w:val="24"/>
          <w:szCs w:val="24"/>
          <w:lang w:val="lt-LT"/>
        </w:rPr>
      </w:pPr>
      <w:r>
        <w:rPr>
          <w:rStyle w:val="FootnoteReference"/>
        </w:rPr>
        <w:footnoteRef/>
      </w:r>
      <w:r w:rsidRPr="009F228E">
        <w:rPr>
          <w:lang w:val="fi-FI"/>
        </w:rPr>
        <w:tab/>
      </w:r>
      <w:proofErr w:type="spellStart"/>
      <w:r w:rsidRPr="009F228E">
        <w:rPr>
          <w:sz w:val="24"/>
          <w:szCs w:val="24"/>
          <w:lang w:val="fi-FI"/>
        </w:rPr>
        <w:t>Postoj</w:t>
      </w:r>
      <w:proofErr w:type="spellEnd"/>
      <w:r w:rsidRPr="009F228E">
        <w:rPr>
          <w:sz w:val="24"/>
          <w:szCs w:val="24"/>
          <w:lang w:val="fi-FI"/>
        </w:rPr>
        <w:t xml:space="preserve"> </w:t>
      </w:r>
      <w:proofErr w:type="spellStart"/>
      <w:r w:rsidRPr="009F228E">
        <w:rPr>
          <w:sz w:val="24"/>
          <w:szCs w:val="24"/>
          <w:lang w:val="fi-FI"/>
        </w:rPr>
        <w:t>Evropského</w:t>
      </w:r>
      <w:proofErr w:type="spellEnd"/>
      <w:r w:rsidRPr="009F228E">
        <w:rPr>
          <w:sz w:val="24"/>
          <w:szCs w:val="24"/>
          <w:lang w:val="fi-FI"/>
        </w:rPr>
        <w:t xml:space="preserve"> </w:t>
      </w:r>
      <w:proofErr w:type="spellStart"/>
      <w:r w:rsidRPr="009F228E">
        <w:rPr>
          <w:sz w:val="24"/>
          <w:szCs w:val="24"/>
          <w:lang w:val="fi-FI"/>
        </w:rPr>
        <w:t>parlamentu</w:t>
      </w:r>
      <w:proofErr w:type="spellEnd"/>
      <w:r w:rsidRPr="009F228E">
        <w:rPr>
          <w:sz w:val="24"/>
          <w:szCs w:val="24"/>
          <w:lang w:val="fi-FI"/>
        </w:rPr>
        <w:t xml:space="preserve"> </w:t>
      </w:r>
      <w:proofErr w:type="spellStart"/>
      <w:r w:rsidRPr="009F228E">
        <w:rPr>
          <w:sz w:val="24"/>
          <w:szCs w:val="24"/>
          <w:lang w:val="fi-FI"/>
        </w:rPr>
        <w:t>ze</w:t>
      </w:r>
      <w:proofErr w:type="spellEnd"/>
      <w:r w:rsidRPr="009F228E">
        <w:rPr>
          <w:sz w:val="24"/>
          <w:szCs w:val="24"/>
          <w:lang w:val="fi-FI"/>
        </w:rPr>
        <w:t xml:space="preserve"> </w:t>
      </w:r>
      <w:proofErr w:type="spellStart"/>
      <w:r w:rsidRPr="009F228E">
        <w:rPr>
          <w:sz w:val="24"/>
          <w:szCs w:val="24"/>
          <w:lang w:val="fi-FI"/>
        </w:rPr>
        <w:t>dne</w:t>
      </w:r>
      <w:proofErr w:type="spellEnd"/>
      <w:r w:rsidRPr="009F228E">
        <w:rPr>
          <w:sz w:val="24"/>
          <w:szCs w:val="24"/>
          <w:lang w:val="fi-FI"/>
        </w:rPr>
        <w:t xml:space="preserve"> </w:t>
      </w:r>
      <w:r w:rsidR="00D21A43" w:rsidRPr="009F228E">
        <w:rPr>
          <w:sz w:val="24"/>
          <w:szCs w:val="24"/>
          <w:lang w:val="fi-FI"/>
        </w:rPr>
        <w:t xml:space="preserve">7. </w:t>
      </w:r>
      <w:proofErr w:type="spellStart"/>
      <w:r w:rsidR="00D21A43" w:rsidRPr="009F228E">
        <w:rPr>
          <w:sz w:val="24"/>
          <w:szCs w:val="24"/>
          <w:lang w:val="fi-FI"/>
        </w:rPr>
        <w:t>července</w:t>
      </w:r>
      <w:proofErr w:type="spellEnd"/>
      <w:r w:rsidR="00D21A43">
        <w:rPr>
          <w:sz w:val="24"/>
          <w:szCs w:val="24"/>
          <w:lang w:val="fi-FI"/>
        </w:rPr>
        <w:t xml:space="preserve"> 2026</w:t>
      </w:r>
      <w:r w:rsidRPr="009F228E">
        <w:rPr>
          <w:sz w:val="24"/>
          <w:szCs w:val="24"/>
          <w:lang w:val="fi-FI"/>
        </w:rPr>
        <w:t>.</w:t>
      </w:r>
    </w:p>
  </w:footnote>
  <w:footnote w:id="4">
    <w:p w14:paraId="66758439" w14:textId="77777777" w:rsidR="004A5367" w:rsidRPr="004A5367" w:rsidRDefault="004A5367" w:rsidP="004A5367">
      <w:pPr>
        <w:pStyle w:val="FootnoteText"/>
        <w:ind w:left="851" w:hanging="851"/>
        <w:rPr>
          <w:sz w:val="24"/>
          <w:szCs w:val="24"/>
          <w:lang w:val="fi-FI"/>
        </w:rPr>
      </w:pPr>
      <w:r w:rsidRPr="00407C82">
        <w:rPr>
          <w:rStyle w:val="FootnoteReference"/>
        </w:rPr>
        <w:footnoteRef/>
      </w:r>
      <w:r w:rsidRPr="004A5367">
        <w:rPr>
          <w:lang w:val="fi-FI"/>
        </w:rPr>
        <w:tab/>
      </w:r>
      <w:proofErr w:type="spellStart"/>
      <w:r w:rsidRPr="004A5367">
        <w:rPr>
          <w:sz w:val="24"/>
          <w:szCs w:val="24"/>
          <w:lang w:val="fi-FI"/>
        </w:rPr>
        <w:t>Úř</w:t>
      </w:r>
      <w:proofErr w:type="spellEnd"/>
      <w:r w:rsidRPr="004A5367">
        <w:rPr>
          <w:sz w:val="24"/>
          <w:szCs w:val="24"/>
          <w:lang w:val="fi-FI"/>
        </w:rPr>
        <w:t xml:space="preserve">. </w:t>
      </w:r>
      <w:proofErr w:type="spellStart"/>
      <w:r w:rsidRPr="004A5367">
        <w:rPr>
          <w:sz w:val="24"/>
          <w:szCs w:val="24"/>
          <w:lang w:val="fi-FI"/>
        </w:rPr>
        <w:t>věst</w:t>
      </w:r>
      <w:proofErr w:type="spellEnd"/>
      <w:r w:rsidRPr="004A5367">
        <w:rPr>
          <w:sz w:val="24"/>
          <w:szCs w:val="24"/>
          <w:lang w:val="fi-FI"/>
        </w:rPr>
        <w:t>. L 114, 30.4.2002, s. 91, ELI: </w:t>
      </w:r>
      <w:r>
        <w:fldChar w:fldCharType="begin"/>
      </w:r>
      <w:r w:rsidRPr="00B41526">
        <w:rPr>
          <w:lang w:val="fi-FI"/>
        </w:rPr>
        <w:instrText>HYPERLINK "http://data.europa.eu/eli/agree_internation/2002/309(3)/oj" \o "Umožňuje přístup k tomuto dokumentu prostřednictvím jeho identifikátoru ELI URI."</w:instrText>
      </w:r>
      <w:r>
        <w:fldChar w:fldCharType="separate"/>
      </w:r>
      <w:r w:rsidRPr="004A5367">
        <w:rPr>
          <w:rStyle w:val="Hyperlink"/>
          <w:sz w:val="24"/>
          <w:szCs w:val="24"/>
          <w:lang w:val="fi-FI"/>
        </w:rPr>
        <w:t>http://data.europa.eu/eli/agree_internation/2002/309(3)/oj</w:t>
      </w:r>
      <w:r>
        <w:fldChar w:fldCharType="end"/>
      </w:r>
      <w:r w:rsidRPr="004A5367">
        <w:rPr>
          <w:sz w:val="24"/>
          <w:szCs w:val="24"/>
          <w:lang w:val="fi-FI"/>
        </w:rPr>
        <w:t>.</w:t>
      </w:r>
    </w:p>
  </w:footnote>
  <w:footnote w:id="5">
    <w:p w14:paraId="455E6489" w14:textId="77777777" w:rsidR="004A5367" w:rsidRPr="004A5367" w:rsidRDefault="004A5367" w:rsidP="004A5367">
      <w:pPr>
        <w:pStyle w:val="FootnoteText"/>
        <w:ind w:left="851" w:hanging="851"/>
        <w:rPr>
          <w:sz w:val="24"/>
          <w:szCs w:val="24"/>
          <w:lang w:val="fi-FI"/>
        </w:rPr>
      </w:pPr>
      <w:r w:rsidRPr="00407C82">
        <w:rPr>
          <w:rStyle w:val="FootnoteReference"/>
        </w:rPr>
        <w:footnoteRef/>
      </w:r>
      <w:r w:rsidRPr="004A5367">
        <w:rPr>
          <w:lang w:val="fi-FI"/>
        </w:rPr>
        <w:tab/>
      </w:r>
      <w:proofErr w:type="spellStart"/>
      <w:r w:rsidRPr="004A5367">
        <w:rPr>
          <w:sz w:val="24"/>
          <w:szCs w:val="24"/>
          <w:lang w:val="fi-FI"/>
        </w:rPr>
        <w:t>BGBl</w:t>
      </w:r>
      <w:proofErr w:type="spellEnd"/>
      <w:r w:rsidRPr="004A5367">
        <w:rPr>
          <w:sz w:val="24"/>
          <w:szCs w:val="24"/>
          <w:lang w:val="fi-FI"/>
        </w:rPr>
        <w:t>. (Rakousko) č. 123/1959.</w:t>
      </w:r>
    </w:p>
  </w:footnote>
  <w:footnote w:id="6">
    <w:p w14:paraId="5143AFD7" w14:textId="77777777" w:rsidR="004A5367" w:rsidRPr="004A5367" w:rsidRDefault="004A5367" w:rsidP="004A5367">
      <w:pPr>
        <w:pStyle w:val="FootnoteText"/>
        <w:ind w:left="851" w:hanging="851"/>
        <w:rPr>
          <w:lang w:val="fi-FI"/>
        </w:rPr>
      </w:pPr>
      <w:r w:rsidRPr="00407C82">
        <w:rPr>
          <w:rStyle w:val="FootnoteReference"/>
        </w:rPr>
        <w:footnoteRef/>
      </w:r>
      <w:r w:rsidRPr="004A5367">
        <w:rPr>
          <w:lang w:val="fi-FI"/>
        </w:rPr>
        <w:tab/>
      </w:r>
      <w:proofErr w:type="spellStart"/>
      <w:r w:rsidRPr="004A5367">
        <w:rPr>
          <w:sz w:val="24"/>
          <w:szCs w:val="24"/>
          <w:lang w:val="fi-FI"/>
        </w:rPr>
        <w:t>Nařízení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Evropského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parlamentu</w:t>
      </w:r>
      <w:proofErr w:type="spellEnd"/>
      <w:r w:rsidRPr="004A5367">
        <w:rPr>
          <w:sz w:val="24"/>
          <w:szCs w:val="24"/>
          <w:lang w:val="fi-FI"/>
        </w:rPr>
        <w:t xml:space="preserve"> a </w:t>
      </w:r>
      <w:proofErr w:type="spellStart"/>
      <w:r w:rsidRPr="004A5367">
        <w:rPr>
          <w:sz w:val="24"/>
          <w:szCs w:val="24"/>
          <w:lang w:val="fi-FI"/>
        </w:rPr>
        <w:t>Rady</w:t>
      </w:r>
      <w:proofErr w:type="spellEnd"/>
      <w:r w:rsidRPr="004A5367">
        <w:rPr>
          <w:sz w:val="24"/>
          <w:szCs w:val="24"/>
          <w:lang w:val="fi-FI"/>
        </w:rPr>
        <w:t xml:space="preserve"> (ES) č. 1073/2009 </w:t>
      </w:r>
      <w:proofErr w:type="spellStart"/>
      <w:r w:rsidRPr="004A5367">
        <w:rPr>
          <w:sz w:val="24"/>
          <w:szCs w:val="24"/>
          <w:lang w:val="fi-FI"/>
        </w:rPr>
        <w:t>ze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dne</w:t>
      </w:r>
      <w:proofErr w:type="spellEnd"/>
      <w:r w:rsidRPr="004A5367">
        <w:rPr>
          <w:sz w:val="24"/>
          <w:szCs w:val="24"/>
          <w:lang w:val="fi-FI"/>
        </w:rPr>
        <w:t xml:space="preserve"> 21. </w:t>
      </w:r>
      <w:proofErr w:type="spellStart"/>
      <w:r w:rsidRPr="004A5367">
        <w:rPr>
          <w:sz w:val="24"/>
          <w:szCs w:val="24"/>
          <w:lang w:val="fi-FI"/>
        </w:rPr>
        <w:t>října</w:t>
      </w:r>
      <w:proofErr w:type="spellEnd"/>
      <w:r w:rsidRPr="004A5367">
        <w:rPr>
          <w:sz w:val="24"/>
          <w:szCs w:val="24"/>
          <w:lang w:val="fi-FI"/>
        </w:rPr>
        <w:t xml:space="preserve"> 2009 o </w:t>
      </w:r>
      <w:proofErr w:type="spellStart"/>
      <w:r w:rsidRPr="004A5367">
        <w:rPr>
          <w:sz w:val="24"/>
          <w:szCs w:val="24"/>
          <w:lang w:val="fi-FI"/>
        </w:rPr>
        <w:t>společných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pravidlech</w:t>
      </w:r>
      <w:proofErr w:type="spellEnd"/>
      <w:r w:rsidRPr="004A5367">
        <w:rPr>
          <w:sz w:val="24"/>
          <w:szCs w:val="24"/>
          <w:lang w:val="fi-FI"/>
        </w:rPr>
        <w:t xml:space="preserve"> pro </w:t>
      </w:r>
      <w:proofErr w:type="spellStart"/>
      <w:r w:rsidRPr="004A5367">
        <w:rPr>
          <w:sz w:val="24"/>
          <w:szCs w:val="24"/>
          <w:lang w:val="fi-FI"/>
        </w:rPr>
        <w:t>přístup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na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mezinárodní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trh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autokarové</w:t>
      </w:r>
      <w:proofErr w:type="spellEnd"/>
      <w:r w:rsidRPr="004A5367">
        <w:rPr>
          <w:sz w:val="24"/>
          <w:szCs w:val="24"/>
          <w:lang w:val="fi-FI"/>
        </w:rPr>
        <w:t xml:space="preserve"> a </w:t>
      </w:r>
      <w:proofErr w:type="spellStart"/>
      <w:r w:rsidRPr="004A5367">
        <w:rPr>
          <w:sz w:val="24"/>
          <w:szCs w:val="24"/>
          <w:lang w:val="fi-FI"/>
        </w:rPr>
        <w:t>autobusové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dopravy</w:t>
      </w:r>
      <w:proofErr w:type="spellEnd"/>
      <w:r w:rsidRPr="004A5367">
        <w:rPr>
          <w:sz w:val="24"/>
          <w:szCs w:val="24"/>
          <w:lang w:val="fi-FI"/>
        </w:rPr>
        <w:t xml:space="preserve"> a o </w:t>
      </w:r>
      <w:proofErr w:type="spellStart"/>
      <w:r w:rsidRPr="004A5367">
        <w:rPr>
          <w:sz w:val="24"/>
          <w:szCs w:val="24"/>
          <w:lang w:val="fi-FI"/>
        </w:rPr>
        <w:t>změně</w:t>
      </w:r>
      <w:proofErr w:type="spellEnd"/>
      <w:r w:rsidRPr="004A5367">
        <w:rPr>
          <w:sz w:val="24"/>
          <w:szCs w:val="24"/>
          <w:lang w:val="fi-FI"/>
        </w:rPr>
        <w:t xml:space="preserve"> </w:t>
      </w:r>
      <w:proofErr w:type="spellStart"/>
      <w:r w:rsidRPr="004A5367">
        <w:rPr>
          <w:sz w:val="24"/>
          <w:szCs w:val="24"/>
          <w:lang w:val="fi-FI"/>
        </w:rPr>
        <w:t>nařízení</w:t>
      </w:r>
      <w:proofErr w:type="spellEnd"/>
      <w:r w:rsidRPr="004A5367">
        <w:rPr>
          <w:sz w:val="24"/>
          <w:szCs w:val="24"/>
          <w:lang w:val="fi-FI"/>
        </w:rPr>
        <w:t xml:space="preserve"> (ES) č. 561/2006 (</w:t>
      </w:r>
      <w:proofErr w:type="spellStart"/>
      <w:r w:rsidRPr="004A5367">
        <w:rPr>
          <w:sz w:val="24"/>
          <w:szCs w:val="24"/>
          <w:lang w:val="fi-FI"/>
        </w:rPr>
        <w:t>Úř</w:t>
      </w:r>
      <w:proofErr w:type="spellEnd"/>
      <w:r w:rsidRPr="004A5367">
        <w:rPr>
          <w:sz w:val="24"/>
          <w:szCs w:val="24"/>
          <w:lang w:val="fi-FI"/>
        </w:rPr>
        <w:t xml:space="preserve">. </w:t>
      </w:r>
      <w:proofErr w:type="spellStart"/>
      <w:r w:rsidRPr="004A5367">
        <w:rPr>
          <w:sz w:val="24"/>
          <w:szCs w:val="24"/>
          <w:lang w:val="fi-FI"/>
        </w:rPr>
        <w:t>věst</w:t>
      </w:r>
      <w:proofErr w:type="spellEnd"/>
      <w:r w:rsidRPr="004A5367">
        <w:rPr>
          <w:sz w:val="24"/>
          <w:szCs w:val="24"/>
          <w:lang w:val="fi-FI"/>
        </w:rPr>
        <w:t>. L 300, 14.11.2009, s. 88, ELI: </w:t>
      </w:r>
      <w:r>
        <w:fldChar w:fldCharType="begin"/>
      </w:r>
      <w:r w:rsidRPr="00B41526">
        <w:rPr>
          <w:lang w:val="fi-FI"/>
        </w:rPr>
        <w:instrText>HYPERLINK "http://data.europa.eu/eli/reg/2009/1073/oj" \o "Umožňuje přístup k tomuto dokumentu prostřednictvím jeho identifikátoru ELI URI."</w:instrText>
      </w:r>
      <w:r>
        <w:fldChar w:fldCharType="separate"/>
      </w:r>
      <w:r w:rsidRPr="004A5367">
        <w:rPr>
          <w:rStyle w:val="Hyperlink"/>
          <w:sz w:val="24"/>
          <w:szCs w:val="24"/>
          <w:lang w:val="fi-FI"/>
        </w:rPr>
        <w:t>http://data.europa.eu/eli/reg/2009/1073/oj</w:t>
      </w:r>
      <w:r>
        <w:fldChar w:fldCharType="end"/>
      </w:r>
      <w:r w:rsidRPr="004A5367">
        <w:rPr>
          <w:sz w:val="24"/>
          <w:szCs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2182" w14:textId="77777777" w:rsidR="00064002" w:rsidRPr="00A712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27FF5" w14:textId="77777777" w:rsidR="00064002" w:rsidRPr="00A712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0ADA" w14:textId="77777777" w:rsidR="00064002" w:rsidRPr="00A712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4A0"/>
    <w:multiLevelType w:val="hybridMultilevel"/>
    <w:tmpl w:val="4E081380"/>
    <w:lvl w:ilvl="0" w:tplc="C0922A84">
      <w:start w:val="7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B737E6"/>
    <w:multiLevelType w:val="hybridMultilevel"/>
    <w:tmpl w:val="619C02A4"/>
    <w:lvl w:ilvl="0" w:tplc="66E24FEC">
      <w:start w:val="1"/>
      <w:numFmt w:val="decimal"/>
      <w:lvlText w:val="%1."/>
      <w:lvlJc w:val="left"/>
      <w:pPr>
        <w:ind w:left="142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25D755F6"/>
    <w:multiLevelType w:val="hybridMultilevel"/>
    <w:tmpl w:val="ED86F09E"/>
    <w:lvl w:ilvl="0" w:tplc="806ABFA0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3B0A28BD"/>
    <w:multiLevelType w:val="hybridMultilevel"/>
    <w:tmpl w:val="0BC27728"/>
    <w:lvl w:ilvl="0" w:tplc="4914DF32">
      <w:start w:val="1"/>
      <w:numFmt w:val="lowerLetter"/>
      <w:lvlText w:val="%1)"/>
      <w:lvlJc w:val="left"/>
      <w:pPr>
        <w:ind w:left="1988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503753F"/>
    <w:multiLevelType w:val="hybridMultilevel"/>
    <w:tmpl w:val="B106D244"/>
    <w:lvl w:ilvl="0" w:tplc="B0B22A00">
      <w:start w:val="1"/>
      <w:numFmt w:val="lowerLetter"/>
      <w:lvlText w:val="(%1)"/>
      <w:lvlJc w:val="left"/>
      <w:pPr>
        <w:ind w:left="1973" w:hanging="5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86239750">
    <w:abstractNumId w:val="9"/>
  </w:num>
  <w:num w:numId="2" w16cid:durableId="2121877532">
    <w:abstractNumId w:val="9"/>
  </w:num>
  <w:num w:numId="3" w16cid:durableId="1780835863">
    <w:abstractNumId w:val="7"/>
  </w:num>
  <w:num w:numId="4" w16cid:durableId="1352564337">
    <w:abstractNumId w:val="7"/>
  </w:num>
  <w:num w:numId="5" w16cid:durableId="1194657190">
    <w:abstractNumId w:val="6"/>
  </w:num>
  <w:num w:numId="6" w16cid:durableId="1071974329">
    <w:abstractNumId w:val="6"/>
  </w:num>
  <w:num w:numId="7" w16cid:durableId="1564296036">
    <w:abstractNumId w:val="5"/>
  </w:num>
  <w:num w:numId="8" w16cid:durableId="1933512237">
    <w:abstractNumId w:val="5"/>
  </w:num>
  <w:num w:numId="9" w16cid:durableId="302974005">
    <w:abstractNumId w:val="4"/>
  </w:num>
  <w:num w:numId="10" w16cid:durableId="1760952903">
    <w:abstractNumId w:val="4"/>
  </w:num>
  <w:num w:numId="11" w16cid:durableId="473260042">
    <w:abstractNumId w:val="8"/>
  </w:num>
  <w:num w:numId="12" w16cid:durableId="1191987326">
    <w:abstractNumId w:val="8"/>
  </w:num>
  <w:num w:numId="13" w16cid:durableId="190187867">
    <w:abstractNumId w:val="3"/>
  </w:num>
  <w:num w:numId="14" w16cid:durableId="10381549">
    <w:abstractNumId w:val="3"/>
  </w:num>
  <w:num w:numId="15" w16cid:durableId="369964497">
    <w:abstractNumId w:val="2"/>
  </w:num>
  <w:num w:numId="16" w16cid:durableId="526527486">
    <w:abstractNumId w:val="2"/>
  </w:num>
  <w:num w:numId="17" w16cid:durableId="1598249672">
    <w:abstractNumId w:val="1"/>
  </w:num>
  <w:num w:numId="18" w16cid:durableId="1806005085">
    <w:abstractNumId w:val="1"/>
  </w:num>
  <w:num w:numId="19" w16cid:durableId="358045097">
    <w:abstractNumId w:val="0"/>
  </w:num>
  <w:num w:numId="20" w16cid:durableId="670256998">
    <w:abstractNumId w:val="0"/>
  </w:num>
  <w:num w:numId="21" w16cid:durableId="1882980706">
    <w:abstractNumId w:val="9"/>
  </w:num>
  <w:num w:numId="22" w16cid:durableId="281692935">
    <w:abstractNumId w:val="7"/>
  </w:num>
  <w:num w:numId="23" w16cid:durableId="710957049">
    <w:abstractNumId w:val="6"/>
  </w:num>
  <w:num w:numId="24" w16cid:durableId="887910331">
    <w:abstractNumId w:val="5"/>
  </w:num>
  <w:num w:numId="25" w16cid:durableId="630328335">
    <w:abstractNumId w:val="4"/>
  </w:num>
  <w:num w:numId="26" w16cid:durableId="378743242">
    <w:abstractNumId w:val="8"/>
  </w:num>
  <w:num w:numId="27" w16cid:durableId="912204639">
    <w:abstractNumId w:val="3"/>
  </w:num>
  <w:num w:numId="28" w16cid:durableId="2093693430">
    <w:abstractNumId w:val="2"/>
  </w:num>
  <w:num w:numId="29" w16cid:durableId="1330789607">
    <w:abstractNumId w:val="1"/>
  </w:num>
  <w:num w:numId="30" w16cid:durableId="516039445">
    <w:abstractNumId w:val="0"/>
  </w:num>
  <w:num w:numId="31" w16cid:durableId="764110408">
    <w:abstractNumId w:val="9"/>
  </w:num>
  <w:num w:numId="32" w16cid:durableId="1665351232">
    <w:abstractNumId w:val="7"/>
  </w:num>
  <w:num w:numId="33" w16cid:durableId="1574579946">
    <w:abstractNumId w:val="6"/>
  </w:num>
  <w:num w:numId="34" w16cid:durableId="1762332520">
    <w:abstractNumId w:val="5"/>
  </w:num>
  <w:num w:numId="35" w16cid:durableId="1271205520">
    <w:abstractNumId w:val="4"/>
  </w:num>
  <w:num w:numId="36" w16cid:durableId="1622344202">
    <w:abstractNumId w:val="8"/>
  </w:num>
  <w:num w:numId="37" w16cid:durableId="1786315390">
    <w:abstractNumId w:val="3"/>
  </w:num>
  <w:num w:numId="38" w16cid:durableId="764962277">
    <w:abstractNumId w:val="2"/>
  </w:num>
  <w:num w:numId="39" w16cid:durableId="1396128584">
    <w:abstractNumId w:val="1"/>
  </w:num>
  <w:num w:numId="40" w16cid:durableId="1007749433">
    <w:abstractNumId w:val="0"/>
  </w:num>
  <w:num w:numId="41" w16cid:durableId="688221223">
    <w:abstractNumId w:val="12"/>
  </w:num>
  <w:num w:numId="42" w16cid:durableId="703944972">
    <w:abstractNumId w:val="12"/>
  </w:num>
  <w:num w:numId="43" w16cid:durableId="1553617928">
    <w:abstractNumId w:val="12"/>
  </w:num>
  <w:num w:numId="44" w16cid:durableId="2093549648">
    <w:abstractNumId w:val="14"/>
  </w:num>
  <w:num w:numId="45" w16cid:durableId="1984039304">
    <w:abstractNumId w:val="10"/>
  </w:num>
  <w:num w:numId="46" w16cid:durableId="596449942">
    <w:abstractNumId w:val="11"/>
  </w:num>
  <w:num w:numId="47" w16cid:durableId="1031879294">
    <w:abstractNumId w:val="15"/>
  </w:num>
  <w:num w:numId="48" w16cid:durableId="388501997">
    <w:abstractNumId w:val="16"/>
  </w:num>
  <w:num w:numId="49" w16cid:durableId="3477569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4/2026"/>
    <w:docVar w:name="dvlangue" w:val="CS"/>
    <w:docVar w:name="dvnumam" w:val="2"/>
    <w:docVar w:name="dvpe" w:val="785.404"/>
    <w:docVar w:name="dvrapporteur" w:val="Zpravodajka: "/>
    <w:docVar w:name="dvstar" w:val="***I"/>
    <w:docVar w:name="dvtitre" w:val="Legislativní usnesení Evropského parlamentu ze dne 7. července 2026 o návrhu rozhodnutí Evropského parlamentu a Rady, kterým se Rakousko zmocňuje ke změně své stávající dvoustranné dohody o silniční dopravě se Švýcarskem za účelem povolení kabotáže v rámci provozování mezinárodní osobní silniční autokarové a autobusové dopravy v příhraničních oblastech mezi oběma zeměmi(COM(2025)0773 – C10-0367/2025 – 2025/0407(COD))"/>
  </w:docVars>
  <w:rsids>
    <w:rsidRoot w:val="004921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813"/>
    <w:rsid w:val="001F32AE"/>
    <w:rsid w:val="002767FF"/>
    <w:rsid w:val="002B18FE"/>
    <w:rsid w:val="002B5493"/>
    <w:rsid w:val="002C6EEE"/>
    <w:rsid w:val="00343214"/>
    <w:rsid w:val="00361C00"/>
    <w:rsid w:val="00395FA1"/>
    <w:rsid w:val="003E15D4"/>
    <w:rsid w:val="00411CCE"/>
    <w:rsid w:val="00415B7E"/>
    <w:rsid w:val="0041666E"/>
    <w:rsid w:val="00421060"/>
    <w:rsid w:val="00471C19"/>
    <w:rsid w:val="004867E3"/>
    <w:rsid w:val="004921D4"/>
    <w:rsid w:val="00494A28"/>
    <w:rsid w:val="004A5367"/>
    <w:rsid w:val="004C0004"/>
    <w:rsid w:val="004C5D52"/>
    <w:rsid w:val="004E6A60"/>
    <w:rsid w:val="00501392"/>
    <w:rsid w:val="0050519A"/>
    <w:rsid w:val="005072A1"/>
    <w:rsid w:val="00514517"/>
    <w:rsid w:val="00545827"/>
    <w:rsid w:val="00560270"/>
    <w:rsid w:val="00575EBB"/>
    <w:rsid w:val="005C2568"/>
    <w:rsid w:val="005C3D1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FB1"/>
    <w:rsid w:val="00865F67"/>
    <w:rsid w:val="00881A7B"/>
    <w:rsid w:val="008840E5"/>
    <w:rsid w:val="00887B3E"/>
    <w:rsid w:val="008B0037"/>
    <w:rsid w:val="008C2AC6"/>
    <w:rsid w:val="009149CD"/>
    <w:rsid w:val="00930C23"/>
    <w:rsid w:val="0093193B"/>
    <w:rsid w:val="009509D8"/>
    <w:rsid w:val="00950B64"/>
    <w:rsid w:val="00981893"/>
    <w:rsid w:val="009F228E"/>
    <w:rsid w:val="00A1687D"/>
    <w:rsid w:val="00A43E52"/>
    <w:rsid w:val="00A4678D"/>
    <w:rsid w:val="00A7124F"/>
    <w:rsid w:val="00A778C7"/>
    <w:rsid w:val="00AB441E"/>
    <w:rsid w:val="00AB6293"/>
    <w:rsid w:val="00AE0928"/>
    <w:rsid w:val="00AF3B82"/>
    <w:rsid w:val="00B12E95"/>
    <w:rsid w:val="00B22876"/>
    <w:rsid w:val="00B41526"/>
    <w:rsid w:val="00B558F0"/>
    <w:rsid w:val="00B717CA"/>
    <w:rsid w:val="00B74F30"/>
    <w:rsid w:val="00BD48FE"/>
    <w:rsid w:val="00BD7BD8"/>
    <w:rsid w:val="00BE6ADC"/>
    <w:rsid w:val="00C05BFE"/>
    <w:rsid w:val="00C23CD4"/>
    <w:rsid w:val="00C61C0C"/>
    <w:rsid w:val="00C65786"/>
    <w:rsid w:val="00C941CB"/>
    <w:rsid w:val="00CC2357"/>
    <w:rsid w:val="00CD1A45"/>
    <w:rsid w:val="00CF071A"/>
    <w:rsid w:val="00CF7F19"/>
    <w:rsid w:val="00D058B8"/>
    <w:rsid w:val="00D21A43"/>
    <w:rsid w:val="00D5123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836D5"/>
  <w15:chartTrackingRefBased/>
  <w15:docId w15:val="{483A56C6-AC89-4088-856A-FFF4CF2F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C3D10"/>
    <w:rPr>
      <w:b/>
    </w:rPr>
  </w:style>
  <w:style w:type="paragraph" w:customStyle="1" w:styleId="AmJustText">
    <w:name w:val="AmJustText"/>
    <w:basedOn w:val="Normal"/>
    <w:rsid w:val="005C3D1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C3D10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5C3D10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5C3D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C3D10"/>
    <w:pPr>
      <w:spacing w:before="480" w:after="240"/>
    </w:pPr>
  </w:style>
  <w:style w:type="character" w:styleId="Hyperlink">
    <w:name w:val="Hyperlink"/>
    <w:basedOn w:val="DefaultParagraphFont"/>
    <w:uiPriority w:val="99"/>
    <w:rsid w:val="005C3D10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5C3D10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5C3D1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C3D10"/>
    <w:rPr>
      <w:b/>
      <w:sz w:val="24"/>
      <w:lang w:val="cs-CZ"/>
    </w:rPr>
  </w:style>
  <w:style w:type="paragraph" w:customStyle="1" w:styleId="ColumnHeading">
    <w:name w:val="ColumnHeading"/>
    <w:basedOn w:val="Normal"/>
    <w:rsid w:val="005C3D10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4E6A60"/>
    <w:rPr>
      <w:sz w:val="24"/>
      <w:lang w:val="cs-CZ"/>
    </w:rPr>
  </w:style>
  <w:style w:type="character" w:styleId="CommentReference">
    <w:name w:val="annotation reference"/>
    <w:basedOn w:val="DefaultParagraphFont"/>
    <w:rsid w:val="002C6E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6E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6EE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2C6E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6EEE"/>
    <w:rPr>
      <w:b/>
      <w:bCs/>
      <w:lang w:val="cs-CZ"/>
    </w:rPr>
  </w:style>
  <w:style w:type="numbering" w:customStyle="1" w:styleId="NoList1">
    <w:name w:val="No List1"/>
    <w:next w:val="NoList"/>
    <w:uiPriority w:val="99"/>
    <w:semiHidden/>
    <w:unhideWhenUsed/>
    <w:rsid w:val="00B74F30"/>
  </w:style>
  <w:style w:type="character" w:customStyle="1" w:styleId="Heading1Char">
    <w:name w:val="Heading 1 Char"/>
    <w:basedOn w:val="DefaultParagraphFont"/>
    <w:link w:val="Heading1"/>
    <w:rsid w:val="00B74F3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F3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F3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F3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F3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F3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F3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F3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F30"/>
    <w:rPr>
      <w:rFonts w:ascii="Arial" w:hAnsi="Arial"/>
      <w:b/>
      <w:i/>
      <w:sz w:val="18"/>
      <w:lang w:val="cs-CZ"/>
    </w:rPr>
  </w:style>
  <w:style w:type="paragraph" w:customStyle="1" w:styleId="Title1">
    <w:name w:val="Title1"/>
    <w:basedOn w:val="Normal"/>
    <w:next w:val="Normal"/>
    <w:uiPriority w:val="10"/>
    <w:qFormat/>
    <w:rsid w:val="00B74F30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4F30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B74F30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4F30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B74F30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B74F30"/>
    <w:rPr>
      <w:rFonts w:ascii="Aptos" w:hAnsi="Aptos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B74F30"/>
    <w:pPr>
      <w:widowControl/>
      <w:jc w:val="both"/>
    </w:pPr>
    <w:rPr>
      <w:rFonts w:eastAsia="Aptos"/>
      <w:kern w:val="2"/>
      <w:szCs w:val="32"/>
      <w:lang w:val="en-GB"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B74F30"/>
    <w:pPr>
      <w:widowControl/>
      <w:ind w:left="720"/>
      <w:contextualSpacing/>
      <w:jc w:val="both"/>
    </w:pPr>
    <w:rPr>
      <w:rFonts w:eastAsia="Aptos"/>
      <w:kern w:val="2"/>
      <w:szCs w:val="24"/>
      <w:lang w:val="en-GB"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B74F30"/>
    <w:pPr>
      <w:widowControl/>
      <w:jc w:val="both"/>
    </w:pPr>
    <w:rPr>
      <w:rFonts w:eastAsia="Aptos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4F30"/>
    <w:rPr>
      <w:rFonts w:ascii="Times New Roman" w:hAnsi="Times New Roman"/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B74F30"/>
    <w:pPr>
      <w:widowControl/>
      <w:ind w:left="720" w:right="720"/>
      <w:jc w:val="both"/>
    </w:pPr>
    <w:rPr>
      <w:rFonts w:eastAsia="Aptos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F30"/>
    <w:rPr>
      <w:rFonts w:ascii="Times New Roman" w:hAnsi="Times New Roman"/>
      <w:b/>
      <w:i/>
      <w:sz w:val="24"/>
    </w:rPr>
  </w:style>
  <w:style w:type="character" w:customStyle="1" w:styleId="SubtleEmphasis1">
    <w:name w:val="Subtle Emphasis1"/>
    <w:uiPriority w:val="19"/>
    <w:qFormat/>
    <w:rsid w:val="00B74F30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B74F3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74F3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74F30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B74F30"/>
    <w:rPr>
      <w:rFonts w:ascii="Aptos Display" w:eastAsia="Times New Roman" w:hAnsi="Aptos Display"/>
      <w:b/>
      <w:i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B74F30"/>
    <w:pPr>
      <w:keepLines w:val="0"/>
      <w:spacing w:before="240" w:after="60"/>
      <w:ind w:left="0" w:firstLine="0"/>
      <w:jc w:val="both"/>
      <w:outlineLvl w:val="9"/>
    </w:pPr>
    <w:rPr>
      <w:rFonts w:ascii="Arial" w:hAnsi="Arial" w:cs="Arial"/>
      <w:bCs/>
      <w:kern w:val="32"/>
      <w:sz w:val="32"/>
      <w:szCs w:val="32"/>
      <w:lang w:val="en-GB" w:eastAsia="en-US"/>
      <w14:ligatures w14:val="standardContextual"/>
    </w:rPr>
  </w:style>
  <w:style w:type="numbering" w:customStyle="1" w:styleId="NoList11">
    <w:name w:val="No List11"/>
    <w:next w:val="NoList"/>
    <w:uiPriority w:val="99"/>
    <w:semiHidden/>
    <w:unhideWhenUsed/>
    <w:rsid w:val="00B74F30"/>
  </w:style>
  <w:style w:type="paragraph" w:customStyle="1" w:styleId="EPFooter2">
    <w:name w:val="EPFooter2"/>
    <w:basedOn w:val="Normal"/>
    <w:next w:val="Normal"/>
    <w:rsid w:val="00B74F3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B74F30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FooterRC">
    <w:name w:val="EPFooterRC"/>
    <w:basedOn w:val="Normal"/>
    <w:rsid w:val="00B74F30"/>
    <w:pPr>
      <w:tabs>
        <w:tab w:val="center" w:pos="4535"/>
        <w:tab w:val="left" w:pos="6662"/>
      </w:tabs>
    </w:pPr>
    <w:rPr>
      <w:sz w:val="22"/>
    </w:rPr>
  </w:style>
  <w:style w:type="paragraph" w:customStyle="1" w:styleId="Institutionquiagit">
    <w:name w:val="Institution qui agit"/>
    <w:basedOn w:val="Normal"/>
    <w:next w:val="Normal"/>
    <w:rsid w:val="00B74F30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B74F30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B74F30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B74F30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B74F30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FootnoteTextForceStyle">
    <w:name w:val="Footnote Text ForceStyle"/>
    <w:rsid w:val="00B74F30"/>
    <w:pPr>
      <w:keepLines/>
      <w:spacing w:line="240" w:lineRule="exact"/>
      <w:ind w:left="850" w:hanging="850"/>
    </w:pPr>
    <w:rPr>
      <w:sz w:val="24"/>
      <w:lang w:val="cs-CZ" w:eastAsia="en-US"/>
    </w:rPr>
  </w:style>
  <w:style w:type="paragraph" w:customStyle="1" w:styleId="Considrant">
    <w:name w:val="Considérant"/>
    <w:basedOn w:val="Normal"/>
    <w:rsid w:val="00B74F30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B74F30"/>
    <w:pPr>
      <w:widowControl/>
      <w:jc w:val="center"/>
    </w:pPr>
    <w:rPr>
      <w:szCs w:val="24"/>
      <w:lang w:eastAsia="en-US"/>
    </w:rPr>
  </w:style>
  <w:style w:type="paragraph" w:customStyle="1" w:styleId="Normale">
    <w:name w:val="Normale"/>
    <w:rsid w:val="00B74F30"/>
    <w:pPr>
      <w:spacing w:before="120" w:after="120" w:line="360" w:lineRule="auto"/>
    </w:pPr>
    <w:rPr>
      <w:sz w:val="24"/>
      <w:lang w:val="cs-CZ" w:eastAsia="en-US"/>
    </w:rPr>
  </w:style>
  <w:style w:type="character" w:customStyle="1" w:styleId="Hyperlink1">
    <w:name w:val="Hyperlink1"/>
    <w:basedOn w:val="DefaultParagraphFont"/>
    <w:uiPriority w:val="99"/>
    <w:rsid w:val="00B74F30"/>
    <w:rPr>
      <w:color w:val="0563C1"/>
      <w:u w:val="single"/>
    </w:rPr>
  </w:style>
  <w:style w:type="paragraph" w:styleId="Header">
    <w:name w:val="header"/>
    <w:basedOn w:val="Normal"/>
    <w:link w:val="HeaderChar"/>
    <w:rsid w:val="00B74F30"/>
    <w:pPr>
      <w:widowControl/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4F30"/>
    <w:rPr>
      <w:sz w:val="24"/>
      <w:lang w:val="cs-CZ"/>
    </w:rPr>
  </w:style>
  <w:style w:type="paragraph" w:styleId="Footer">
    <w:name w:val="footer"/>
    <w:basedOn w:val="Normal"/>
    <w:link w:val="FooterChar"/>
    <w:rsid w:val="00B74F30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74F30"/>
    <w:rPr>
      <w:sz w:val="24"/>
      <w:lang w:val="cs-CZ"/>
    </w:rPr>
  </w:style>
  <w:style w:type="character" w:customStyle="1" w:styleId="Footer2">
    <w:name w:val="Footer2"/>
    <w:rsid w:val="00B74F30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B74F30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val="en-GB" w:eastAsia="en-US"/>
    </w:rPr>
  </w:style>
  <w:style w:type="paragraph" w:customStyle="1" w:styleId="Normal3a">
    <w:name w:val="Normal3a"/>
    <w:basedOn w:val="Normal"/>
    <w:rsid w:val="00B74F30"/>
    <w:pPr>
      <w:widowControl/>
      <w:spacing w:after="6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B74F30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B74F30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B74F30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B74F30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B74F30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EntLogo">
    <w:name w:val="EntLogo"/>
    <w:basedOn w:val="Normal"/>
    <w:rsid w:val="00B74F30"/>
    <w:pPr>
      <w:widowControl/>
      <w:tabs>
        <w:tab w:val="right" w:pos="9639"/>
      </w:tabs>
      <w:spacing w:line="360" w:lineRule="auto"/>
    </w:pPr>
    <w:rPr>
      <w:b/>
      <w:szCs w:val="24"/>
      <w:lang w:eastAsia="en-US"/>
    </w:rPr>
  </w:style>
  <w:style w:type="paragraph" w:customStyle="1" w:styleId="EntInstit">
    <w:name w:val="EntInstit"/>
    <w:basedOn w:val="Normal"/>
    <w:rsid w:val="00B74F30"/>
    <w:pPr>
      <w:widowControl/>
      <w:jc w:val="right"/>
    </w:pPr>
    <w:rPr>
      <w:b/>
      <w:szCs w:val="24"/>
      <w:lang w:eastAsia="en-US"/>
    </w:rPr>
  </w:style>
  <w:style w:type="paragraph" w:customStyle="1" w:styleId="EntRefer">
    <w:name w:val="EntRefer"/>
    <w:basedOn w:val="Normal"/>
    <w:rsid w:val="00B74F30"/>
    <w:pPr>
      <w:widowControl/>
    </w:pPr>
    <w:rPr>
      <w:b/>
      <w:szCs w:val="24"/>
      <w:lang w:eastAsia="en-US"/>
    </w:rPr>
  </w:style>
  <w:style w:type="paragraph" w:customStyle="1" w:styleId="EntEU">
    <w:name w:val="EntEU"/>
    <w:basedOn w:val="Normal"/>
    <w:rsid w:val="00B74F30"/>
    <w:pPr>
      <w:widowControl/>
      <w:spacing w:before="240" w:after="240"/>
      <w:jc w:val="center"/>
    </w:pPr>
    <w:rPr>
      <w:b/>
      <w:sz w:val="36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74F30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B74F30"/>
  </w:style>
  <w:style w:type="paragraph" w:styleId="Title">
    <w:name w:val="Title"/>
    <w:basedOn w:val="Normal"/>
    <w:next w:val="Normal"/>
    <w:link w:val="TitleChar"/>
    <w:uiPriority w:val="10"/>
    <w:qFormat/>
    <w:rsid w:val="00B74F30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B74F30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F30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B74F3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cs-CZ"/>
    </w:rPr>
  </w:style>
  <w:style w:type="character" w:styleId="Emphasis">
    <w:name w:val="Emphasis"/>
    <w:basedOn w:val="DefaultParagraphFont"/>
    <w:qFormat/>
    <w:rsid w:val="00B74F30"/>
    <w:rPr>
      <w:i/>
      <w:iCs/>
    </w:rPr>
  </w:style>
  <w:style w:type="paragraph" w:styleId="NoSpacing">
    <w:name w:val="No Spacing"/>
    <w:uiPriority w:val="1"/>
    <w:qFormat/>
    <w:rsid w:val="00B74F30"/>
    <w:pPr>
      <w:widowControl w:val="0"/>
    </w:pPr>
    <w:rPr>
      <w:sz w:val="24"/>
      <w:lang w:val="cs-CZ"/>
    </w:rPr>
  </w:style>
  <w:style w:type="paragraph" w:styleId="ListParagraph">
    <w:name w:val="List Paragraph"/>
    <w:basedOn w:val="Normal"/>
    <w:uiPriority w:val="34"/>
    <w:qFormat/>
    <w:rsid w:val="00B74F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74F30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B74F30"/>
    <w:rPr>
      <w:i/>
      <w:iCs/>
      <w:color w:val="404040" w:themeColor="text1" w:themeTint="BF"/>
      <w:sz w:val="24"/>
      <w:lang w:val="cs-CZ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F3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B74F30"/>
    <w:rPr>
      <w:i/>
      <w:iCs/>
      <w:color w:val="5B9BD5" w:themeColor="accent1"/>
      <w:sz w:val="24"/>
      <w:lang w:val="cs-CZ"/>
    </w:rPr>
  </w:style>
  <w:style w:type="character" w:styleId="SubtleEmphasis">
    <w:name w:val="Subtle Emphasis"/>
    <w:basedOn w:val="DefaultParagraphFont"/>
    <w:uiPriority w:val="19"/>
    <w:qFormat/>
    <w:rsid w:val="00B74F30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74F3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1003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2026-07-07T11:07:00Z</dcterms:created>
  <dcterms:modified xsi:type="dcterms:W3CDTF">2026-07-07T11:07:00Z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A10-0174/2026</vt:lpwstr>
  </property>
  <property fmtid="{D5CDD505-2E9C-101B-9397-08002B2CF9AE}" pid="4" name="&lt;Type&gt;">
    <vt:lpwstr>RR</vt:lpwstr>
  </property>
</Properties>
</file>