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6E43" w14:paraId="48365801" w14:textId="77777777" w:rsidTr="0010095E">
        <w:trPr>
          <w:trHeight w:hRule="exact" w:val="1418"/>
        </w:trPr>
        <w:tc>
          <w:tcPr>
            <w:tcW w:w="6804" w:type="dxa"/>
            <w:shd w:val="clear" w:color="auto" w:fill="auto"/>
            <w:vAlign w:val="center"/>
          </w:tcPr>
          <w:p w14:paraId="24AB5E7D" w14:textId="77777777" w:rsidR="00751A4A" w:rsidRPr="00CB6E43" w:rsidRDefault="00141D07" w:rsidP="0010095E">
            <w:pPr>
              <w:pStyle w:val="EPName"/>
            </w:pPr>
            <w:r w:rsidRPr="00CB6E43">
              <w:t>Europa-Parlamentet</w:t>
            </w:r>
          </w:p>
          <w:p w14:paraId="5D54A824" w14:textId="77777777" w:rsidR="00751A4A" w:rsidRPr="00CB6E43" w:rsidRDefault="005F1B17" w:rsidP="005F1B17">
            <w:pPr>
              <w:pStyle w:val="EPTerm"/>
              <w:rPr>
                <w:rStyle w:val="HideTWBExt"/>
                <w:noProof w:val="0"/>
                <w:vanish w:val="0"/>
                <w:color w:val="auto"/>
              </w:rPr>
            </w:pPr>
            <w:r w:rsidRPr="00CB6E43">
              <w:t>2024</w:t>
            </w:r>
            <w:r w:rsidR="00817416" w:rsidRPr="00CB6E43">
              <w:t>-202</w:t>
            </w:r>
            <w:r w:rsidRPr="00CB6E43">
              <w:t>9</w:t>
            </w:r>
          </w:p>
        </w:tc>
        <w:tc>
          <w:tcPr>
            <w:tcW w:w="2268" w:type="dxa"/>
            <w:shd w:val="clear" w:color="auto" w:fill="auto"/>
          </w:tcPr>
          <w:p w14:paraId="13C358E7" w14:textId="77777777" w:rsidR="00751A4A" w:rsidRPr="00CB6E43" w:rsidRDefault="00187494" w:rsidP="0010095E">
            <w:pPr>
              <w:pStyle w:val="EPLogo"/>
            </w:pPr>
            <w:r w:rsidRPr="00CB6E43">
              <w:rPr>
                <w:noProof/>
                <w:lang w:eastAsia="ja-JP"/>
              </w:rPr>
              <w:drawing>
                <wp:inline distT="0" distB="0" distL="0" distR="0" wp14:anchorId="000A6567" wp14:editId="29E0DC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DB0025" w14:textId="77777777" w:rsidR="00D058B8" w:rsidRPr="00CB6E43" w:rsidRDefault="00D058B8" w:rsidP="004C5D52">
      <w:pPr>
        <w:pStyle w:val="LineTop"/>
      </w:pPr>
    </w:p>
    <w:p w14:paraId="57A166DA" w14:textId="77777777" w:rsidR="00680577" w:rsidRPr="00CB6E43" w:rsidRDefault="00141D07" w:rsidP="00680577">
      <w:pPr>
        <w:pStyle w:val="EPBodyTA1"/>
      </w:pPr>
      <w:r w:rsidRPr="00CB6E43">
        <w:t>VEDTAGNE TEKSTER</w:t>
      </w:r>
    </w:p>
    <w:p w14:paraId="65F3AA1C" w14:textId="77777777" w:rsidR="00D058B8" w:rsidRPr="00CB6E43" w:rsidRDefault="00D058B8" w:rsidP="00D058B8">
      <w:pPr>
        <w:pStyle w:val="LineBottom"/>
      </w:pPr>
    </w:p>
    <w:p w14:paraId="4FD1EA1C" w14:textId="473BEF1C" w:rsidR="00141D07" w:rsidRPr="00CB6E43" w:rsidRDefault="00141D07" w:rsidP="00141D07">
      <w:pPr>
        <w:pStyle w:val="ATHeading1"/>
      </w:pPr>
      <w:bookmarkStart w:id="0" w:name="TANumber"/>
      <w:r w:rsidRPr="00CB6E43">
        <w:t>P10_</w:t>
      </w:r>
      <w:proofErr w:type="gramStart"/>
      <w:r w:rsidRPr="00CB6E43">
        <w:t>TA(</w:t>
      </w:r>
      <w:proofErr w:type="gramEnd"/>
      <w:r w:rsidRPr="00CB6E43">
        <w:t>2026)0</w:t>
      </w:r>
      <w:bookmarkEnd w:id="0"/>
      <w:r w:rsidR="00E66083">
        <w:t>241</w:t>
      </w:r>
    </w:p>
    <w:p w14:paraId="430F0A44" w14:textId="19B4AC22" w:rsidR="00141D07" w:rsidRPr="00CB6E43" w:rsidRDefault="003E3EA0" w:rsidP="003E3EA0">
      <w:pPr>
        <w:pStyle w:val="ATHeading2"/>
      </w:pPr>
      <w:r w:rsidRPr="00120341">
        <w:rPr>
          <w:bCs/>
        </w:rPr>
        <w:t>International personbefordring ad vej med bus i grænseregionerne: cabotagekørsel mellem Østrig og</w:t>
      </w:r>
      <w:r>
        <w:rPr>
          <w:bCs/>
        </w:rPr>
        <w:t xml:space="preserve"> </w:t>
      </w:r>
      <w:r w:rsidRPr="00120341">
        <w:rPr>
          <w:bCs/>
        </w:rPr>
        <w:t>Schweiz</w:t>
      </w:r>
    </w:p>
    <w:p w14:paraId="3309A13B" w14:textId="77777777" w:rsidR="00141D07" w:rsidRPr="00CB6E43" w:rsidRDefault="00141D07" w:rsidP="00141D07">
      <w:pPr>
        <w:rPr>
          <w:i/>
          <w:vanish/>
        </w:rPr>
      </w:pPr>
      <w:r w:rsidRPr="00CB6E43">
        <w:rPr>
          <w:i/>
        </w:rPr>
        <w:fldChar w:fldCharType="begin"/>
      </w:r>
      <w:r w:rsidRPr="00CB6E43">
        <w:rPr>
          <w:i/>
        </w:rPr>
        <w:instrText xml:space="preserve"> TC"(</w:instrText>
      </w:r>
      <w:bookmarkStart w:id="1" w:name="DocNumber"/>
      <w:r w:rsidRPr="00CB6E43">
        <w:rPr>
          <w:i/>
        </w:rPr>
        <w:instrText>A10-0174/2026</w:instrText>
      </w:r>
      <w:bookmarkEnd w:id="1"/>
      <w:r w:rsidRPr="00CB6E43">
        <w:rPr>
          <w:i/>
        </w:rPr>
        <w:instrText xml:space="preserve"> - Ordfører: </w:instrText>
      </w:r>
      <w:proofErr w:type="spellStart"/>
      <w:r w:rsidRPr="00CB6E43">
        <w:rPr>
          <w:i/>
        </w:rPr>
        <w:instrText>Elissavet</w:instrText>
      </w:r>
      <w:proofErr w:type="spellEnd"/>
      <w:r w:rsidRPr="00CB6E43">
        <w:rPr>
          <w:i/>
        </w:rPr>
        <w:instrText xml:space="preserve"> </w:instrText>
      </w:r>
      <w:proofErr w:type="spellStart"/>
      <w:r w:rsidRPr="00CB6E43">
        <w:rPr>
          <w:i/>
        </w:rPr>
        <w:instrText>Vozemberg-Vrionidi</w:instrText>
      </w:r>
      <w:proofErr w:type="spellEnd"/>
      <w:r w:rsidRPr="00CB6E43">
        <w:rPr>
          <w:i/>
        </w:rPr>
        <w:instrText xml:space="preserve">)"\l3 \n&gt; \* MERGEFORMAT </w:instrText>
      </w:r>
      <w:r w:rsidRPr="00CB6E43">
        <w:rPr>
          <w:i/>
        </w:rPr>
        <w:fldChar w:fldCharType="end"/>
      </w:r>
    </w:p>
    <w:p w14:paraId="137B15B3" w14:textId="77777777" w:rsidR="00141D07" w:rsidRPr="00CB6E43" w:rsidRDefault="00141D07" w:rsidP="00141D07">
      <w:pPr>
        <w:rPr>
          <w:vanish/>
        </w:rPr>
      </w:pPr>
      <w:bookmarkStart w:id="2" w:name="Commission"/>
      <w:r w:rsidRPr="00CB6E43">
        <w:rPr>
          <w:vanish/>
        </w:rPr>
        <w:t>Transport- og Turismeudvalget</w:t>
      </w:r>
      <w:bookmarkEnd w:id="2"/>
    </w:p>
    <w:p w14:paraId="73FC2F84" w14:textId="77777777" w:rsidR="00141D07" w:rsidRPr="00CB6E43" w:rsidRDefault="00141D07" w:rsidP="00141D07">
      <w:pPr>
        <w:rPr>
          <w:vanish/>
        </w:rPr>
      </w:pPr>
      <w:bookmarkStart w:id="3" w:name="PE"/>
      <w:r w:rsidRPr="00CB6E43">
        <w:rPr>
          <w:vanish/>
        </w:rPr>
        <w:t>PE785.404</w:t>
      </w:r>
      <w:bookmarkEnd w:id="3"/>
    </w:p>
    <w:p w14:paraId="2CB7E3B3" w14:textId="2AA85A04" w:rsidR="00141D07" w:rsidRPr="00CB6E43" w:rsidRDefault="00141D07" w:rsidP="00141D07">
      <w:pPr>
        <w:pStyle w:val="ATHeading3"/>
      </w:pPr>
      <w:bookmarkStart w:id="4" w:name="Sujet"/>
      <w:r w:rsidRPr="00CB6E43">
        <w:t xml:space="preserve">Europa-Parlamentets lovgivningsmæssige beslutning af </w:t>
      </w:r>
      <w:r w:rsidR="00F67A29">
        <w:t>7. juli</w:t>
      </w:r>
      <w:r w:rsidRPr="00CB6E43">
        <w:t xml:space="preserve"> 2026 om forslag til Europa-Parlamentets og Rådets afgørelse om bemyndigelse af Østrig til at ændre sin eksisterende bilaterale aftale om vejtransport med Schweiz med henblik på at tillade cabotagekørsel i forbindelse med udøvelse af international personbefordring ad vej med bus i grænseregionerne mellem de to lande</w:t>
      </w:r>
      <w:bookmarkEnd w:id="4"/>
      <w:r w:rsidRPr="00CB6E43">
        <w:t xml:space="preserve"> </w:t>
      </w:r>
      <w:bookmarkStart w:id="5" w:name="References"/>
      <w:r w:rsidRPr="00CB6E43">
        <w:t>(</w:t>
      </w:r>
      <w:proofErr w:type="gramStart"/>
      <w:r w:rsidRPr="00CB6E43">
        <w:t>COM(</w:t>
      </w:r>
      <w:proofErr w:type="gramEnd"/>
      <w:r w:rsidRPr="00CB6E43">
        <w:t>2025)0773 – C10-0367/2025 – 2025/0407(COD))</w:t>
      </w:r>
      <w:bookmarkEnd w:id="5"/>
    </w:p>
    <w:p w14:paraId="16007FD4" w14:textId="77777777" w:rsidR="006D6120" w:rsidRPr="00CB6E43" w:rsidRDefault="006D6120" w:rsidP="006D6120">
      <w:pPr>
        <w:pStyle w:val="NormalBold"/>
      </w:pPr>
      <w:r w:rsidRPr="00CB6E43">
        <w:t>(Almindelig lovgivningsprocedure: førstebehandling)</w:t>
      </w:r>
    </w:p>
    <w:p w14:paraId="2C349A85" w14:textId="77777777" w:rsidR="006D6120" w:rsidRPr="00CB6E43" w:rsidRDefault="006D6120" w:rsidP="006D6120">
      <w:pPr>
        <w:pStyle w:val="EPComma"/>
      </w:pPr>
      <w:r w:rsidRPr="00CB6E43">
        <w:rPr>
          <w:i/>
          <w:iCs/>
        </w:rPr>
        <w:t>Europa-Parlamentet,</w:t>
      </w:r>
    </w:p>
    <w:p w14:paraId="7918A420" w14:textId="77777777" w:rsidR="006D6120" w:rsidRPr="00CB6E43" w:rsidRDefault="006D6120" w:rsidP="006D6120">
      <w:pPr>
        <w:pStyle w:val="NormalHanging12a"/>
      </w:pPr>
      <w:r w:rsidRPr="00CB6E43">
        <w:t>–</w:t>
      </w:r>
      <w:r w:rsidRPr="00CB6E43">
        <w:tab/>
        <w:t>der henviser til Kommissionens forslag til Europa-Parlamentet og Rådet (</w:t>
      </w:r>
      <w:proofErr w:type="gramStart"/>
      <w:r w:rsidRPr="00CB6E43">
        <w:t>COM(</w:t>
      </w:r>
      <w:proofErr w:type="gramEnd"/>
      <w:r w:rsidRPr="00CB6E43">
        <w:t>2025)0773),</w:t>
      </w:r>
    </w:p>
    <w:p w14:paraId="415D483A" w14:textId="67369AF2" w:rsidR="006D6120" w:rsidRPr="00CB6E43" w:rsidRDefault="006D6120" w:rsidP="006D6120">
      <w:pPr>
        <w:pStyle w:val="NormalHanging12a"/>
      </w:pPr>
      <w:r w:rsidRPr="00CB6E43">
        <w:t>–</w:t>
      </w:r>
      <w:r w:rsidRPr="00CB6E43">
        <w:tab/>
        <w:t xml:space="preserve">der henviser til artikel 294, stk. 2, </w:t>
      </w:r>
      <w:r w:rsidR="007303BF">
        <w:t xml:space="preserve">og </w:t>
      </w:r>
      <w:r w:rsidRPr="00CB6E43">
        <w:t>artikel 2, stk. 1, og artikel 91 i traktaten om Den Europæiske Unions funktionsmåde, på grundlag af hvilke Kommissionen har forelagt forslaget for Europa-Parlamentet (C10</w:t>
      </w:r>
      <w:r w:rsidRPr="00CB6E43">
        <w:noBreakHyphen/>
        <w:t>0367/2025),</w:t>
      </w:r>
    </w:p>
    <w:p w14:paraId="32A8A26D" w14:textId="77777777" w:rsidR="006D6120" w:rsidRDefault="006D6120" w:rsidP="006D6120">
      <w:pPr>
        <w:pStyle w:val="NormalHanging12a"/>
      </w:pPr>
      <w:r w:rsidRPr="00CB6E43">
        <w:t>–</w:t>
      </w:r>
      <w:r w:rsidRPr="00CB6E43">
        <w:tab/>
        <w:t>der henviser til artikel 294, stk. 3, i traktaten om Den Europæiske Unions funktionsmåde,</w:t>
      </w:r>
    </w:p>
    <w:p w14:paraId="6800EDB4" w14:textId="58FD1150" w:rsidR="00F67A29" w:rsidRPr="00CB6E43" w:rsidRDefault="00F67A29" w:rsidP="006D6120">
      <w:pPr>
        <w:pStyle w:val="NormalHanging12a"/>
      </w:pPr>
      <w:r w:rsidRPr="00F063A5">
        <w:t>–</w:t>
      </w:r>
      <w:r w:rsidRPr="00F063A5">
        <w:tab/>
      </w:r>
      <w:r w:rsidRPr="00F063A5">
        <w:rPr>
          <w:noProof/>
          <w:szCs w:val="24"/>
        </w:rPr>
        <w:t xml:space="preserve">der henviser til, at Rådets repræsentant ved skrivelse af </w:t>
      </w:r>
      <w:r>
        <w:rPr>
          <w:noProof/>
          <w:szCs w:val="24"/>
        </w:rPr>
        <w:t>10. juni 2026</w:t>
      </w:r>
      <w:r w:rsidRPr="00F063A5">
        <w:rPr>
          <w:noProof/>
          <w:szCs w:val="24"/>
        </w:rPr>
        <w:t xml:space="preserve"> </w:t>
      </w:r>
      <w:r>
        <w:rPr>
          <w:noProof/>
          <w:szCs w:val="24"/>
        </w:rPr>
        <w:t>forpligtede sig til</w:t>
      </w:r>
      <w:r w:rsidRPr="00F063A5">
        <w:rPr>
          <w:noProof/>
          <w:szCs w:val="24"/>
        </w:rPr>
        <w:t xml:space="preserve"> at godkende Europa-Parlamentets holdning, jf. artikel 294, stk. 4, i traktaten om Den Europæiske Unions funktionsmåde</w:t>
      </w:r>
      <w:r w:rsidRPr="00F063A5">
        <w:t>,</w:t>
      </w:r>
    </w:p>
    <w:p w14:paraId="0A6C02C6" w14:textId="77777777" w:rsidR="006D6120" w:rsidRPr="00CB6E43" w:rsidRDefault="006D6120" w:rsidP="006D6120">
      <w:pPr>
        <w:pStyle w:val="NormalHanging12a"/>
      </w:pPr>
      <w:r w:rsidRPr="00CB6E43">
        <w:t>–</w:t>
      </w:r>
      <w:r w:rsidRPr="00CB6E43">
        <w:tab/>
        <w:t>der henviser til udtalelse fra Retsudvalget om det foreslåede retsgrundlag,</w:t>
      </w:r>
    </w:p>
    <w:p w14:paraId="6CB30ADE" w14:textId="77777777" w:rsidR="006D6120" w:rsidRPr="00CB6E43" w:rsidRDefault="006D6120" w:rsidP="006D6120">
      <w:pPr>
        <w:pStyle w:val="NormalHanging12a"/>
      </w:pPr>
      <w:r w:rsidRPr="00CB6E43">
        <w:t>–</w:t>
      </w:r>
      <w:r w:rsidRPr="00CB6E43">
        <w:tab/>
        <w:t>der henviser til udtalelse af 21. januar 2026 fra Det Europæiske Økonomiske og Sociale Udvalg</w:t>
      </w:r>
      <w:r w:rsidRPr="00CB6E43">
        <w:rPr>
          <w:vertAlign w:val="superscript"/>
        </w:rPr>
        <w:footnoteReference w:id="1"/>
      </w:r>
      <w:r w:rsidRPr="00CB6E43">
        <w:t>,</w:t>
      </w:r>
    </w:p>
    <w:p w14:paraId="2BB4D58B" w14:textId="77777777" w:rsidR="006D6120" w:rsidRPr="00CB6E43" w:rsidRDefault="006D6120" w:rsidP="006D6120">
      <w:pPr>
        <w:pStyle w:val="NormalHanging12a"/>
      </w:pPr>
      <w:r w:rsidRPr="00CB6E43">
        <w:lastRenderedPageBreak/>
        <w:t>–</w:t>
      </w:r>
      <w:r w:rsidRPr="00CB6E43">
        <w:tab/>
        <w:t>der henviser til høring af Regionsudvalget,</w:t>
      </w:r>
    </w:p>
    <w:p w14:paraId="537108BE" w14:textId="77777777" w:rsidR="006D6120" w:rsidRPr="00CB6E43" w:rsidRDefault="006D6120" w:rsidP="006D6120">
      <w:pPr>
        <w:pStyle w:val="NormalHanging12a"/>
      </w:pPr>
      <w:r w:rsidRPr="00CB6E43">
        <w:t>–</w:t>
      </w:r>
      <w:r w:rsidRPr="00CB6E43">
        <w:tab/>
        <w:t>der henviser til forretningsordenens artikel 60 og 41,</w:t>
      </w:r>
    </w:p>
    <w:p w14:paraId="3269334C" w14:textId="77777777" w:rsidR="006D6120" w:rsidRPr="00CB6E43" w:rsidRDefault="006D6120" w:rsidP="006D6120">
      <w:pPr>
        <w:pStyle w:val="NormalHanging12a"/>
      </w:pPr>
      <w:r w:rsidRPr="00CB6E43">
        <w:t>–</w:t>
      </w:r>
      <w:r w:rsidRPr="00CB6E43">
        <w:tab/>
        <w:t>der henviser til betænkning fra Transport- og Turismeudvalget (A10-0174/2026),</w:t>
      </w:r>
    </w:p>
    <w:p w14:paraId="08E1AF06" w14:textId="77777777" w:rsidR="006D6120" w:rsidRPr="00CB6E43" w:rsidRDefault="006D6120" w:rsidP="006D6120">
      <w:pPr>
        <w:pStyle w:val="NormalHanging12a"/>
      </w:pPr>
      <w:r w:rsidRPr="00CB6E43">
        <w:t>1.</w:t>
      </w:r>
      <w:r w:rsidRPr="00CB6E43">
        <w:tab/>
        <w:t>vedtager nedenstående holdning ved førstebehandling;</w:t>
      </w:r>
    </w:p>
    <w:p w14:paraId="5504266F" w14:textId="77777777" w:rsidR="006D6120" w:rsidRPr="00CB6E43" w:rsidRDefault="006D6120" w:rsidP="006D6120">
      <w:pPr>
        <w:pStyle w:val="NormalHanging12a"/>
      </w:pPr>
      <w:r w:rsidRPr="00CB6E43">
        <w:t>2.</w:t>
      </w:r>
      <w:r w:rsidRPr="00CB6E43">
        <w:tab/>
        <w:t>pålægger sin formand at sende Parlamentets holdning til Rådet og Kommissionen samt til de nationale parlamenter.</w:t>
      </w:r>
    </w:p>
    <w:p w14:paraId="02FA9E93" w14:textId="77777777" w:rsidR="006D6120" w:rsidRPr="00CB6E43" w:rsidRDefault="006D6120" w:rsidP="006D6120"/>
    <w:p w14:paraId="74F198D0" w14:textId="77777777" w:rsidR="00F67A29" w:rsidRDefault="00F67A29" w:rsidP="006D6120">
      <w:pPr>
        <w:sectPr w:rsidR="00F67A29" w:rsidSect="00CB6E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3A303D" w14:textId="61AA6C83" w:rsidR="00F67A29" w:rsidRPr="00606380" w:rsidRDefault="00F67A29" w:rsidP="00AA368B">
      <w:pPr>
        <w:autoSpaceDE w:val="0"/>
        <w:autoSpaceDN w:val="0"/>
        <w:adjustRightInd w:val="0"/>
        <w:spacing w:after="240"/>
        <w:ind w:left="720" w:hanging="720"/>
        <w:rPr>
          <w:rFonts w:eastAsia="Calibri"/>
          <w:b/>
          <w:bCs/>
          <w:color w:val="000000"/>
          <w:szCs w:val="24"/>
        </w:rPr>
      </w:pPr>
      <w:r w:rsidRPr="00606380">
        <w:rPr>
          <w:rFonts w:eastAsia="Calibri"/>
          <w:b/>
          <w:bCs/>
          <w:color w:val="000000"/>
          <w:szCs w:val="24"/>
        </w:rPr>
        <w:lastRenderedPageBreak/>
        <w:t>P10_TC1-</w:t>
      </w:r>
      <w:proofErr w:type="gramStart"/>
      <w:r w:rsidRPr="00606380">
        <w:rPr>
          <w:rFonts w:eastAsia="Calibri"/>
          <w:b/>
          <w:bCs/>
          <w:color w:val="000000"/>
          <w:szCs w:val="24"/>
        </w:rPr>
        <w:t>COD(</w:t>
      </w:r>
      <w:proofErr w:type="gramEnd"/>
      <w:r w:rsidRPr="00606380">
        <w:rPr>
          <w:rFonts w:eastAsia="Calibri"/>
          <w:b/>
          <w:bCs/>
          <w:color w:val="000000"/>
          <w:szCs w:val="24"/>
        </w:rPr>
        <w:t>202</w:t>
      </w:r>
      <w:r>
        <w:rPr>
          <w:rFonts w:eastAsia="Calibri"/>
          <w:b/>
          <w:bCs/>
          <w:color w:val="000000"/>
          <w:szCs w:val="24"/>
        </w:rPr>
        <w:t>5</w:t>
      </w:r>
      <w:r w:rsidRPr="00606380">
        <w:rPr>
          <w:rFonts w:eastAsia="Calibri"/>
          <w:b/>
          <w:bCs/>
          <w:color w:val="000000"/>
          <w:szCs w:val="24"/>
        </w:rPr>
        <w:t>)0</w:t>
      </w:r>
      <w:r>
        <w:rPr>
          <w:rFonts w:eastAsia="Calibri"/>
          <w:b/>
          <w:bCs/>
          <w:color w:val="000000"/>
          <w:szCs w:val="24"/>
        </w:rPr>
        <w:t>407</w:t>
      </w:r>
    </w:p>
    <w:p w14:paraId="575966E1" w14:textId="4D4D35A3" w:rsidR="00F67A29" w:rsidRDefault="00F67A29" w:rsidP="00AA368B">
      <w:pPr>
        <w:pStyle w:val="NormalHanging12a"/>
        <w:ind w:left="0" w:firstLine="0"/>
        <w:rPr>
          <w:rFonts w:eastAsia="Calibri"/>
          <w:b/>
        </w:rPr>
      </w:pPr>
      <w:r w:rsidRPr="00115245">
        <w:rPr>
          <w:b/>
        </w:rPr>
        <w:t xml:space="preserve">Europa-Parlamentets holdning fastlagt ved </w:t>
      </w:r>
      <w:r w:rsidRPr="00511370">
        <w:rPr>
          <w:b/>
        </w:rPr>
        <w:t xml:space="preserve">førstebehandlingen den </w:t>
      </w:r>
      <w:r>
        <w:rPr>
          <w:b/>
        </w:rPr>
        <w:t>7. juli 2026</w:t>
      </w:r>
      <w:r w:rsidRPr="00511370">
        <w:rPr>
          <w:b/>
        </w:rPr>
        <w:t xml:space="preserve"> med henblik på vedtagelse af Europa-Parlamentets og Rådets </w:t>
      </w:r>
      <w:r>
        <w:rPr>
          <w:rFonts w:eastAsia="Calibri"/>
          <w:b/>
        </w:rPr>
        <w:t xml:space="preserve">afgørelse </w:t>
      </w:r>
      <w:r w:rsidRPr="00511370">
        <w:rPr>
          <w:b/>
        </w:rPr>
        <w:t xml:space="preserve">(EU) </w:t>
      </w:r>
      <w:r>
        <w:rPr>
          <w:rFonts w:eastAsia="Calibri"/>
          <w:b/>
        </w:rPr>
        <w:t>2026</w:t>
      </w:r>
      <w:r w:rsidRPr="00511370">
        <w:rPr>
          <w:rFonts w:eastAsia="Calibri"/>
          <w:b/>
        </w:rPr>
        <w:t xml:space="preserve">/… om </w:t>
      </w:r>
      <w:r w:rsidRPr="00082FB2">
        <w:rPr>
          <w:rFonts w:eastAsia="Calibri"/>
          <w:b/>
          <w:color w:val="000000"/>
          <w:szCs w:val="22"/>
          <w:lang w:eastAsia="en-US"/>
        </w:rPr>
        <w:t>bemyndigelse af Østrig til at ændre sin bilaterale aftale om vejtransport med Schweiz med henblik på at tillade cabotagekørsel i forbindelse med udøvelse af international personbefordring med bus i grænseregionerne mellem de to lande</w:t>
      </w:r>
    </w:p>
    <w:p w14:paraId="1207E612" w14:textId="77777777" w:rsidR="00082FB2" w:rsidRPr="00082FB2" w:rsidRDefault="00082FB2" w:rsidP="00082FB2">
      <w:pPr>
        <w:keepNext/>
        <w:widowControl/>
        <w:spacing w:before="1080" w:after="120" w:line="360" w:lineRule="auto"/>
        <w:rPr>
          <w:rFonts w:eastAsia="Calibri"/>
          <w:color w:val="000000"/>
          <w:szCs w:val="22"/>
          <w:lang w:eastAsia="en-US"/>
        </w:rPr>
      </w:pPr>
      <w:r w:rsidRPr="00082FB2">
        <w:rPr>
          <w:rFonts w:eastAsia="Calibri"/>
          <w:color w:val="000000"/>
          <w:szCs w:val="22"/>
          <w:lang w:eastAsia="en-US"/>
        </w:rPr>
        <w:t>EUROPA-PARLAMENTET OG RÅDET FOR DEN EUROPÆISKE UNION HAR —</w:t>
      </w:r>
    </w:p>
    <w:p w14:paraId="5411F9B5" w14:textId="77777777" w:rsidR="00082FB2" w:rsidRPr="00082FB2" w:rsidRDefault="00082FB2" w:rsidP="00082FB2">
      <w:pPr>
        <w:widowControl/>
        <w:spacing w:before="120" w:after="120" w:line="360" w:lineRule="auto"/>
        <w:rPr>
          <w:rFonts w:eastAsia="Calibri"/>
          <w:color w:val="000000"/>
          <w:szCs w:val="22"/>
          <w:lang w:eastAsia="en-US"/>
        </w:rPr>
      </w:pPr>
      <w:r w:rsidRPr="00082FB2">
        <w:rPr>
          <w:rFonts w:eastAsia="Calibri"/>
          <w:color w:val="000000"/>
          <w:szCs w:val="22"/>
          <w:lang w:eastAsia="en-US"/>
        </w:rPr>
        <w:t xml:space="preserve">under henvisning til traktaten om Den Europæiske Unions funktionsmåde, særlig </w:t>
      </w:r>
      <w:r w:rsidRPr="00082FB2">
        <w:rPr>
          <w:rFonts w:eastAsia="Calibri"/>
          <w:b/>
          <w:bCs/>
          <w:i/>
          <w:iCs/>
          <w:color w:val="000000"/>
          <w:szCs w:val="22"/>
          <w:lang w:eastAsia="en-US"/>
        </w:rPr>
        <w:t>artikel</w:t>
      </w:r>
      <w:r w:rsidRPr="00082FB2">
        <w:rPr>
          <w:rFonts w:eastAsia="Calibri"/>
          <w:color w:val="000000"/>
          <w:szCs w:val="22"/>
          <w:lang w:eastAsia="en-US"/>
        </w:rPr>
        <w:t xml:space="preserve"> 91,</w:t>
      </w:r>
    </w:p>
    <w:p w14:paraId="50A5854C" w14:textId="77777777" w:rsidR="00082FB2" w:rsidRPr="00082FB2" w:rsidRDefault="00082FB2" w:rsidP="00082FB2">
      <w:pPr>
        <w:widowControl/>
        <w:spacing w:before="120" w:after="120" w:line="360" w:lineRule="auto"/>
        <w:rPr>
          <w:rFonts w:eastAsia="Calibri"/>
          <w:color w:val="000000"/>
          <w:szCs w:val="22"/>
          <w:lang w:eastAsia="en-US"/>
        </w:rPr>
      </w:pPr>
      <w:r w:rsidRPr="00082FB2">
        <w:rPr>
          <w:rFonts w:eastAsia="Calibri"/>
          <w:color w:val="000000"/>
          <w:szCs w:val="22"/>
          <w:lang w:eastAsia="en-US"/>
        </w:rPr>
        <w:t>under henvisning til forslag fra Europa-Kommissionen,</w:t>
      </w:r>
    </w:p>
    <w:p w14:paraId="78F787B4" w14:textId="77777777" w:rsidR="00082FB2" w:rsidRPr="00082FB2" w:rsidRDefault="00082FB2" w:rsidP="00082FB2">
      <w:pPr>
        <w:widowControl/>
        <w:spacing w:before="120" w:after="120" w:line="360" w:lineRule="auto"/>
        <w:rPr>
          <w:rFonts w:eastAsia="Calibri"/>
          <w:color w:val="000000"/>
          <w:szCs w:val="22"/>
          <w:lang w:eastAsia="en-US"/>
        </w:rPr>
      </w:pPr>
      <w:r w:rsidRPr="00082FB2">
        <w:rPr>
          <w:rFonts w:eastAsia="Calibri"/>
          <w:color w:val="000000"/>
          <w:szCs w:val="22"/>
          <w:lang w:eastAsia="en-US"/>
        </w:rPr>
        <w:t>efter fremsendelse af udkast til lovgivningsmæssig retsakt til de nationale parlamenter,</w:t>
      </w:r>
    </w:p>
    <w:p w14:paraId="4B1DEF17" w14:textId="77777777" w:rsidR="00082FB2" w:rsidRPr="00082FB2" w:rsidRDefault="00082FB2" w:rsidP="00082FB2">
      <w:pPr>
        <w:widowControl/>
        <w:spacing w:before="120" w:after="120" w:line="360" w:lineRule="auto"/>
        <w:rPr>
          <w:rFonts w:eastAsia="Calibri"/>
          <w:color w:val="000000"/>
          <w:szCs w:val="22"/>
          <w:lang w:eastAsia="en-US"/>
        </w:rPr>
      </w:pPr>
      <w:r w:rsidRPr="00082FB2">
        <w:rPr>
          <w:rFonts w:eastAsia="Calibri"/>
          <w:color w:val="000000"/>
          <w:szCs w:val="22"/>
          <w:lang w:eastAsia="en-US"/>
        </w:rPr>
        <w:t>under henvisning til udtalelse fra Det Europæiske Økonomiske og Sociale Udvalg</w:t>
      </w:r>
      <w:r w:rsidRPr="00082FB2">
        <w:rPr>
          <w:rFonts w:eastAsia="Calibri"/>
          <w:color w:val="000000"/>
          <w:szCs w:val="22"/>
          <w:vertAlign w:val="superscript"/>
          <w:lang w:eastAsia="en-US"/>
        </w:rPr>
        <w:footnoteReference w:id="2"/>
      </w:r>
      <w:r w:rsidRPr="00082FB2">
        <w:rPr>
          <w:rFonts w:eastAsia="Calibri"/>
          <w:color w:val="000000"/>
          <w:szCs w:val="22"/>
          <w:lang w:eastAsia="en-US"/>
        </w:rPr>
        <w:t>,</w:t>
      </w:r>
    </w:p>
    <w:p w14:paraId="566A1202" w14:textId="77777777" w:rsidR="00082FB2" w:rsidRPr="00082FB2" w:rsidRDefault="00082FB2" w:rsidP="00082FB2">
      <w:pPr>
        <w:widowControl/>
        <w:spacing w:before="120" w:after="120" w:line="360" w:lineRule="auto"/>
        <w:rPr>
          <w:rFonts w:eastAsia="Calibri"/>
          <w:color w:val="000000"/>
          <w:szCs w:val="22"/>
          <w:lang w:eastAsia="en-US"/>
        </w:rPr>
      </w:pPr>
      <w:r w:rsidRPr="00082FB2">
        <w:rPr>
          <w:rFonts w:eastAsia="Calibri"/>
          <w:color w:val="000000"/>
          <w:szCs w:val="22"/>
          <w:lang w:eastAsia="en-US"/>
        </w:rPr>
        <w:t>efter høring af Regionsudvalget,</w:t>
      </w:r>
    </w:p>
    <w:p w14:paraId="3E41A999" w14:textId="77777777" w:rsidR="00082FB2" w:rsidRPr="00082FB2" w:rsidRDefault="00082FB2" w:rsidP="00082FB2">
      <w:pPr>
        <w:widowControl/>
        <w:spacing w:before="120" w:after="120" w:line="360" w:lineRule="auto"/>
        <w:rPr>
          <w:rFonts w:eastAsia="Calibri"/>
          <w:color w:val="000000"/>
          <w:szCs w:val="22"/>
          <w:lang w:eastAsia="en-US"/>
        </w:rPr>
      </w:pPr>
      <w:r w:rsidRPr="00082FB2">
        <w:rPr>
          <w:rFonts w:eastAsia="Calibri"/>
          <w:color w:val="000000"/>
          <w:szCs w:val="22"/>
          <w:lang w:eastAsia="en-US"/>
        </w:rPr>
        <w:t>efter den almindelige lovgivningsprocedure</w:t>
      </w:r>
      <w:r w:rsidRPr="00082FB2">
        <w:rPr>
          <w:rFonts w:eastAsia="Calibri"/>
          <w:color w:val="000000"/>
          <w:szCs w:val="22"/>
          <w:vertAlign w:val="superscript"/>
          <w:lang w:eastAsia="en-US"/>
        </w:rPr>
        <w:footnoteReference w:id="3"/>
      </w:r>
      <w:r w:rsidRPr="00082FB2">
        <w:rPr>
          <w:rFonts w:eastAsia="Calibri"/>
          <w:color w:val="000000"/>
          <w:szCs w:val="22"/>
          <w:lang w:eastAsia="en-US"/>
        </w:rPr>
        <w:t>, og</w:t>
      </w:r>
    </w:p>
    <w:p w14:paraId="7814285F" w14:textId="77777777" w:rsidR="00082FB2" w:rsidRPr="00082FB2" w:rsidRDefault="00082FB2" w:rsidP="00082FB2">
      <w:pPr>
        <w:widowControl/>
        <w:spacing w:after="160" w:line="259" w:lineRule="auto"/>
        <w:rPr>
          <w:rFonts w:eastAsia="Calibri"/>
          <w:color w:val="000000"/>
          <w:szCs w:val="22"/>
          <w:lang w:eastAsia="en-US"/>
        </w:rPr>
      </w:pPr>
      <w:r w:rsidRPr="00082FB2">
        <w:rPr>
          <w:rFonts w:eastAsia="Calibri"/>
          <w:color w:val="000000"/>
          <w:szCs w:val="22"/>
          <w:lang w:eastAsia="en-US"/>
        </w:rPr>
        <w:br w:type="page"/>
      </w:r>
    </w:p>
    <w:p w14:paraId="385DC3E4" w14:textId="77777777" w:rsidR="00082FB2" w:rsidRPr="00082FB2" w:rsidRDefault="00082FB2" w:rsidP="00082FB2">
      <w:pPr>
        <w:widowControl/>
        <w:spacing w:before="120" w:after="120" w:line="360" w:lineRule="auto"/>
        <w:rPr>
          <w:rFonts w:eastAsia="Calibri"/>
          <w:color w:val="000000"/>
          <w:szCs w:val="22"/>
          <w:lang w:eastAsia="en-US"/>
        </w:rPr>
      </w:pPr>
      <w:r w:rsidRPr="00082FB2">
        <w:rPr>
          <w:rFonts w:eastAsia="Calibri"/>
          <w:color w:val="000000"/>
          <w:szCs w:val="22"/>
          <w:lang w:eastAsia="en-US"/>
        </w:rPr>
        <w:lastRenderedPageBreak/>
        <w:t>ud fra følgende betragtninger:</w:t>
      </w:r>
    </w:p>
    <w:p w14:paraId="0030D394" w14:textId="77777777" w:rsidR="00082FB2" w:rsidRPr="00082FB2" w:rsidRDefault="00082FB2" w:rsidP="00082FB2">
      <w:pPr>
        <w:widowControl/>
        <w:spacing w:before="120" w:after="120" w:line="360" w:lineRule="auto"/>
        <w:ind w:left="709" w:hanging="709"/>
        <w:rPr>
          <w:rFonts w:eastAsia="Calibri"/>
          <w:color w:val="000000"/>
          <w:szCs w:val="22"/>
          <w:lang w:eastAsia="en-US"/>
        </w:rPr>
      </w:pPr>
      <w:bookmarkStart w:id="6" w:name="_Hlk211264391"/>
      <w:r w:rsidRPr="00082FB2">
        <w:rPr>
          <w:rFonts w:eastAsia="Calibri"/>
          <w:color w:val="000000"/>
          <w:szCs w:val="22"/>
          <w:lang w:eastAsia="en-US"/>
        </w:rPr>
        <w:t>(1)</w:t>
      </w:r>
      <w:r w:rsidRPr="00082FB2">
        <w:rPr>
          <w:rFonts w:eastAsia="Calibri"/>
          <w:color w:val="000000"/>
          <w:szCs w:val="22"/>
          <w:lang w:eastAsia="en-US"/>
        </w:rPr>
        <w:tab/>
        <w:t>I henhold til artikel 20, stk. 1, i aftalen mellem Det Europæiske Fællesskab og Det Schweiziske Forbund om godstransport og personbefordring med jernbane og ad landevej</w:t>
      </w:r>
      <w:r w:rsidRPr="00082FB2">
        <w:rPr>
          <w:rFonts w:eastAsia="Calibri"/>
          <w:color w:val="000000"/>
          <w:szCs w:val="22"/>
          <w:vertAlign w:val="superscript"/>
          <w:lang w:eastAsia="en-US"/>
        </w:rPr>
        <w:footnoteReference w:id="4"/>
      </w:r>
      <w:r w:rsidRPr="00082FB2">
        <w:rPr>
          <w:rFonts w:eastAsia="Calibri"/>
          <w:color w:val="000000"/>
          <w:szCs w:val="22"/>
          <w:lang w:eastAsia="en-US"/>
        </w:rPr>
        <w:t xml:space="preserve"> ("aftalen mellem Unionen og Schweiz") er personbefordring med bus mellem to punkter på området tilhørende samme kontraherende part i aftalen mellem Unionen og Schweiz udført af transportvirksomheder med hjemsted på den anden kontraherende parts område, kendt som cabotagekørsel, ikke tilladt.</w:t>
      </w:r>
    </w:p>
    <w:p w14:paraId="6C318EC2" w14:textId="77777777" w:rsidR="00082FB2" w:rsidRPr="00082FB2" w:rsidRDefault="00082FB2" w:rsidP="00082FB2">
      <w:pPr>
        <w:widowControl/>
        <w:spacing w:before="120" w:after="120" w:line="360" w:lineRule="auto"/>
        <w:ind w:left="709" w:hanging="709"/>
        <w:rPr>
          <w:rFonts w:eastAsia="Calibri"/>
          <w:color w:val="000000"/>
          <w:szCs w:val="22"/>
          <w:lang w:eastAsia="en-US"/>
        </w:rPr>
      </w:pPr>
      <w:r w:rsidRPr="00082FB2">
        <w:rPr>
          <w:rFonts w:eastAsia="Calibri"/>
          <w:color w:val="000000"/>
          <w:szCs w:val="22"/>
          <w:lang w:eastAsia="en-US"/>
        </w:rPr>
        <w:t>(2)</w:t>
      </w:r>
      <w:r w:rsidRPr="00082FB2">
        <w:rPr>
          <w:rFonts w:eastAsia="Calibri"/>
          <w:color w:val="000000"/>
          <w:szCs w:val="22"/>
          <w:lang w:eastAsia="en-US"/>
        </w:rPr>
        <w:tab/>
        <w:t xml:space="preserve">I overensstemmelse med artikel 20, stk. 2, i aftalen mellem Unionen og Schweiz må eksisterende </w:t>
      </w:r>
      <w:proofErr w:type="spellStart"/>
      <w:r w:rsidRPr="00082FB2">
        <w:rPr>
          <w:rFonts w:eastAsia="Calibri"/>
          <w:color w:val="000000"/>
          <w:szCs w:val="22"/>
          <w:lang w:eastAsia="en-US"/>
        </w:rPr>
        <w:t>cabotagerettigheder</w:t>
      </w:r>
      <w:proofErr w:type="spellEnd"/>
      <w:r w:rsidRPr="00082FB2">
        <w:rPr>
          <w:rFonts w:eastAsia="Calibri"/>
          <w:color w:val="000000"/>
          <w:szCs w:val="22"/>
          <w:lang w:eastAsia="en-US"/>
        </w:rPr>
        <w:t xml:space="preserve"> fastsat i bilaterale aftaler indgået mellem medlemsstater og Schweiz, som var gældende, da aftalen mellem Unionen og Schweiz blev indgået den 21. juni 1999, fortsat udøves, forudsat at der ikke sker forskelsbehandling mellem transportvirksomheder med hjemsted i Unionen og ikke sker konkurrencefordrejning. Den bilaterale aftale om vejtransport mellem Østrig og Schweiz af 22. oktober 1958</w:t>
      </w:r>
      <w:r w:rsidRPr="00082FB2">
        <w:rPr>
          <w:rFonts w:eastAsia="Calibri"/>
          <w:color w:val="000000"/>
          <w:szCs w:val="22"/>
          <w:vertAlign w:val="superscript"/>
          <w:lang w:eastAsia="en-US"/>
        </w:rPr>
        <w:footnoteReference w:id="5"/>
      </w:r>
      <w:r w:rsidRPr="00082FB2">
        <w:rPr>
          <w:rFonts w:eastAsia="Calibri"/>
          <w:color w:val="000000"/>
          <w:szCs w:val="22"/>
          <w:lang w:eastAsia="en-US"/>
        </w:rPr>
        <w:t xml:space="preserve"> ("aftalen mellem Østrig og Schweiz") tillader ikke cabotagekørsel i forbindelse med udøvelse af international personbefordring med bus mellem de to lande. Derfor er retten til at udføre sådan kørsel ikke blandt de rettigheder, der er fastsat i artikel 20, stk. 2, i aftalen mellem Unionen og Schweiz.</w:t>
      </w:r>
    </w:p>
    <w:p w14:paraId="443E98F2" w14:textId="77777777" w:rsidR="00082FB2" w:rsidRPr="00082FB2" w:rsidRDefault="00082FB2" w:rsidP="00082FB2">
      <w:pPr>
        <w:widowControl/>
        <w:spacing w:after="160" w:line="259" w:lineRule="auto"/>
        <w:rPr>
          <w:rFonts w:eastAsia="Calibri"/>
          <w:color w:val="000000"/>
          <w:szCs w:val="22"/>
          <w:lang w:eastAsia="en-US"/>
        </w:rPr>
      </w:pPr>
      <w:r w:rsidRPr="00082FB2">
        <w:rPr>
          <w:rFonts w:eastAsia="Calibri"/>
          <w:color w:val="000000"/>
          <w:szCs w:val="22"/>
          <w:lang w:eastAsia="en-US"/>
        </w:rPr>
        <w:br w:type="page"/>
      </w:r>
    </w:p>
    <w:p w14:paraId="307E5681" w14:textId="77777777" w:rsidR="00082FB2" w:rsidRPr="00082FB2" w:rsidRDefault="00082FB2" w:rsidP="00082FB2">
      <w:pPr>
        <w:widowControl/>
        <w:spacing w:before="120" w:after="120" w:line="360" w:lineRule="auto"/>
        <w:ind w:left="709" w:hanging="709"/>
        <w:rPr>
          <w:rFonts w:eastAsia="Calibri"/>
          <w:color w:val="000000"/>
          <w:szCs w:val="22"/>
          <w:lang w:eastAsia="en-US"/>
        </w:rPr>
      </w:pPr>
      <w:r w:rsidRPr="00082FB2">
        <w:rPr>
          <w:rFonts w:eastAsia="Calibri"/>
          <w:color w:val="000000"/>
          <w:szCs w:val="22"/>
          <w:lang w:eastAsia="en-US"/>
        </w:rPr>
        <w:lastRenderedPageBreak/>
        <w:t>(3)</w:t>
      </w:r>
      <w:r w:rsidRPr="00082FB2">
        <w:rPr>
          <w:rFonts w:eastAsia="Calibri"/>
          <w:color w:val="000000"/>
          <w:szCs w:val="22"/>
          <w:lang w:eastAsia="en-US"/>
        </w:rPr>
        <w:tab/>
        <w:t>Internationale forpligtelser, der tillader transportvirksomheder med hjemsted i Schweiz at udføre cabotagekørsel inden for Unionen, kan påvirke artikel 20 i aftalen mellem Unionen og Schweiz, eftersom nævnte artikel ikke tillader sådan kørsel.</w:t>
      </w:r>
    </w:p>
    <w:p w14:paraId="79C95D7D" w14:textId="77777777" w:rsidR="00082FB2" w:rsidRPr="00082FB2" w:rsidRDefault="00082FB2" w:rsidP="00082FB2">
      <w:pPr>
        <w:widowControl/>
        <w:spacing w:before="120" w:after="120" w:line="360" w:lineRule="auto"/>
        <w:ind w:left="709" w:hanging="709"/>
        <w:rPr>
          <w:rFonts w:eastAsia="Calibri"/>
          <w:color w:val="000000"/>
          <w:szCs w:val="22"/>
          <w:lang w:eastAsia="en-US"/>
        </w:rPr>
      </w:pPr>
      <w:r w:rsidRPr="00082FB2">
        <w:rPr>
          <w:rFonts w:eastAsia="Calibri"/>
          <w:color w:val="000000"/>
          <w:szCs w:val="22"/>
          <w:lang w:eastAsia="en-US"/>
        </w:rPr>
        <w:t>(4)</w:t>
      </w:r>
      <w:r w:rsidRPr="00082FB2">
        <w:rPr>
          <w:rFonts w:eastAsia="Calibri"/>
          <w:color w:val="000000"/>
          <w:szCs w:val="22"/>
          <w:lang w:eastAsia="en-US"/>
        </w:rPr>
        <w:tab/>
        <w:t>Europa-Parlamentets og Rådets forordning (EF) nr. 1073/2009</w:t>
      </w:r>
      <w:r w:rsidRPr="00082FB2">
        <w:rPr>
          <w:rFonts w:eastAsia="Calibri"/>
          <w:color w:val="000000"/>
          <w:szCs w:val="22"/>
          <w:vertAlign w:val="superscript"/>
          <w:lang w:eastAsia="en-US"/>
        </w:rPr>
        <w:footnoteReference w:id="6"/>
      </w:r>
      <w:r w:rsidRPr="00082FB2">
        <w:rPr>
          <w:rFonts w:eastAsia="Calibri"/>
          <w:color w:val="000000"/>
          <w:szCs w:val="22"/>
          <w:lang w:eastAsia="en-US"/>
        </w:rPr>
        <w:t xml:space="preserve"> tillader kun transportvirksomheder, der har en EF-tilladelse, at udføre cabotagekørsel i Unionen på visse </w:t>
      </w:r>
      <w:proofErr w:type="gramStart"/>
      <w:r w:rsidRPr="00082FB2">
        <w:rPr>
          <w:rFonts w:eastAsia="Calibri"/>
          <w:color w:val="000000"/>
          <w:szCs w:val="22"/>
          <w:lang w:eastAsia="en-US"/>
        </w:rPr>
        <w:t>betingelser..</w:t>
      </w:r>
      <w:proofErr w:type="gramEnd"/>
      <w:r w:rsidRPr="00082FB2">
        <w:rPr>
          <w:rFonts w:eastAsia="Calibri"/>
          <w:color w:val="000000"/>
          <w:szCs w:val="22"/>
          <w:lang w:eastAsia="en-US"/>
        </w:rPr>
        <w:t xml:space="preserve"> Internationale forpligtelser, der tillader transportvirksomheder fra tredjelande, som ikke har en sådan tilladelse, at udføre denne form for kørsel, kan påvirke nævnte forordning.</w:t>
      </w:r>
    </w:p>
    <w:p w14:paraId="3D148151" w14:textId="77777777" w:rsidR="00082FB2" w:rsidRPr="00082FB2" w:rsidRDefault="00082FB2" w:rsidP="00082FB2">
      <w:pPr>
        <w:widowControl/>
        <w:spacing w:before="120" w:after="120" w:line="360" w:lineRule="auto"/>
        <w:ind w:left="709" w:hanging="709"/>
        <w:rPr>
          <w:rFonts w:eastAsia="Calibri"/>
          <w:color w:val="000000"/>
          <w:szCs w:val="22"/>
          <w:lang w:eastAsia="en-US"/>
        </w:rPr>
      </w:pPr>
      <w:r w:rsidRPr="00082FB2">
        <w:rPr>
          <w:rFonts w:eastAsia="Calibri"/>
          <w:color w:val="000000"/>
          <w:szCs w:val="22"/>
          <w:lang w:eastAsia="en-US"/>
        </w:rPr>
        <w:t>(5)</w:t>
      </w:r>
      <w:r w:rsidRPr="00082FB2">
        <w:rPr>
          <w:rFonts w:eastAsia="Calibri"/>
          <w:color w:val="000000"/>
          <w:szCs w:val="22"/>
          <w:lang w:eastAsia="en-US"/>
        </w:rPr>
        <w:tab/>
        <w:t>Sådanne internationale forpligtelser hører derfor under Unionens eksterne enekompetence. Medlemsstaterne kan kun forhandle eller indgå sådanne forpligtelser, hvis de har fået bemyndigelse hertil af Unionen i overensstemmelse med artikel 2, stk. 1, i traktaten om Den Europæiske Unions funktionsmåde (TEUF).</w:t>
      </w:r>
    </w:p>
    <w:p w14:paraId="56B1D279" w14:textId="77777777" w:rsidR="00082FB2" w:rsidRPr="00082FB2" w:rsidRDefault="00082FB2" w:rsidP="00082FB2">
      <w:pPr>
        <w:widowControl/>
        <w:spacing w:after="160" w:line="259" w:lineRule="auto"/>
        <w:rPr>
          <w:rFonts w:eastAsia="Calibri"/>
          <w:color w:val="000000"/>
          <w:szCs w:val="22"/>
          <w:lang w:eastAsia="en-US"/>
        </w:rPr>
      </w:pPr>
      <w:r w:rsidRPr="00082FB2">
        <w:rPr>
          <w:rFonts w:eastAsia="Calibri"/>
          <w:color w:val="000000"/>
          <w:szCs w:val="22"/>
          <w:lang w:eastAsia="en-US"/>
        </w:rPr>
        <w:br w:type="page"/>
      </w:r>
    </w:p>
    <w:p w14:paraId="7EE441D2" w14:textId="77777777" w:rsidR="00082FB2" w:rsidRPr="00082FB2" w:rsidRDefault="00082FB2" w:rsidP="00082FB2">
      <w:pPr>
        <w:widowControl/>
        <w:spacing w:before="120" w:after="120" w:line="360" w:lineRule="auto"/>
        <w:ind w:left="709" w:hanging="709"/>
        <w:rPr>
          <w:rFonts w:eastAsia="Calibri"/>
          <w:color w:val="000000"/>
          <w:szCs w:val="22"/>
          <w:lang w:eastAsia="en-US"/>
        </w:rPr>
      </w:pPr>
      <w:r w:rsidRPr="00082FB2">
        <w:rPr>
          <w:rFonts w:eastAsia="Calibri"/>
          <w:color w:val="000000"/>
          <w:szCs w:val="22"/>
          <w:lang w:eastAsia="en-US"/>
        </w:rPr>
        <w:lastRenderedPageBreak/>
        <w:t>(6)</w:t>
      </w:r>
      <w:r w:rsidRPr="00082FB2">
        <w:rPr>
          <w:rFonts w:eastAsia="Calibri"/>
          <w:color w:val="000000"/>
          <w:szCs w:val="22"/>
          <w:lang w:eastAsia="en-US"/>
        </w:rPr>
        <w:tab/>
        <w:t>Cabotagekørsel udført inden for Unionen af transportvirksomheder fra tredjelande, som ikke har en fællesskabstilladelse som fastsat i forordning (EF) nr. 1073/2009, påvirker funktionen af det indre marked for buskørsel som fastsat i nævnte forordning. Det er derfor nødvendigt, at en bemyndigelse i henhold til artikel 2, stk. 1, i TEUF, tildeles af EU-lovgiveren i overensstemmelse med den i artikel 91 i TEUF omhandlede lovgivningsmæssige procedure.</w:t>
      </w:r>
    </w:p>
    <w:p w14:paraId="15BE1BA3" w14:textId="77777777" w:rsidR="00082FB2" w:rsidRPr="00082FB2" w:rsidRDefault="00082FB2" w:rsidP="00082FB2">
      <w:pPr>
        <w:widowControl/>
        <w:spacing w:before="120" w:after="120" w:line="360" w:lineRule="auto"/>
        <w:ind w:left="709" w:hanging="709"/>
        <w:rPr>
          <w:rFonts w:eastAsia="Calibri"/>
          <w:color w:val="000000"/>
          <w:szCs w:val="22"/>
          <w:lang w:eastAsia="en-US"/>
        </w:rPr>
      </w:pPr>
      <w:r w:rsidRPr="00082FB2">
        <w:rPr>
          <w:rFonts w:eastAsia="Calibri"/>
          <w:color w:val="000000"/>
          <w:szCs w:val="22"/>
          <w:lang w:eastAsia="en-US"/>
        </w:rPr>
        <w:t>(7)</w:t>
      </w:r>
      <w:r w:rsidRPr="00082FB2">
        <w:rPr>
          <w:rFonts w:eastAsia="Calibri"/>
          <w:color w:val="000000"/>
          <w:szCs w:val="22"/>
          <w:lang w:eastAsia="en-US"/>
        </w:rPr>
        <w:tab/>
        <w:t xml:space="preserve">Ved skrivelse af 17. marts 2025 anmodede Østrig Unionen om bemyndigelse til at ændre aftalen mellem Østrig og Schweiz med henblik på at tillade cabotagekørsel i forbindelse med udøvelse af international personbefordring med bus i grænseregionerne i Østrig og Schweiz </w:t>
      </w:r>
      <w:r w:rsidRPr="00082FB2">
        <w:rPr>
          <w:rFonts w:eastAsia="Calibri"/>
          <w:b/>
          <w:bCs/>
          <w:i/>
          <w:iCs/>
          <w:color w:val="000000"/>
          <w:szCs w:val="22"/>
          <w:lang w:eastAsia="en-US"/>
        </w:rPr>
        <w:t>og derved fremme større territorial samhørighed</w:t>
      </w:r>
      <w:r w:rsidRPr="00082FB2">
        <w:rPr>
          <w:rFonts w:eastAsia="Calibri"/>
          <w:color w:val="000000"/>
          <w:szCs w:val="22"/>
          <w:lang w:eastAsia="en-US"/>
        </w:rPr>
        <w:t>.</w:t>
      </w:r>
    </w:p>
    <w:p w14:paraId="393709EB" w14:textId="77777777" w:rsidR="00082FB2" w:rsidRPr="00082FB2" w:rsidRDefault="00082FB2" w:rsidP="00082FB2">
      <w:pPr>
        <w:widowControl/>
        <w:spacing w:before="120" w:after="120" w:line="360" w:lineRule="auto"/>
        <w:ind w:left="709" w:hanging="709"/>
        <w:rPr>
          <w:rFonts w:eastAsia="Calibri"/>
          <w:color w:val="000000"/>
          <w:szCs w:val="22"/>
          <w:lang w:eastAsia="en-US"/>
        </w:rPr>
      </w:pPr>
      <w:r w:rsidRPr="00082FB2">
        <w:rPr>
          <w:rFonts w:eastAsia="Calibri"/>
          <w:color w:val="000000"/>
          <w:szCs w:val="22"/>
          <w:lang w:eastAsia="en-US"/>
        </w:rPr>
        <w:t>(8)</w:t>
      </w:r>
      <w:r w:rsidRPr="00082FB2">
        <w:rPr>
          <w:rFonts w:eastAsia="Calibri"/>
          <w:color w:val="000000"/>
          <w:szCs w:val="22"/>
          <w:lang w:eastAsia="en-US"/>
        </w:rPr>
        <w:tab/>
        <w:t>Cabotagekørsel giver mulighed for at øge køretøjernes lastfaktor, hvilket øger den økonomiske effektivitet af international personbefordring med bus. Det er derfor hensigtsmæssigt at tillade sådan kørsel i forbindelse med udøvelse af international personbefordring med bus i grænseregionerne i Østrig og Schweiz. Dette kan yderligere styrke den tætte integration af disse grænseregioner.</w:t>
      </w:r>
    </w:p>
    <w:p w14:paraId="0F843DB6" w14:textId="77777777" w:rsidR="00082FB2" w:rsidRPr="00082FB2" w:rsidRDefault="00082FB2" w:rsidP="00082FB2">
      <w:pPr>
        <w:widowControl/>
        <w:spacing w:after="160" w:line="259" w:lineRule="auto"/>
        <w:rPr>
          <w:rFonts w:eastAsia="Calibri"/>
          <w:color w:val="000000"/>
          <w:szCs w:val="22"/>
          <w:lang w:eastAsia="en-US"/>
        </w:rPr>
      </w:pPr>
      <w:r w:rsidRPr="00082FB2">
        <w:rPr>
          <w:rFonts w:eastAsia="Calibri"/>
          <w:color w:val="000000"/>
          <w:szCs w:val="22"/>
          <w:lang w:eastAsia="en-US"/>
        </w:rPr>
        <w:br w:type="page"/>
      </w:r>
    </w:p>
    <w:p w14:paraId="5F403194" w14:textId="77777777" w:rsidR="00082FB2" w:rsidRPr="00082FB2" w:rsidRDefault="00082FB2" w:rsidP="00082FB2">
      <w:pPr>
        <w:widowControl/>
        <w:spacing w:before="120" w:after="120" w:line="360" w:lineRule="auto"/>
        <w:ind w:left="709" w:hanging="709"/>
        <w:rPr>
          <w:rFonts w:eastAsia="Calibri"/>
          <w:color w:val="000000"/>
          <w:szCs w:val="22"/>
          <w:lang w:eastAsia="en-US"/>
        </w:rPr>
      </w:pPr>
      <w:r w:rsidRPr="00082FB2">
        <w:rPr>
          <w:rFonts w:eastAsia="Calibri"/>
          <w:color w:val="000000"/>
          <w:szCs w:val="22"/>
          <w:lang w:eastAsia="en-US"/>
        </w:rPr>
        <w:lastRenderedPageBreak/>
        <w:t>(9)</w:t>
      </w:r>
      <w:r w:rsidRPr="00082FB2">
        <w:rPr>
          <w:rFonts w:eastAsia="Calibri"/>
          <w:color w:val="000000"/>
          <w:szCs w:val="22"/>
          <w:lang w:eastAsia="en-US"/>
        </w:rPr>
        <w:tab/>
        <w:t>For at sikre at den omhandlede cabotagekørsel ikke i alt for høj grad påvirker funktionen af det indre marked for buskørsel, som etableret ved forordning (EF) nr. 1073/2009, bør tilladelsen til sådan cabotagekørsel være betinget af, at der ikke sker forskelsbehandling mellem transportvirksomheder med hjemsted i Unionen, og at der ikke sker konkurrencefordrejning.</w:t>
      </w:r>
    </w:p>
    <w:p w14:paraId="3CBAD907" w14:textId="77777777" w:rsidR="00082FB2" w:rsidRPr="00082FB2" w:rsidRDefault="00082FB2" w:rsidP="00082FB2">
      <w:pPr>
        <w:widowControl/>
        <w:spacing w:before="120" w:after="120" w:line="360" w:lineRule="auto"/>
        <w:ind w:left="709" w:hanging="709"/>
        <w:rPr>
          <w:rFonts w:eastAsia="Calibri"/>
          <w:color w:val="000000"/>
          <w:szCs w:val="22"/>
          <w:lang w:eastAsia="en-US"/>
        </w:rPr>
      </w:pPr>
      <w:r w:rsidRPr="00082FB2">
        <w:rPr>
          <w:rFonts w:eastAsia="Calibri"/>
          <w:color w:val="000000"/>
          <w:szCs w:val="22"/>
          <w:lang w:eastAsia="en-US"/>
        </w:rPr>
        <w:t>(10)</w:t>
      </w:r>
      <w:r w:rsidRPr="00082FB2">
        <w:rPr>
          <w:rFonts w:eastAsia="Calibri"/>
          <w:color w:val="000000"/>
          <w:szCs w:val="22"/>
          <w:lang w:eastAsia="en-US"/>
        </w:rPr>
        <w:tab/>
        <w:t>Af samme årsag bør der kun gives tilladelse til cabotagekørsel i Østrigs grænseregioner i forbindelse med udøvelse af international personbefordring med bus mellem Østrig og Schweiz. I denne forbindelse er det nødvendigt at definere Østrigs grænseregioner med henblik på denne afgørelse på en måde, der tager behørigt hensyn til virkningen af forordning (EF) nr. 1073/2009, samtidig med at der gives mulighed for at øge effektiviteten af den pågældende kørsel —</w:t>
      </w:r>
    </w:p>
    <w:bookmarkEnd w:id="6"/>
    <w:p w14:paraId="6724A859" w14:textId="77777777" w:rsidR="00082FB2" w:rsidRPr="00082FB2" w:rsidRDefault="00082FB2" w:rsidP="00082FB2">
      <w:pPr>
        <w:keepNext/>
        <w:widowControl/>
        <w:spacing w:before="120" w:after="120" w:line="360" w:lineRule="auto"/>
        <w:rPr>
          <w:rFonts w:eastAsia="Calibri"/>
          <w:color w:val="000000"/>
          <w:szCs w:val="22"/>
          <w:lang w:eastAsia="en-US"/>
        </w:rPr>
      </w:pPr>
      <w:r w:rsidRPr="00082FB2">
        <w:rPr>
          <w:rFonts w:eastAsia="Calibri"/>
          <w:color w:val="000000"/>
          <w:szCs w:val="22"/>
          <w:lang w:eastAsia="en-US"/>
        </w:rPr>
        <w:t>VEDTAGET DENNE AFGØRELSE:</w:t>
      </w:r>
    </w:p>
    <w:p w14:paraId="045B5120" w14:textId="77777777" w:rsidR="00082FB2" w:rsidRPr="00082FB2" w:rsidRDefault="00082FB2" w:rsidP="00082FB2">
      <w:pPr>
        <w:widowControl/>
        <w:spacing w:after="160" w:line="259" w:lineRule="auto"/>
        <w:rPr>
          <w:rFonts w:eastAsia="Calibri"/>
          <w:i/>
          <w:color w:val="000000"/>
          <w:szCs w:val="22"/>
          <w:lang w:eastAsia="en-US"/>
        </w:rPr>
      </w:pPr>
      <w:r w:rsidRPr="00082FB2">
        <w:rPr>
          <w:rFonts w:eastAsia="Calibri"/>
          <w:color w:val="000000"/>
          <w:szCs w:val="22"/>
          <w:lang w:eastAsia="en-US"/>
        </w:rPr>
        <w:br w:type="page"/>
      </w:r>
    </w:p>
    <w:p w14:paraId="3E43F697" w14:textId="77777777" w:rsidR="00082FB2" w:rsidRPr="00082FB2" w:rsidRDefault="00082FB2" w:rsidP="00082FB2">
      <w:pPr>
        <w:keepNext/>
        <w:widowControl/>
        <w:spacing w:before="120" w:after="120" w:line="360" w:lineRule="auto"/>
        <w:jc w:val="center"/>
        <w:rPr>
          <w:rFonts w:eastAsia="Calibri"/>
          <w:i/>
          <w:color w:val="000000"/>
          <w:szCs w:val="22"/>
          <w:lang w:eastAsia="en-US"/>
        </w:rPr>
      </w:pPr>
      <w:r w:rsidRPr="00082FB2">
        <w:rPr>
          <w:rFonts w:eastAsia="Calibri"/>
          <w:i/>
          <w:color w:val="000000"/>
          <w:szCs w:val="22"/>
          <w:lang w:eastAsia="en-US"/>
        </w:rPr>
        <w:lastRenderedPageBreak/>
        <w:t>Artikel 1</w:t>
      </w:r>
    </w:p>
    <w:p w14:paraId="5057E103" w14:textId="77777777" w:rsidR="00082FB2" w:rsidRPr="00082FB2" w:rsidRDefault="00082FB2" w:rsidP="00082FB2">
      <w:pPr>
        <w:widowControl/>
        <w:spacing w:before="120" w:after="120" w:line="360" w:lineRule="auto"/>
        <w:rPr>
          <w:rFonts w:eastAsia="Calibri"/>
          <w:color w:val="000000"/>
          <w:szCs w:val="22"/>
          <w:lang w:eastAsia="en-US"/>
        </w:rPr>
      </w:pPr>
      <w:r w:rsidRPr="00082FB2">
        <w:rPr>
          <w:rFonts w:eastAsia="Calibri"/>
          <w:color w:val="000000"/>
          <w:szCs w:val="22"/>
          <w:lang w:eastAsia="en-US"/>
        </w:rPr>
        <w:t>Østrig bemyndiges herved til at ændre den bilaterale aftale om vejtransport mellem Østrig og Schweiz af 22. oktober 1958 ("aftalen mellem Østrig og Schweiz") med henblik på at tillade cabotagekørsel i grænseregionerne i Østrig og Schweiz i forbindelse med udøvelse af international personbefordring med bus mellem de to lande, forudsat at der ikke sker forskelsbehandling mellem transportvirksomheder med hjemsted i Unionen og ikke sker konkurrencefordrejning.</w:t>
      </w:r>
    </w:p>
    <w:p w14:paraId="566007FB" w14:textId="77777777" w:rsidR="00082FB2" w:rsidRPr="00082FB2" w:rsidRDefault="00082FB2" w:rsidP="00082FB2">
      <w:pPr>
        <w:widowControl/>
        <w:spacing w:before="120" w:after="120" w:line="360" w:lineRule="auto"/>
        <w:rPr>
          <w:rFonts w:eastAsia="Calibri"/>
          <w:color w:val="000000"/>
          <w:szCs w:val="22"/>
          <w:lang w:eastAsia="en-US"/>
        </w:rPr>
      </w:pPr>
      <w:r w:rsidRPr="00082FB2">
        <w:rPr>
          <w:rFonts w:eastAsia="Calibri"/>
          <w:color w:val="000000"/>
          <w:szCs w:val="22"/>
          <w:lang w:eastAsia="en-US"/>
        </w:rPr>
        <w:t xml:space="preserve">De administrative områder </w:t>
      </w:r>
      <w:proofErr w:type="spellStart"/>
      <w:r w:rsidRPr="00082FB2">
        <w:rPr>
          <w:rFonts w:eastAsia="Calibri"/>
          <w:color w:val="000000"/>
          <w:szCs w:val="22"/>
          <w:lang w:eastAsia="en-US"/>
        </w:rPr>
        <w:t>Bludenz</w:t>
      </w:r>
      <w:proofErr w:type="spellEnd"/>
      <w:r w:rsidRPr="00082FB2">
        <w:rPr>
          <w:rFonts w:eastAsia="Calibri"/>
          <w:color w:val="000000"/>
          <w:szCs w:val="22"/>
          <w:lang w:eastAsia="en-US"/>
        </w:rPr>
        <w:t xml:space="preserve">, </w:t>
      </w:r>
      <w:proofErr w:type="spellStart"/>
      <w:r w:rsidRPr="00082FB2">
        <w:rPr>
          <w:rFonts w:eastAsia="Calibri"/>
          <w:color w:val="000000"/>
          <w:szCs w:val="22"/>
          <w:lang w:eastAsia="en-US"/>
        </w:rPr>
        <w:t>Bregenz</w:t>
      </w:r>
      <w:proofErr w:type="spellEnd"/>
      <w:r w:rsidRPr="00082FB2">
        <w:rPr>
          <w:rFonts w:eastAsia="Calibri"/>
          <w:color w:val="000000"/>
          <w:szCs w:val="22"/>
          <w:lang w:eastAsia="en-US"/>
        </w:rPr>
        <w:t xml:space="preserve">, </w:t>
      </w:r>
      <w:proofErr w:type="spellStart"/>
      <w:r w:rsidRPr="00082FB2">
        <w:rPr>
          <w:rFonts w:eastAsia="Calibri"/>
          <w:color w:val="000000"/>
          <w:szCs w:val="22"/>
          <w:lang w:eastAsia="en-US"/>
        </w:rPr>
        <w:t>Dornbirn</w:t>
      </w:r>
      <w:proofErr w:type="spellEnd"/>
      <w:r w:rsidRPr="00082FB2">
        <w:rPr>
          <w:rFonts w:eastAsia="Calibri"/>
          <w:color w:val="000000"/>
          <w:szCs w:val="22"/>
          <w:lang w:eastAsia="en-US"/>
        </w:rPr>
        <w:t xml:space="preserve"> og </w:t>
      </w:r>
      <w:proofErr w:type="spellStart"/>
      <w:r w:rsidRPr="00082FB2">
        <w:rPr>
          <w:rFonts w:eastAsia="Calibri"/>
          <w:color w:val="000000"/>
          <w:szCs w:val="22"/>
          <w:lang w:eastAsia="en-US"/>
        </w:rPr>
        <w:t>Feldkirch</w:t>
      </w:r>
      <w:proofErr w:type="spellEnd"/>
      <w:r w:rsidRPr="00082FB2">
        <w:rPr>
          <w:rFonts w:eastAsia="Calibri"/>
          <w:color w:val="000000"/>
          <w:szCs w:val="22"/>
          <w:lang w:eastAsia="en-US"/>
        </w:rPr>
        <w:t xml:space="preserve"> i regionen </w:t>
      </w:r>
      <w:proofErr w:type="spellStart"/>
      <w:r w:rsidRPr="00082FB2">
        <w:rPr>
          <w:rFonts w:eastAsia="Calibri"/>
          <w:color w:val="000000"/>
          <w:szCs w:val="22"/>
          <w:lang w:eastAsia="en-US"/>
        </w:rPr>
        <w:t>Vorarlberg</w:t>
      </w:r>
      <w:proofErr w:type="spellEnd"/>
      <w:r w:rsidRPr="00082FB2">
        <w:rPr>
          <w:rFonts w:eastAsia="Calibri"/>
          <w:color w:val="000000"/>
          <w:szCs w:val="22"/>
          <w:lang w:eastAsia="en-US"/>
        </w:rPr>
        <w:t xml:space="preserve"> og området </w:t>
      </w:r>
      <w:proofErr w:type="spellStart"/>
      <w:r w:rsidRPr="00082FB2">
        <w:rPr>
          <w:rFonts w:eastAsia="Calibri"/>
          <w:color w:val="000000"/>
          <w:szCs w:val="22"/>
          <w:lang w:eastAsia="en-US"/>
        </w:rPr>
        <w:t>Landeck</w:t>
      </w:r>
      <w:proofErr w:type="spellEnd"/>
      <w:r w:rsidRPr="00082FB2">
        <w:rPr>
          <w:rFonts w:eastAsia="Calibri"/>
          <w:color w:val="000000"/>
          <w:szCs w:val="22"/>
          <w:lang w:eastAsia="en-US"/>
        </w:rPr>
        <w:t xml:space="preserve"> i regionen Tyrol anses for at være Østrigs grænseregioner som omhandlet i stk. 1.</w:t>
      </w:r>
    </w:p>
    <w:p w14:paraId="3D1F047F" w14:textId="77777777" w:rsidR="00082FB2" w:rsidRPr="00082FB2" w:rsidRDefault="00082FB2" w:rsidP="00082FB2">
      <w:pPr>
        <w:widowControl/>
        <w:spacing w:after="160" w:line="259" w:lineRule="auto"/>
        <w:rPr>
          <w:rFonts w:eastAsia="Calibri"/>
          <w:i/>
          <w:color w:val="000000"/>
          <w:szCs w:val="22"/>
          <w:lang w:eastAsia="en-US"/>
        </w:rPr>
      </w:pPr>
      <w:r w:rsidRPr="00082FB2">
        <w:rPr>
          <w:rFonts w:eastAsia="Calibri"/>
          <w:color w:val="000000"/>
          <w:szCs w:val="22"/>
          <w:lang w:eastAsia="en-US"/>
        </w:rPr>
        <w:br w:type="page"/>
      </w:r>
    </w:p>
    <w:p w14:paraId="69FC4D95" w14:textId="77777777" w:rsidR="00082FB2" w:rsidRPr="00082FB2" w:rsidRDefault="00082FB2" w:rsidP="00082FB2">
      <w:pPr>
        <w:keepNext/>
        <w:widowControl/>
        <w:spacing w:before="120" w:after="120" w:line="360" w:lineRule="auto"/>
        <w:jc w:val="center"/>
        <w:rPr>
          <w:rFonts w:eastAsia="Calibri"/>
          <w:i/>
          <w:color w:val="000000"/>
          <w:szCs w:val="22"/>
          <w:lang w:eastAsia="en-US"/>
        </w:rPr>
      </w:pPr>
      <w:r w:rsidRPr="00082FB2">
        <w:rPr>
          <w:rFonts w:eastAsia="Calibri"/>
          <w:i/>
          <w:color w:val="000000"/>
          <w:szCs w:val="22"/>
          <w:lang w:eastAsia="en-US"/>
        </w:rPr>
        <w:lastRenderedPageBreak/>
        <w:t>Artikel 2</w:t>
      </w:r>
    </w:p>
    <w:p w14:paraId="0F3937FB" w14:textId="77777777" w:rsidR="00082FB2" w:rsidRPr="00082FB2" w:rsidRDefault="00082FB2" w:rsidP="00082FB2">
      <w:pPr>
        <w:keepLines/>
        <w:widowControl/>
        <w:spacing w:before="120" w:after="120" w:line="360" w:lineRule="auto"/>
        <w:rPr>
          <w:rFonts w:eastAsia="Calibri"/>
          <w:color w:val="000000"/>
          <w:szCs w:val="22"/>
          <w:lang w:eastAsia="en-US"/>
        </w:rPr>
      </w:pPr>
      <w:r w:rsidRPr="00082FB2">
        <w:rPr>
          <w:rFonts w:eastAsia="Calibri"/>
          <w:color w:val="000000"/>
          <w:szCs w:val="22"/>
          <w:lang w:eastAsia="en-US"/>
        </w:rPr>
        <w:t>Østrig underretter Kommissionen om ændringen af aftalen mellem Østrig og Schweiz i henhold til denne afgørelses artikel 1 og giver Kommissionen meddelelse om ordlyden af den ændrede aftale.</w:t>
      </w:r>
    </w:p>
    <w:p w14:paraId="21254C69" w14:textId="77777777" w:rsidR="00082FB2" w:rsidRPr="00082FB2" w:rsidRDefault="00082FB2" w:rsidP="00082FB2">
      <w:pPr>
        <w:keepLines/>
        <w:widowControl/>
        <w:spacing w:before="120" w:after="120" w:line="360" w:lineRule="auto"/>
        <w:rPr>
          <w:rFonts w:eastAsia="Calibri"/>
          <w:color w:val="000000"/>
          <w:szCs w:val="22"/>
          <w:lang w:eastAsia="en-US"/>
        </w:rPr>
      </w:pPr>
      <w:r w:rsidRPr="00082FB2">
        <w:rPr>
          <w:rFonts w:eastAsia="Calibri"/>
          <w:color w:val="000000"/>
          <w:szCs w:val="22"/>
          <w:lang w:eastAsia="en-US"/>
        </w:rPr>
        <w:t>Kommissionen underretter Europa-Parlamentet og Rådet herom.</w:t>
      </w:r>
    </w:p>
    <w:p w14:paraId="2EF122C6" w14:textId="77777777" w:rsidR="00082FB2" w:rsidRPr="00082FB2" w:rsidRDefault="00082FB2" w:rsidP="00082FB2">
      <w:pPr>
        <w:keepNext/>
        <w:widowControl/>
        <w:spacing w:before="120" w:after="120" w:line="360" w:lineRule="auto"/>
        <w:jc w:val="center"/>
        <w:rPr>
          <w:rFonts w:eastAsia="Calibri"/>
          <w:i/>
          <w:color w:val="000000"/>
          <w:szCs w:val="22"/>
          <w:lang w:eastAsia="en-US"/>
        </w:rPr>
      </w:pPr>
      <w:r w:rsidRPr="00082FB2">
        <w:rPr>
          <w:rFonts w:eastAsia="Calibri"/>
          <w:i/>
          <w:color w:val="000000"/>
          <w:szCs w:val="22"/>
          <w:lang w:eastAsia="en-US"/>
        </w:rPr>
        <w:t>Artikel 3</w:t>
      </w:r>
    </w:p>
    <w:p w14:paraId="73CFDC78" w14:textId="77777777" w:rsidR="00082FB2" w:rsidRPr="00082FB2" w:rsidRDefault="00082FB2" w:rsidP="00082FB2">
      <w:pPr>
        <w:keepNext/>
        <w:keepLines/>
        <w:widowControl/>
        <w:spacing w:before="120" w:after="120" w:line="360" w:lineRule="auto"/>
        <w:rPr>
          <w:rFonts w:eastAsia="Calibri"/>
          <w:color w:val="000000"/>
          <w:szCs w:val="22"/>
          <w:lang w:eastAsia="en-US"/>
        </w:rPr>
      </w:pPr>
      <w:r w:rsidRPr="00082FB2">
        <w:rPr>
          <w:rFonts w:eastAsia="Calibri"/>
          <w:color w:val="000000"/>
          <w:szCs w:val="22"/>
          <w:lang w:eastAsia="en-US"/>
        </w:rPr>
        <w:t>Denne afgørelse er rettet til Republikken Østrig.</w:t>
      </w:r>
    </w:p>
    <w:p w14:paraId="0849DFEF" w14:textId="77777777" w:rsidR="00082FB2" w:rsidRPr="00082FB2" w:rsidRDefault="00082FB2" w:rsidP="00082FB2">
      <w:pPr>
        <w:keepNext/>
        <w:widowControl/>
        <w:spacing w:before="120" w:after="120" w:line="360" w:lineRule="auto"/>
        <w:rPr>
          <w:rFonts w:eastAsia="Calibri"/>
          <w:color w:val="000000"/>
          <w:szCs w:val="22"/>
          <w:lang w:eastAsia="en-US"/>
        </w:rPr>
      </w:pPr>
      <w:r w:rsidRPr="00082FB2">
        <w:rPr>
          <w:rFonts w:eastAsia="Calibri"/>
          <w:color w:val="000000"/>
          <w:szCs w:val="22"/>
          <w:lang w:eastAsia="en-US"/>
        </w:rPr>
        <w:t>Udfærdiget i …, den …</w:t>
      </w:r>
    </w:p>
    <w:p w14:paraId="15207C83" w14:textId="77777777" w:rsidR="00082FB2" w:rsidRPr="00082FB2" w:rsidRDefault="00082FB2" w:rsidP="00082FB2">
      <w:pPr>
        <w:keepNext/>
        <w:widowControl/>
        <w:tabs>
          <w:tab w:val="left" w:pos="4252"/>
        </w:tabs>
        <w:spacing w:before="120" w:after="120" w:line="360" w:lineRule="auto"/>
        <w:rPr>
          <w:rFonts w:eastAsia="Calibri"/>
          <w:i/>
          <w:color w:val="000000"/>
          <w:szCs w:val="22"/>
          <w:lang w:eastAsia="en-US"/>
        </w:rPr>
      </w:pPr>
      <w:r w:rsidRPr="00082FB2">
        <w:rPr>
          <w:rFonts w:eastAsia="Calibri"/>
          <w:i/>
          <w:color w:val="000000"/>
          <w:szCs w:val="22"/>
          <w:lang w:eastAsia="en-US"/>
        </w:rPr>
        <w:t>På Europa-Parlamentets vegne</w:t>
      </w:r>
      <w:r w:rsidRPr="00082FB2">
        <w:rPr>
          <w:rFonts w:eastAsia="Calibri"/>
          <w:i/>
          <w:color w:val="000000"/>
          <w:szCs w:val="22"/>
          <w:lang w:eastAsia="en-US"/>
        </w:rPr>
        <w:tab/>
        <w:t>På Rådets vegne</w:t>
      </w:r>
    </w:p>
    <w:p w14:paraId="1A557945" w14:textId="77777777" w:rsidR="00082FB2" w:rsidRPr="00082FB2" w:rsidRDefault="00082FB2" w:rsidP="00082FB2">
      <w:pPr>
        <w:widowControl/>
        <w:tabs>
          <w:tab w:val="left" w:pos="4252"/>
        </w:tabs>
        <w:spacing w:before="120" w:after="120" w:line="360" w:lineRule="auto"/>
        <w:rPr>
          <w:rFonts w:eastAsia="Calibri"/>
          <w:i/>
          <w:color w:val="000000"/>
          <w:szCs w:val="22"/>
          <w:lang w:eastAsia="en-US"/>
        </w:rPr>
      </w:pPr>
      <w:r w:rsidRPr="00082FB2">
        <w:rPr>
          <w:rFonts w:eastAsia="Calibri"/>
          <w:i/>
          <w:color w:val="000000"/>
          <w:szCs w:val="22"/>
          <w:lang w:eastAsia="en-US"/>
        </w:rPr>
        <w:t>Formand</w:t>
      </w:r>
      <w:r w:rsidRPr="00082FB2">
        <w:rPr>
          <w:rFonts w:eastAsia="Calibri"/>
          <w:i/>
          <w:color w:val="000000"/>
          <w:szCs w:val="22"/>
          <w:lang w:eastAsia="en-US"/>
        </w:rPr>
        <w:tab/>
      </w:r>
      <w:proofErr w:type="spellStart"/>
      <w:r w:rsidRPr="00082FB2">
        <w:rPr>
          <w:rFonts w:eastAsia="Calibri"/>
          <w:i/>
          <w:color w:val="000000"/>
          <w:szCs w:val="22"/>
          <w:lang w:eastAsia="en-US"/>
        </w:rPr>
        <w:t>Formand</w:t>
      </w:r>
      <w:proofErr w:type="spellEnd"/>
    </w:p>
    <w:p w14:paraId="3AD85E5B" w14:textId="77777777" w:rsidR="003E3EA0" w:rsidRPr="00CB6E43" w:rsidRDefault="003E3EA0" w:rsidP="006D6120"/>
    <w:sectPr w:rsidR="003E3EA0" w:rsidRPr="00CB6E43" w:rsidSect="00CB6E4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3221C" w14:textId="77777777" w:rsidR="00141D07" w:rsidRPr="00CB6E43" w:rsidRDefault="00141D07">
      <w:r w:rsidRPr="00CB6E43">
        <w:separator/>
      </w:r>
    </w:p>
  </w:endnote>
  <w:endnote w:type="continuationSeparator" w:id="0">
    <w:p w14:paraId="27610940" w14:textId="77777777" w:rsidR="00141D07" w:rsidRPr="00CB6E43" w:rsidRDefault="00141D07">
      <w:r w:rsidRPr="00CB6E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63F8" w14:textId="77777777" w:rsidR="00064002" w:rsidRPr="00CB6E4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F4D42" w14:textId="77777777" w:rsidR="00064002" w:rsidRPr="00CB6E4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C1331" w14:textId="77777777" w:rsidR="00064002" w:rsidRPr="00CB6E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AC7F4" w14:textId="77777777" w:rsidR="00141D07" w:rsidRPr="00CB6E43" w:rsidRDefault="00141D07">
      <w:r w:rsidRPr="00CB6E43">
        <w:separator/>
      </w:r>
    </w:p>
  </w:footnote>
  <w:footnote w:type="continuationSeparator" w:id="0">
    <w:p w14:paraId="0050C888" w14:textId="77777777" w:rsidR="00141D07" w:rsidRPr="00CB6E43" w:rsidRDefault="00141D07">
      <w:r w:rsidRPr="00CB6E43">
        <w:continuationSeparator/>
      </w:r>
    </w:p>
  </w:footnote>
  <w:footnote w:id="1">
    <w:p w14:paraId="6AB02058" w14:textId="2F8DBED6" w:rsidR="006D6120" w:rsidRPr="007303BF" w:rsidRDefault="006D6120" w:rsidP="00CB6E43">
      <w:pPr>
        <w:pStyle w:val="FootnoteText"/>
        <w:ind w:left="567" w:hanging="567"/>
        <w:rPr>
          <w:sz w:val="24"/>
          <w:lang w:val="fi-FI"/>
        </w:rPr>
      </w:pPr>
      <w:r w:rsidRPr="00CB6E43">
        <w:rPr>
          <w:rStyle w:val="FootnoteReference"/>
          <w:sz w:val="24"/>
          <w:lang w:val="da-DK"/>
        </w:rPr>
        <w:footnoteRef/>
      </w:r>
      <w:r w:rsidR="00CB6E43" w:rsidRPr="00082FB2">
        <w:rPr>
          <w:sz w:val="24"/>
          <w:lang w:val="fi-FI"/>
        </w:rPr>
        <w:t xml:space="preserve"> </w:t>
      </w:r>
      <w:r w:rsidR="00CB6E43" w:rsidRPr="00082FB2">
        <w:rPr>
          <w:sz w:val="24"/>
          <w:lang w:val="fi-FI"/>
        </w:rPr>
        <w:tab/>
      </w:r>
      <w:r w:rsidRPr="00082FB2">
        <w:rPr>
          <w:sz w:val="24"/>
          <w:lang w:val="fi-FI"/>
        </w:rPr>
        <w:t xml:space="preserve">EUT C, C/2026/1970, 28.4.2026, ELI: </w:t>
      </w:r>
      <w:r>
        <w:fldChar w:fldCharType="begin"/>
      </w:r>
      <w:r w:rsidRPr="00E66083">
        <w:rPr>
          <w:lang w:val="fi-FI"/>
        </w:rPr>
        <w:instrText>HYPERLINK "http://data.europa.eu/eli/C/2026/1970/oj"</w:instrText>
      </w:r>
      <w:r>
        <w:fldChar w:fldCharType="separate"/>
      </w:r>
      <w:r w:rsidRPr="00082FB2">
        <w:rPr>
          <w:rStyle w:val="Hyperlink"/>
          <w:sz w:val="24"/>
          <w:lang w:val="fi-FI"/>
        </w:rPr>
        <w:t>http://data.europa.eu/eli/C/2026/1970/oj</w:t>
      </w:r>
      <w:r>
        <w:fldChar w:fldCharType="end"/>
      </w:r>
      <w:r w:rsidR="007303BF" w:rsidRPr="00120341">
        <w:rPr>
          <w:lang w:val="fi-FI"/>
        </w:rPr>
        <w:t>.</w:t>
      </w:r>
    </w:p>
  </w:footnote>
  <w:footnote w:id="2">
    <w:p w14:paraId="5C1A1113" w14:textId="77777777" w:rsidR="00082FB2" w:rsidRPr="002B0A14" w:rsidRDefault="00082FB2" w:rsidP="00082FB2">
      <w:pPr>
        <w:pStyle w:val="FootnoteText"/>
        <w:ind w:left="850" w:hanging="850"/>
        <w:rPr>
          <w:color w:val="000000"/>
          <w:sz w:val="24"/>
          <w:szCs w:val="24"/>
          <w:lang w:val="fr-BE"/>
        </w:rPr>
      </w:pPr>
      <w:r w:rsidRPr="002B0A14">
        <w:rPr>
          <w:rStyle w:val="FootnoteReference"/>
          <w:color w:val="000000"/>
          <w:sz w:val="24"/>
          <w:szCs w:val="24"/>
        </w:rPr>
        <w:footnoteRef/>
      </w:r>
      <w:r w:rsidRPr="002B0A14">
        <w:rPr>
          <w:color w:val="000000"/>
          <w:sz w:val="24"/>
          <w:szCs w:val="24"/>
          <w:lang w:val="fr-BE"/>
        </w:rPr>
        <w:tab/>
        <w:t xml:space="preserve">EUT C, C/2026/1970, 28.4.2026, </w:t>
      </w:r>
      <w:proofErr w:type="gramStart"/>
      <w:r w:rsidRPr="002B0A14">
        <w:rPr>
          <w:color w:val="000000"/>
          <w:sz w:val="24"/>
          <w:szCs w:val="24"/>
        </w:rPr>
        <w:t>ELI:</w:t>
      </w:r>
      <w:proofErr w:type="gramEnd"/>
      <w:r w:rsidRPr="002B0A14">
        <w:rPr>
          <w:color w:val="000000"/>
          <w:sz w:val="24"/>
          <w:szCs w:val="24"/>
        </w:rPr>
        <w:t> </w:t>
      </w:r>
      <w:hyperlink r:id="rId1" w:history="1">
        <w:r w:rsidRPr="002B0A14">
          <w:rPr>
            <w:rStyle w:val="Hyperlink"/>
            <w:color w:val="0000FF"/>
            <w:sz w:val="24"/>
          </w:rPr>
          <w:t>http://data.europa.eu/eli/C/2026/1970/oj</w:t>
        </w:r>
      </w:hyperlink>
      <w:r w:rsidRPr="002B0A14">
        <w:rPr>
          <w:color w:val="000000"/>
          <w:sz w:val="24"/>
          <w:szCs w:val="24"/>
          <w:lang w:val="fr-BE"/>
        </w:rPr>
        <w:t>.</w:t>
      </w:r>
    </w:p>
  </w:footnote>
  <w:footnote w:id="3">
    <w:p w14:paraId="6F0DEAE7" w14:textId="23300C3E" w:rsidR="00082FB2" w:rsidRPr="00082FB2" w:rsidRDefault="00082FB2" w:rsidP="00082FB2">
      <w:pPr>
        <w:pStyle w:val="FootnoteText"/>
        <w:ind w:left="850" w:hanging="850"/>
        <w:rPr>
          <w:color w:val="000000"/>
          <w:sz w:val="24"/>
          <w:szCs w:val="24"/>
          <w:lang w:val="da-DK"/>
        </w:rPr>
      </w:pPr>
      <w:r w:rsidRPr="002B0A14">
        <w:rPr>
          <w:rStyle w:val="FootnoteReference"/>
          <w:color w:val="000000"/>
          <w:sz w:val="24"/>
          <w:szCs w:val="24"/>
        </w:rPr>
        <w:footnoteRef/>
      </w:r>
      <w:r w:rsidRPr="00082FB2">
        <w:rPr>
          <w:color w:val="000000"/>
          <w:sz w:val="24"/>
          <w:szCs w:val="24"/>
          <w:lang w:val="da-DK"/>
        </w:rPr>
        <w:tab/>
        <w:t xml:space="preserve">Europa-Parlamentets holdning af </w:t>
      </w:r>
      <w:r w:rsidR="00F67A29">
        <w:rPr>
          <w:color w:val="000000"/>
          <w:sz w:val="24"/>
          <w:szCs w:val="24"/>
          <w:lang w:val="da-DK"/>
        </w:rPr>
        <w:t>7.7.2026</w:t>
      </w:r>
      <w:r w:rsidRPr="00082FB2">
        <w:rPr>
          <w:color w:val="000000"/>
          <w:sz w:val="24"/>
          <w:szCs w:val="24"/>
          <w:lang w:val="da-DK"/>
        </w:rPr>
        <w:t>.</w:t>
      </w:r>
    </w:p>
  </w:footnote>
  <w:footnote w:id="4">
    <w:p w14:paraId="03F99A6E" w14:textId="77777777" w:rsidR="00082FB2" w:rsidRPr="00082FB2" w:rsidRDefault="00082FB2" w:rsidP="00082FB2">
      <w:pPr>
        <w:pStyle w:val="FootnoteText"/>
        <w:ind w:left="850" w:hanging="850"/>
        <w:rPr>
          <w:color w:val="000000"/>
          <w:sz w:val="24"/>
          <w:szCs w:val="24"/>
          <w:lang w:val="da-DK"/>
        </w:rPr>
      </w:pPr>
      <w:r w:rsidRPr="002B0A14">
        <w:rPr>
          <w:rStyle w:val="FootnoteReference"/>
          <w:color w:val="000000"/>
          <w:sz w:val="24"/>
          <w:szCs w:val="24"/>
        </w:rPr>
        <w:footnoteRef/>
      </w:r>
      <w:r w:rsidRPr="00082FB2">
        <w:rPr>
          <w:color w:val="000000"/>
          <w:sz w:val="24"/>
          <w:szCs w:val="24"/>
          <w:lang w:val="da-DK"/>
        </w:rPr>
        <w:tab/>
        <w:t>EFT L 114 af 30.4.2002, s. 91, ELI: </w:t>
      </w:r>
      <w:r>
        <w:fldChar w:fldCharType="begin"/>
      </w:r>
      <w:r w:rsidRPr="00E66083">
        <w:rPr>
          <w:lang w:val="da-DK"/>
        </w:rPr>
        <w:instrText>HYPERLINK "http://data.europa.eu/eli/agree_internation/2002/309(3)/oj" \o "Giver adgang til dokumentet via dets ELI-URI."</w:instrText>
      </w:r>
      <w:r>
        <w:fldChar w:fldCharType="separate"/>
      </w:r>
      <w:r w:rsidRPr="00082FB2">
        <w:rPr>
          <w:rStyle w:val="Hyperlink"/>
          <w:color w:val="0000FF"/>
          <w:sz w:val="24"/>
          <w:szCs w:val="24"/>
          <w:lang w:val="da-DK"/>
        </w:rPr>
        <w:t>http://data.europa.eu/eli/agree_internation/2002/309(3)/oj</w:t>
      </w:r>
      <w:r>
        <w:fldChar w:fldCharType="end"/>
      </w:r>
      <w:r w:rsidRPr="00082FB2">
        <w:rPr>
          <w:color w:val="000000"/>
          <w:sz w:val="24"/>
          <w:szCs w:val="24"/>
          <w:lang w:val="da-DK"/>
        </w:rPr>
        <w:t>.</w:t>
      </w:r>
    </w:p>
  </w:footnote>
  <w:footnote w:id="5">
    <w:p w14:paraId="19A620D7" w14:textId="05526C36" w:rsidR="00082FB2" w:rsidRPr="00082FB2" w:rsidRDefault="00082FB2" w:rsidP="00082FB2">
      <w:pPr>
        <w:pStyle w:val="FootnoteText"/>
        <w:ind w:left="850" w:hanging="850"/>
        <w:rPr>
          <w:color w:val="000000"/>
          <w:sz w:val="24"/>
          <w:szCs w:val="24"/>
          <w:lang w:val="da-DK"/>
        </w:rPr>
      </w:pPr>
      <w:r w:rsidRPr="002B0A14">
        <w:rPr>
          <w:rStyle w:val="FootnoteReference"/>
          <w:color w:val="000000"/>
          <w:sz w:val="24"/>
          <w:szCs w:val="24"/>
        </w:rPr>
        <w:footnoteRef/>
      </w:r>
      <w:r w:rsidRPr="00082FB2">
        <w:rPr>
          <w:color w:val="000000"/>
          <w:sz w:val="24"/>
          <w:szCs w:val="24"/>
          <w:lang w:val="da-DK"/>
        </w:rPr>
        <w:tab/>
      </w:r>
      <w:proofErr w:type="spellStart"/>
      <w:r w:rsidRPr="00082FB2">
        <w:rPr>
          <w:color w:val="000000"/>
          <w:sz w:val="24"/>
          <w:szCs w:val="24"/>
          <w:lang w:val="da-DK"/>
        </w:rPr>
        <w:t>BGBl</w:t>
      </w:r>
      <w:proofErr w:type="spellEnd"/>
      <w:r w:rsidRPr="00082FB2">
        <w:rPr>
          <w:color w:val="000000"/>
          <w:sz w:val="24"/>
          <w:szCs w:val="24"/>
          <w:lang w:val="da-DK"/>
        </w:rPr>
        <w:t xml:space="preserve">. (Østrig) </w:t>
      </w:r>
      <w:r w:rsidR="00BB1646">
        <w:rPr>
          <w:color w:val="000000"/>
          <w:sz w:val="24"/>
          <w:szCs w:val="24"/>
          <w:lang w:val="da-DK"/>
        </w:rPr>
        <w:t>n</w:t>
      </w:r>
      <w:r w:rsidRPr="00082FB2">
        <w:rPr>
          <w:color w:val="000000"/>
          <w:sz w:val="24"/>
          <w:szCs w:val="24"/>
          <w:lang w:val="da-DK"/>
        </w:rPr>
        <w:t>r. 123/1959.</w:t>
      </w:r>
    </w:p>
  </w:footnote>
  <w:footnote w:id="6">
    <w:p w14:paraId="15469866" w14:textId="77777777" w:rsidR="00082FB2" w:rsidRDefault="00082FB2" w:rsidP="00082FB2">
      <w:pPr>
        <w:ind w:left="850" w:hanging="850"/>
      </w:pPr>
      <w:r w:rsidRPr="002B0A14">
        <w:rPr>
          <w:rStyle w:val="FootnoteReference"/>
          <w:color w:val="000000"/>
          <w:szCs w:val="24"/>
        </w:rPr>
        <w:footnoteRef/>
      </w:r>
      <w:r w:rsidRPr="002B0A14">
        <w:rPr>
          <w:color w:val="000000"/>
          <w:szCs w:val="24"/>
        </w:rPr>
        <w:tab/>
        <w:t>Europa-Parlamentets og Rådets forordning (EF) nr. 1073/2009 af 21. oktober 2009 om fælles regler for adgang til det internationale marked for buskørsel og om ændring af forordning (EF) nr. 561/2006 (EUT L 300 af 14.11.2009, s. 88, ELI: </w:t>
      </w:r>
      <w:hyperlink r:id="rId2" w:tooltip="Giver adgang til dokumentet via dets ELI-URI." w:history="1">
        <w:r w:rsidRPr="002B0A14">
          <w:rPr>
            <w:rStyle w:val="Hyperlink"/>
            <w:color w:val="0000FF"/>
            <w:szCs w:val="24"/>
          </w:rPr>
          <w:t>http://data.europa.eu/eli/reg/2009/1073/oj</w:t>
        </w:r>
      </w:hyperlink>
      <w:r w:rsidRPr="002B0A14">
        <w:rPr>
          <w:color w:val="000000"/>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22C0" w14:textId="77777777" w:rsidR="00064002" w:rsidRPr="00CB6E4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7EC0" w14:textId="77777777" w:rsidR="00064002" w:rsidRPr="00CB6E4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D81CE" w14:textId="77777777" w:rsidR="00064002" w:rsidRPr="00CB6E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1659981">
    <w:abstractNumId w:val="9"/>
  </w:num>
  <w:num w:numId="2" w16cid:durableId="1229800352">
    <w:abstractNumId w:val="9"/>
  </w:num>
  <w:num w:numId="3" w16cid:durableId="1575703841">
    <w:abstractNumId w:val="7"/>
  </w:num>
  <w:num w:numId="4" w16cid:durableId="1206717280">
    <w:abstractNumId w:val="7"/>
  </w:num>
  <w:num w:numId="5" w16cid:durableId="1600142734">
    <w:abstractNumId w:val="6"/>
  </w:num>
  <w:num w:numId="6" w16cid:durableId="1044019171">
    <w:abstractNumId w:val="6"/>
  </w:num>
  <w:num w:numId="7" w16cid:durableId="1238704955">
    <w:abstractNumId w:val="5"/>
  </w:num>
  <w:num w:numId="8" w16cid:durableId="674768385">
    <w:abstractNumId w:val="5"/>
  </w:num>
  <w:num w:numId="9" w16cid:durableId="370688332">
    <w:abstractNumId w:val="4"/>
  </w:num>
  <w:num w:numId="10" w16cid:durableId="926183942">
    <w:abstractNumId w:val="4"/>
  </w:num>
  <w:num w:numId="11" w16cid:durableId="1021206706">
    <w:abstractNumId w:val="8"/>
  </w:num>
  <w:num w:numId="12" w16cid:durableId="203250510">
    <w:abstractNumId w:val="8"/>
  </w:num>
  <w:num w:numId="13" w16cid:durableId="824316060">
    <w:abstractNumId w:val="3"/>
  </w:num>
  <w:num w:numId="14" w16cid:durableId="1562600465">
    <w:abstractNumId w:val="3"/>
  </w:num>
  <w:num w:numId="15" w16cid:durableId="1094663811">
    <w:abstractNumId w:val="2"/>
  </w:num>
  <w:num w:numId="16" w16cid:durableId="1208565869">
    <w:abstractNumId w:val="2"/>
  </w:num>
  <w:num w:numId="17" w16cid:durableId="865097476">
    <w:abstractNumId w:val="1"/>
  </w:num>
  <w:num w:numId="18" w16cid:durableId="1543247020">
    <w:abstractNumId w:val="1"/>
  </w:num>
  <w:num w:numId="19" w16cid:durableId="1999726247">
    <w:abstractNumId w:val="0"/>
  </w:num>
  <w:num w:numId="20" w16cid:durableId="1611820389">
    <w:abstractNumId w:val="0"/>
  </w:num>
  <w:num w:numId="21" w16cid:durableId="1156800743">
    <w:abstractNumId w:val="9"/>
  </w:num>
  <w:num w:numId="22" w16cid:durableId="632099271">
    <w:abstractNumId w:val="7"/>
  </w:num>
  <w:num w:numId="23" w16cid:durableId="146363874">
    <w:abstractNumId w:val="6"/>
  </w:num>
  <w:num w:numId="24" w16cid:durableId="1271426800">
    <w:abstractNumId w:val="5"/>
  </w:num>
  <w:num w:numId="25" w16cid:durableId="1985700806">
    <w:abstractNumId w:val="4"/>
  </w:num>
  <w:num w:numId="26" w16cid:durableId="1148207657">
    <w:abstractNumId w:val="8"/>
  </w:num>
  <w:num w:numId="27" w16cid:durableId="1876768849">
    <w:abstractNumId w:val="3"/>
  </w:num>
  <w:num w:numId="28" w16cid:durableId="2035227916">
    <w:abstractNumId w:val="2"/>
  </w:num>
  <w:num w:numId="29" w16cid:durableId="1698773768">
    <w:abstractNumId w:val="1"/>
  </w:num>
  <w:num w:numId="30" w16cid:durableId="1530139331">
    <w:abstractNumId w:val="0"/>
  </w:num>
  <w:num w:numId="31" w16cid:durableId="1664771688">
    <w:abstractNumId w:val="9"/>
  </w:num>
  <w:num w:numId="32" w16cid:durableId="1924874657">
    <w:abstractNumId w:val="7"/>
  </w:num>
  <w:num w:numId="33" w16cid:durableId="1602758669">
    <w:abstractNumId w:val="6"/>
  </w:num>
  <w:num w:numId="34" w16cid:durableId="1656688285">
    <w:abstractNumId w:val="5"/>
  </w:num>
  <w:num w:numId="35" w16cid:durableId="1458840451">
    <w:abstractNumId w:val="4"/>
  </w:num>
  <w:num w:numId="36" w16cid:durableId="918247756">
    <w:abstractNumId w:val="8"/>
  </w:num>
  <w:num w:numId="37" w16cid:durableId="318850413">
    <w:abstractNumId w:val="3"/>
  </w:num>
  <w:num w:numId="38" w16cid:durableId="734936404">
    <w:abstractNumId w:val="2"/>
  </w:num>
  <w:num w:numId="39" w16cid:durableId="1658993130">
    <w:abstractNumId w:val="1"/>
  </w:num>
  <w:num w:numId="40" w16cid:durableId="835612326">
    <w:abstractNumId w:val="0"/>
  </w:num>
  <w:num w:numId="41" w16cid:durableId="2004311555">
    <w:abstractNumId w:val="10"/>
  </w:num>
  <w:num w:numId="42" w16cid:durableId="215238168">
    <w:abstractNumId w:val="10"/>
  </w:num>
  <w:num w:numId="43" w16cid:durableId="39743227">
    <w:abstractNumId w:val="10"/>
  </w:num>
  <w:num w:numId="44" w16cid:durableId="16654743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DA"/>
    <w:docVar w:name="dvnumam" w:val="2"/>
    <w:docVar w:name="dvpe" w:val="785.404"/>
    <w:docVar w:name="dvrapporteur" w:val="Ordfører: "/>
    <w:docVar w:name="dvstar" w:val="***I"/>
    <w:docVar w:name="dvtitre" w:val="Europa-Parlamentets lovgivningsmæssige beslutning af xx.xx 2026 om forslag til Europa-Parlamentets og Rådets afgørelse om bemyndigelse af Østrig til at ændre sin eksisterende bilaterale aftale om vejtransport med Schweiz med henblik på at tillade cabotagekørsel i forbindelse med udøvelse af international personbefordring ad vej med bus i grænseregionerne mellem de to lande(COM(2025)0773 – C10-0367/2025 – 2025/0407(COD))"/>
  </w:docVars>
  <w:rsids>
    <w:rsidRoot w:val="00141D07"/>
    <w:rsid w:val="00002272"/>
    <w:rsid w:val="00064002"/>
    <w:rsid w:val="000677B9"/>
    <w:rsid w:val="00082FB2"/>
    <w:rsid w:val="000831BA"/>
    <w:rsid w:val="000A42CC"/>
    <w:rsid w:val="000E7DD9"/>
    <w:rsid w:val="0010095E"/>
    <w:rsid w:val="00120341"/>
    <w:rsid w:val="00125B37"/>
    <w:rsid w:val="00141D07"/>
    <w:rsid w:val="00187494"/>
    <w:rsid w:val="001F32AE"/>
    <w:rsid w:val="00221CD3"/>
    <w:rsid w:val="002767FF"/>
    <w:rsid w:val="0028676A"/>
    <w:rsid w:val="002B18FE"/>
    <w:rsid w:val="002B5493"/>
    <w:rsid w:val="00343214"/>
    <w:rsid w:val="00361C00"/>
    <w:rsid w:val="00395FA1"/>
    <w:rsid w:val="003A21BE"/>
    <w:rsid w:val="003E15D4"/>
    <w:rsid w:val="003E3EA0"/>
    <w:rsid w:val="00411CCE"/>
    <w:rsid w:val="0041666E"/>
    <w:rsid w:val="00421060"/>
    <w:rsid w:val="004414C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6120"/>
    <w:rsid w:val="006F74FA"/>
    <w:rsid w:val="007303BF"/>
    <w:rsid w:val="00731ADD"/>
    <w:rsid w:val="00734777"/>
    <w:rsid w:val="00747932"/>
    <w:rsid w:val="00751A4A"/>
    <w:rsid w:val="00756632"/>
    <w:rsid w:val="00762C74"/>
    <w:rsid w:val="00786EC0"/>
    <w:rsid w:val="007D1690"/>
    <w:rsid w:val="007E22AD"/>
    <w:rsid w:val="007E63BB"/>
    <w:rsid w:val="00817416"/>
    <w:rsid w:val="00842779"/>
    <w:rsid w:val="00865F67"/>
    <w:rsid w:val="00881A7B"/>
    <w:rsid w:val="008840E5"/>
    <w:rsid w:val="00887B3E"/>
    <w:rsid w:val="008C2AC6"/>
    <w:rsid w:val="00930C23"/>
    <w:rsid w:val="0093193B"/>
    <w:rsid w:val="009509D8"/>
    <w:rsid w:val="00950B64"/>
    <w:rsid w:val="00981893"/>
    <w:rsid w:val="00A1687D"/>
    <w:rsid w:val="00A1755B"/>
    <w:rsid w:val="00A43E52"/>
    <w:rsid w:val="00A4678D"/>
    <w:rsid w:val="00A778C7"/>
    <w:rsid w:val="00AB441E"/>
    <w:rsid w:val="00AB6293"/>
    <w:rsid w:val="00AE0928"/>
    <w:rsid w:val="00AF3B82"/>
    <w:rsid w:val="00B12E95"/>
    <w:rsid w:val="00B22876"/>
    <w:rsid w:val="00B558F0"/>
    <w:rsid w:val="00BB1646"/>
    <w:rsid w:val="00BD48FE"/>
    <w:rsid w:val="00BD7BD8"/>
    <w:rsid w:val="00BE6ADC"/>
    <w:rsid w:val="00C05BFE"/>
    <w:rsid w:val="00C23CD4"/>
    <w:rsid w:val="00C61C0C"/>
    <w:rsid w:val="00C941CB"/>
    <w:rsid w:val="00CB6E43"/>
    <w:rsid w:val="00CC2357"/>
    <w:rsid w:val="00CF071A"/>
    <w:rsid w:val="00D058B8"/>
    <w:rsid w:val="00D56C11"/>
    <w:rsid w:val="00D834A0"/>
    <w:rsid w:val="00D872DF"/>
    <w:rsid w:val="00D91E21"/>
    <w:rsid w:val="00DA7FCD"/>
    <w:rsid w:val="00E365E1"/>
    <w:rsid w:val="00E66083"/>
    <w:rsid w:val="00E820A4"/>
    <w:rsid w:val="00EB006A"/>
    <w:rsid w:val="00EB1B59"/>
    <w:rsid w:val="00EB4772"/>
    <w:rsid w:val="00ED169E"/>
    <w:rsid w:val="00ED4235"/>
    <w:rsid w:val="00F04346"/>
    <w:rsid w:val="00F075DC"/>
    <w:rsid w:val="00F149E9"/>
    <w:rsid w:val="00F5134D"/>
    <w:rsid w:val="00F67A2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E9249"/>
  <w15:chartTrackingRefBased/>
  <w15:docId w15:val="{F5F92085-05EE-4A54-9D01-935F75AC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6D6120"/>
    <w:rPr>
      <w:b/>
    </w:rPr>
  </w:style>
  <w:style w:type="paragraph" w:customStyle="1" w:styleId="AmJustText">
    <w:name w:val="AmJustText"/>
    <w:basedOn w:val="Normal"/>
    <w:rsid w:val="006D6120"/>
    <w:pPr>
      <w:spacing w:after="240"/>
    </w:pPr>
    <w:rPr>
      <w:i/>
    </w:rPr>
  </w:style>
  <w:style w:type="paragraph" w:customStyle="1" w:styleId="NormalHanging12a">
    <w:name w:val="NormalHanging12a"/>
    <w:basedOn w:val="Normal"/>
    <w:rsid w:val="006D6120"/>
    <w:pPr>
      <w:spacing w:after="240"/>
      <w:ind w:left="567" w:hanging="567"/>
    </w:pPr>
  </w:style>
  <w:style w:type="paragraph" w:customStyle="1" w:styleId="AmJustTitle">
    <w:name w:val="AmJustTitle"/>
    <w:basedOn w:val="Normal"/>
    <w:next w:val="AmJustText"/>
    <w:rsid w:val="006D6120"/>
    <w:pPr>
      <w:keepNext/>
      <w:spacing w:before="240" w:after="240"/>
      <w:jc w:val="center"/>
    </w:pPr>
    <w:rPr>
      <w:i/>
    </w:rPr>
  </w:style>
  <w:style w:type="paragraph" w:customStyle="1" w:styleId="AmNumberTabs">
    <w:name w:val="AmNumberTabs"/>
    <w:basedOn w:val="Normal"/>
    <w:rsid w:val="006D61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6D6120"/>
    <w:pPr>
      <w:spacing w:before="480" w:after="240"/>
    </w:pPr>
  </w:style>
  <w:style w:type="character" w:customStyle="1" w:styleId="Normal6Char">
    <w:name w:val="Normal6 Char"/>
    <w:basedOn w:val="DefaultParagraphFont"/>
    <w:link w:val="Normal6"/>
    <w:locked/>
    <w:rsid w:val="006D6120"/>
    <w:rPr>
      <w:sz w:val="24"/>
      <w:lang w:val="da-DK"/>
    </w:rPr>
  </w:style>
  <w:style w:type="paragraph" w:customStyle="1" w:styleId="Normal6">
    <w:name w:val="Normal6"/>
    <w:basedOn w:val="Normal"/>
    <w:link w:val="Normal6Char"/>
    <w:rsid w:val="006D6120"/>
    <w:pPr>
      <w:spacing w:after="120"/>
    </w:pPr>
  </w:style>
  <w:style w:type="character" w:customStyle="1" w:styleId="NormalBoldChar">
    <w:name w:val="NormalBold Char"/>
    <w:basedOn w:val="DefaultParagraphFont"/>
    <w:link w:val="NormalBold"/>
    <w:locked/>
    <w:rsid w:val="006D6120"/>
    <w:rPr>
      <w:b/>
      <w:sz w:val="24"/>
      <w:lang w:val="da-DK"/>
    </w:rPr>
  </w:style>
  <w:style w:type="paragraph" w:customStyle="1" w:styleId="ColumnHeading">
    <w:name w:val="ColumnHeading"/>
    <w:basedOn w:val="Normal"/>
    <w:rsid w:val="006D6120"/>
    <w:pPr>
      <w:spacing w:after="240"/>
      <w:jc w:val="center"/>
    </w:pPr>
    <w:rPr>
      <w:i/>
    </w:rPr>
  </w:style>
  <w:style w:type="character" w:styleId="Hyperlink">
    <w:name w:val="Hyperlink"/>
    <w:basedOn w:val="DefaultParagraphFont"/>
    <w:uiPriority w:val="99"/>
    <w:rsid w:val="006D6120"/>
    <w:rPr>
      <w:color w:val="0563C1" w:themeColor="hyperlink"/>
      <w:u w:val="single"/>
    </w:rPr>
  </w:style>
  <w:style w:type="paragraph" w:styleId="Revision">
    <w:name w:val="Revision"/>
    <w:hidden/>
    <w:uiPriority w:val="99"/>
    <w:semiHidden/>
    <w:rsid w:val="003E3EA0"/>
    <w:rPr>
      <w:sz w:val="24"/>
      <w:lang w:val="da-DK"/>
    </w:rPr>
  </w:style>
  <w:style w:type="paragraph" w:customStyle="1" w:styleId="NormalCenter12a">
    <w:name w:val="NormalCenter12a"/>
    <w:basedOn w:val="Normal"/>
    <w:rsid w:val="00082FB2"/>
    <w:pPr>
      <w:spacing w:after="240"/>
      <w:jc w:val="center"/>
    </w:pPr>
  </w:style>
  <w:style w:type="paragraph" w:customStyle="1" w:styleId="AmHeadingConsam">
    <w:name w:val="AmHeadingConsam"/>
    <w:basedOn w:val="Normal"/>
    <w:next w:val="NormalCenter12a"/>
    <w:rsid w:val="00082FB2"/>
    <w:pPr>
      <w:spacing w:before="720" w:after="240"/>
      <w:jc w:val="center"/>
    </w:pPr>
  </w:style>
  <w:style w:type="paragraph" w:styleId="CommentText">
    <w:name w:val="annotation text"/>
    <w:basedOn w:val="Normal"/>
    <w:link w:val="CommentTextChar"/>
    <w:uiPriority w:val="99"/>
    <w:unhideWhenUsed/>
    <w:rsid w:val="00082FB2"/>
    <w:pPr>
      <w:widowControl/>
      <w:spacing w:before="120" w:after="120"/>
      <w:jc w:val="both"/>
    </w:pPr>
    <w:rPr>
      <w:sz w:val="20"/>
    </w:rPr>
  </w:style>
  <w:style w:type="character" w:customStyle="1" w:styleId="CommentTextChar">
    <w:name w:val="Comment Text Char"/>
    <w:basedOn w:val="DefaultParagraphFont"/>
    <w:link w:val="CommentText"/>
    <w:uiPriority w:val="99"/>
    <w:rsid w:val="00082FB2"/>
    <w:rPr>
      <w:lang w:val="da-DK"/>
    </w:rPr>
  </w:style>
  <w:style w:type="character" w:styleId="CommentReference">
    <w:name w:val="annotation reference"/>
    <w:unhideWhenUsed/>
    <w:rsid w:val="00082FB2"/>
    <w:rPr>
      <w:rFonts w:ascii="Times New Roman" w:hAnsi="Times New Roman" w:cs="Times New Roman" w:hint="default"/>
      <w:sz w:val="16"/>
      <w:szCs w:val="16"/>
    </w:rPr>
  </w:style>
  <w:style w:type="paragraph" w:styleId="CommentSubject">
    <w:name w:val="annotation subject"/>
    <w:basedOn w:val="CommentText"/>
    <w:next w:val="CommentText"/>
    <w:link w:val="CommentSubjectChar"/>
    <w:rsid w:val="00F67A29"/>
    <w:pPr>
      <w:widowControl w:val="0"/>
      <w:spacing w:before="0" w:after="0"/>
      <w:jc w:val="left"/>
    </w:pPr>
    <w:rPr>
      <w:b/>
      <w:bCs/>
    </w:rPr>
  </w:style>
  <w:style w:type="character" w:customStyle="1" w:styleId="CommentSubjectChar">
    <w:name w:val="Comment Subject Char"/>
    <w:basedOn w:val="CommentTextChar"/>
    <w:link w:val="CommentSubject"/>
    <w:rsid w:val="00F67A29"/>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09/1073/oj" TargetMode="External"/><Relationship Id="rId1" Type="http://schemas.openxmlformats.org/officeDocument/2006/relationships/hyperlink" Target="http://data.europa.eu/eli/C/2026/197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1107</Words>
  <Characters>7060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2026-07-06T09:00:00Z</dcterms:created>
  <dcterms:modified xsi:type="dcterms:W3CDTF">2026-07-07T10:58:00Z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A10-0174/2026</vt:lpwstr>
  </property>
  <property fmtid="{D5CDD505-2E9C-101B-9397-08002B2CF9AE}" pid="4" name="&lt;Type&gt;">
    <vt:lpwstr>RR</vt:lpwstr>
  </property>
</Properties>
</file>