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B4EB8" w14:paraId="01795592" w14:textId="77777777" w:rsidTr="0010095E">
        <w:trPr>
          <w:trHeight w:hRule="exact" w:val="1418"/>
        </w:trPr>
        <w:tc>
          <w:tcPr>
            <w:tcW w:w="6804" w:type="dxa"/>
            <w:shd w:val="clear" w:color="auto" w:fill="auto"/>
            <w:vAlign w:val="center"/>
          </w:tcPr>
          <w:p w14:paraId="202B4178" w14:textId="77777777" w:rsidR="00751A4A" w:rsidRPr="00EB4EB8" w:rsidRDefault="008C4CF7" w:rsidP="0010095E">
            <w:pPr>
              <w:pStyle w:val="EPName"/>
            </w:pPr>
            <w:r w:rsidRPr="00EB4EB8">
              <w:t>European Parliament</w:t>
            </w:r>
          </w:p>
          <w:p w14:paraId="367B6878" w14:textId="77777777" w:rsidR="00751A4A" w:rsidRPr="00EB4EB8" w:rsidRDefault="005F1B17" w:rsidP="005F1B17">
            <w:pPr>
              <w:pStyle w:val="EPTerm"/>
              <w:rPr>
                <w:rStyle w:val="HideTWBExt"/>
                <w:noProof w:val="0"/>
                <w:vanish w:val="0"/>
                <w:color w:val="auto"/>
              </w:rPr>
            </w:pPr>
            <w:r w:rsidRPr="00EB4EB8">
              <w:t>2024</w:t>
            </w:r>
            <w:r w:rsidR="00817416" w:rsidRPr="00EB4EB8">
              <w:t>-202</w:t>
            </w:r>
            <w:r w:rsidRPr="00EB4EB8">
              <w:t>9</w:t>
            </w:r>
          </w:p>
        </w:tc>
        <w:tc>
          <w:tcPr>
            <w:tcW w:w="2268" w:type="dxa"/>
            <w:shd w:val="clear" w:color="auto" w:fill="auto"/>
          </w:tcPr>
          <w:p w14:paraId="37638F32" w14:textId="77777777" w:rsidR="00751A4A" w:rsidRPr="00EB4EB8" w:rsidRDefault="00187494" w:rsidP="0010095E">
            <w:pPr>
              <w:pStyle w:val="EPLogo"/>
            </w:pPr>
            <w:r w:rsidRPr="00EB4EB8">
              <w:rPr>
                <w:noProof/>
                <w:lang w:eastAsia="ja-JP"/>
              </w:rPr>
              <w:drawing>
                <wp:inline distT="0" distB="0" distL="0" distR="0" wp14:anchorId="38CA398B" wp14:editId="410E5E2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6D484CD" w14:textId="77777777" w:rsidR="00D058B8" w:rsidRPr="00EB4EB8" w:rsidRDefault="00D058B8" w:rsidP="004C5D52">
      <w:pPr>
        <w:pStyle w:val="LineTop"/>
      </w:pPr>
    </w:p>
    <w:p w14:paraId="41F7803E" w14:textId="77777777" w:rsidR="00680577" w:rsidRPr="00EB4EB8" w:rsidRDefault="008C4CF7" w:rsidP="00680577">
      <w:pPr>
        <w:pStyle w:val="EPBodyTA1"/>
      </w:pPr>
      <w:r w:rsidRPr="00EB4EB8">
        <w:t>TEXTS ADOPTED</w:t>
      </w:r>
    </w:p>
    <w:p w14:paraId="4EFFB2B6" w14:textId="77777777" w:rsidR="00D058B8" w:rsidRPr="00EB4EB8" w:rsidRDefault="00D058B8" w:rsidP="00D058B8">
      <w:pPr>
        <w:pStyle w:val="LineBottom"/>
      </w:pPr>
    </w:p>
    <w:p w14:paraId="4277CCBB" w14:textId="0AFC1B9A" w:rsidR="008C4CF7" w:rsidRPr="00EB4EB8" w:rsidRDefault="008C4CF7" w:rsidP="008C4CF7">
      <w:pPr>
        <w:pStyle w:val="ATHeading1"/>
      </w:pPr>
      <w:bookmarkStart w:id="0" w:name="TANumber"/>
      <w:r w:rsidRPr="00EB4EB8">
        <w:t>P10_TA(2026)0</w:t>
      </w:r>
      <w:r w:rsidR="00C149F1">
        <w:t>241</w:t>
      </w:r>
      <w:bookmarkEnd w:id="0"/>
    </w:p>
    <w:p w14:paraId="08F5E8E5" w14:textId="56FCE0A2" w:rsidR="008C4CF7" w:rsidRPr="00EB4EB8" w:rsidRDefault="002F6345" w:rsidP="008C4CF7">
      <w:pPr>
        <w:pStyle w:val="ATHeading2"/>
      </w:pPr>
      <w:bookmarkStart w:id="1" w:name="title"/>
      <w:r w:rsidRPr="00EB4EB8">
        <w:t xml:space="preserve">International </w:t>
      </w:r>
      <w:r w:rsidR="008C4CF7" w:rsidRPr="00EB4EB8">
        <w:t>road passenger transport services by coach and bus in the border regions</w:t>
      </w:r>
      <w:r w:rsidRPr="00EB4EB8">
        <w:t>: cabotage operations between Austria and Switzerland</w:t>
      </w:r>
      <w:bookmarkEnd w:id="1"/>
    </w:p>
    <w:p w14:paraId="5CF44D31" w14:textId="77777777" w:rsidR="008C4CF7" w:rsidRPr="00EB4EB8" w:rsidRDefault="008C4CF7" w:rsidP="008C4CF7">
      <w:pPr>
        <w:rPr>
          <w:i/>
          <w:vanish/>
        </w:rPr>
      </w:pPr>
      <w:r w:rsidRPr="00EB4EB8">
        <w:rPr>
          <w:i/>
        </w:rPr>
        <w:fldChar w:fldCharType="begin"/>
      </w:r>
      <w:r w:rsidRPr="00EB4EB8">
        <w:rPr>
          <w:i/>
        </w:rPr>
        <w:instrText xml:space="preserve"> TC"(</w:instrText>
      </w:r>
      <w:bookmarkStart w:id="2" w:name="DocNumber"/>
      <w:r w:rsidRPr="00EB4EB8">
        <w:rPr>
          <w:i/>
        </w:rPr>
        <w:instrText>A10-0174/2026</w:instrText>
      </w:r>
      <w:bookmarkEnd w:id="2"/>
      <w:r w:rsidRPr="00EB4EB8">
        <w:rPr>
          <w:i/>
        </w:rPr>
        <w:instrText xml:space="preserve"> - Rapporteur: </w:instrText>
      </w:r>
      <w:proofErr w:type="spellStart"/>
      <w:r w:rsidRPr="00EB4EB8">
        <w:rPr>
          <w:i/>
        </w:rPr>
        <w:instrText>Elissavet</w:instrText>
      </w:r>
      <w:proofErr w:type="spellEnd"/>
      <w:r w:rsidRPr="00EB4EB8">
        <w:rPr>
          <w:i/>
        </w:rPr>
        <w:instrText xml:space="preserve"> </w:instrText>
      </w:r>
      <w:proofErr w:type="spellStart"/>
      <w:r w:rsidRPr="00EB4EB8">
        <w:rPr>
          <w:i/>
        </w:rPr>
        <w:instrText>Vozemberg-Vrionidi</w:instrText>
      </w:r>
      <w:proofErr w:type="spellEnd"/>
      <w:r w:rsidRPr="00EB4EB8">
        <w:rPr>
          <w:i/>
        </w:rPr>
        <w:instrText xml:space="preserve">)"\l3 \n&gt; \* MERGEFORMAT </w:instrText>
      </w:r>
      <w:r w:rsidRPr="00EB4EB8">
        <w:rPr>
          <w:i/>
        </w:rPr>
        <w:fldChar w:fldCharType="end"/>
      </w:r>
    </w:p>
    <w:p w14:paraId="23422CE4" w14:textId="77777777" w:rsidR="008C4CF7" w:rsidRPr="00EB4EB8" w:rsidRDefault="008C4CF7" w:rsidP="008C4CF7">
      <w:pPr>
        <w:rPr>
          <w:vanish/>
        </w:rPr>
      </w:pPr>
      <w:bookmarkStart w:id="3" w:name="Commission"/>
      <w:r w:rsidRPr="00EB4EB8">
        <w:rPr>
          <w:vanish/>
        </w:rPr>
        <w:t>Committee on Transport and Tourism</w:t>
      </w:r>
      <w:bookmarkEnd w:id="3"/>
    </w:p>
    <w:p w14:paraId="3CC0E35F" w14:textId="77777777" w:rsidR="008C4CF7" w:rsidRPr="00EB4EB8" w:rsidRDefault="008C4CF7" w:rsidP="008C4CF7">
      <w:pPr>
        <w:rPr>
          <w:vanish/>
        </w:rPr>
      </w:pPr>
      <w:bookmarkStart w:id="4" w:name="PE"/>
      <w:r w:rsidRPr="00EB4EB8">
        <w:rPr>
          <w:vanish/>
        </w:rPr>
        <w:t>PE785.404</w:t>
      </w:r>
      <w:bookmarkEnd w:id="4"/>
    </w:p>
    <w:p w14:paraId="4EDF845C" w14:textId="01647388" w:rsidR="008C4CF7" w:rsidRPr="00EB4EB8" w:rsidRDefault="008C4CF7" w:rsidP="008C4CF7">
      <w:pPr>
        <w:pStyle w:val="ATHeading3"/>
      </w:pPr>
      <w:bookmarkStart w:id="5" w:name="Sujet"/>
      <w:r w:rsidRPr="00EB4EB8">
        <w:t xml:space="preserve">European Parliament legislative resolution of </w:t>
      </w:r>
      <w:r w:rsidR="002C4513" w:rsidRPr="00EB4EB8">
        <w:t>7</w:t>
      </w:r>
      <w:r w:rsidRPr="00EB4EB8">
        <w:t xml:space="preserve"> July 2026 on the proposal for a decision of the European Parliament and of the Council empowering Austria to amend its existing bilateral road transport agreement with Switzerland with a view to authorising cabotage operations in the course of the provision of international road passenger transport services by coach and bus in the border regions between the two countries</w:t>
      </w:r>
      <w:bookmarkEnd w:id="5"/>
      <w:r w:rsidRPr="00EB4EB8">
        <w:t xml:space="preserve"> </w:t>
      </w:r>
      <w:bookmarkStart w:id="6" w:name="References"/>
      <w:r w:rsidRPr="00EB4EB8">
        <w:t>(COM(2025)0773 – C10-0367/2025 – 2025/0407(COD))</w:t>
      </w:r>
      <w:bookmarkEnd w:id="6"/>
    </w:p>
    <w:p w14:paraId="3C8C078A" w14:textId="77777777" w:rsidR="00BE494D" w:rsidRPr="00EB4EB8" w:rsidRDefault="00BE494D" w:rsidP="00BE494D">
      <w:pPr>
        <w:pStyle w:val="NormalBold"/>
      </w:pPr>
      <w:r w:rsidRPr="00EB4EB8">
        <w:t>(Ordinary legislative procedure: first reading)</w:t>
      </w:r>
    </w:p>
    <w:p w14:paraId="630A14B2" w14:textId="77777777" w:rsidR="00BE494D" w:rsidRPr="00EB4EB8" w:rsidRDefault="00BE494D" w:rsidP="00BE494D">
      <w:pPr>
        <w:pStyle w:val="EPComma"/>
      </w:pPr>
      <w:r w:rsidRPr="00EB4EB8">
        <w:rPr>
          <w:i/>
        </w:rPr>
        <w:t>The European Parliament</w:t>
      </w:r>
      <w:r w:rsidRPr="00EB4EB8">
        <w:t>,</w:t>
      </w:r>
    </w:p>
    <w:p w14:paraId="14C8C928" w14:textId="77777777" w:rsidR="00BE494D" w:rsidRPr="00EB4EB8" w:rsidRDefault="00BE494D" w:rsidP="00025194">
      <w:pPr>
        <w:pStyle w:val="NormalHanging12a"/>
        <w:widowControl/>
      </w:pPr>
      <w:r w:rsidRPr="00EB4EB8">
        <w:t>–</w:t>
      </w:r>
      <w:r w:rsidRPr="00EB4EB8">
        <w:tab/>
        <w:t>having regard to the Commission proposal to Parliament and the Council (</w:t>
      </w:r>
      <w:proofErr w:type="gramStart"/>
      <w:r w:rsidRPr="00EB4EB8">
        <w:t>COM(</w:t>
      </w:r>
      <w:proofErr w:type="gramEnd"/>
      <w:r w:rsidRPr="00EB4EB8">
        <w:t>2025)0773),</w:t>
      </w:r>
    </w:p>
    <w:p w14:paraId="75D9CADC" w14:textId="77777777" w:rsidR="00BE494D" w:rsidRPr="00EB4EB8" w:rsidRDefault="00BE494D" w:rsidP="00025194">
      <w:pPr>
        <w:pStyle w:val="NormalHanging12a"/>
        <w:widowControl/>
      </w:pPr>
      <w:r w:rsidRPr="00EB4EB8">
        <w:t>–</w:t>
      </w:r>
      <w:r w:rsidRPr="00EB4EB8">
        <w:tab/>
        <w:t>having regard to Article 294(2) and Articles 2(1) and 91 of the Treaty on the Functioning of the European Union, pursuant to which the Commission submitted the proposal to Parliament (C10</w:t>
      </w:r>
      <w:r w:rsidRPr="00EB4EB8">
        <w:noBreakHyphen/>
        <w:t>0367/2025),</w:t>
      </w:r>
    </w:p>
    <w:p w14:paraId="3F485721" w14:textId="77777777" w:rsidR="00BE494D" w:rsidRPr="00EB4EB8" w:rsidRDefault="00BE494D" w:rsidP="00025194">
      <w:pPr>
        <w:pStyle w:val="NormalHanging12a"/>
        <w:widowControl/>
      </w:pPr>
      <w:r w:rsidRPr="00EB4EB8">
        <w:t>–</w:t>
      </w:r>
      <w:r w:rsidRPr="00EB4EB8">
        <w:tab/>
        <w:t>having regard to Article 294(3) of the Treaty on the Functioning of the European Union,</w:t>
      </w:r>
    </w:p>
    <w:p w14:paraId="0A0CB37B" w14:textId="51C6F20D" w:rsidR="00EE203D" w:rsidRPr="00EB4EB8" w:rsidRDefault="00EE203D" w:rsidP="00025194">
      <w:pPr>
        <w:pStyle w:val="NormalHanging12a"/>
        <w:widowControl/>
      </w:pPr>
      <w:r w:rsidRPr="00EB4EB8">
        <w:t>–</w:t>
      </w:r>
      <w:r w:rsidRPr="00EB4EB8">
        <w:tab/>
        <w:t>having regard to the undertaking given by the Council representative by letter of 10 June 2026 to approve Parliament’s position, in accordance with Article 294(4) of the Treaty on the Functioning of the European Union,</w:t>
      </w:r>
    </w:p>
    <w:p w14:paraId="5543548B" w14:textId="77777777" w:rsidR="00BE494D" w:rsidRPr="00EB4EB8" w:rsidRDefault="00BE494D" w:rsidP="00025194">
      <w:pPr>
        <w:pStyle w:val="NormalHanging12a"/>
        <w:widowControl/>
      </w:pPr>
      <w:r w:rsidRPr="00EB4EB8">
        <w:t>–</w:t>
      </w:r>
      <w:r w:rsidRPr="00EB4EB8">
        <w:tab/>
        <w:t>having regard to the opinion of the Committee on Legal Affairs on the proposed legal basis,</w:t>
      </w:r>
    </w:p>
    <w:p w14:paraId="130F443F" w14:textId="77777777" w:rsidR="00BE494D" w:rsidRPr="00EB4EB8" w:rsidRDefault="00BE494D" w:rsidP="00025194">
      <w:pPr>
        <w:pStyle w:val="NormalHanging12a"/>
        <w:widowControl/>
      </w:pPr>
      <w:r w:rsidRPr="00EB4EB8">
        <w:t>–</w:t>
      </w:r>
      <w:r w:rsidRPr="00EB4EB8">
        <w:tab/>
        <w:t>having regard to the opinion of the European Economic and Social Committee of 21 January 2026</w:t>
      </w:r>
      <w:r w:rsidRPr="00EB4EB8">
        <w:rPr>
          <w:vertAlign w:val="superscript"/>
        </w:rPr>
        <w:footnoteReference w:id="1"/>
      </w:r>
      <w:r w:rsidRPr="00EB4EB8">
        <w:t>,</w:t>
      </w:r>
    </w:p>
    <w:p w14:paraId="4BB9E001" w14:textId="77777777" w:rsidR="00BE494D" w:rsidRPr="00EB4EB8" w:rsidRDefault="00BE494D" w:rsidP="00025194">
      <w:pPr>
        <w:pStyle w:val="NormalHanging12a"/>
        <w:widowControl/>
      </w:pPr>
      <w:r w:rsidRPr="00EB4EB8">
        <w:lastRenderedPageBreak/>
        <w:t>–</w:t>
      </w:r>
      <w:r w:rsidRPr="00EB4EB8">
        <w:tab/>
        <w:t>after having consulted the Committee of the Regions,</w:t>
      </w:r>
    </w:p>
    <w:p w14:paraId="34D36C44" w14:textId="77777777" w:rsidR="00BE494D" w:rsidRPr="00EB4EB8" w:rsidRDefault="00BE494D" w:rsidP="00025194">
      <w:pPr>
        <w:pStyle w:val="NormalHanging12a"/>
        <w:widowControl/>
      </w:pPr>
      <w:r w:rsidRPr="00EB4EB8">
        <w:t>–</w:t>
      </w:r>
      <w:r w:rsidRPr="00EB4EB8">
        <w:tab/>
        <w:t>having regard to Rules 60 and 41 of its Rules of Procedure,</w:t>
      </w:r>
    </w:p>
    <w:p w14:paraId="2DED47BE" w14:textId="77777777" w:rsidR="00BE494D" w:rsidRPr="00EB4EB8" w:rsidRDefault="00BE494D" w:rsidP="00025194">
      <w:pPr>
        <w:pStyle w:val="NormalHanging12a"/>
        <w:widowControl/>
      </w:pPr>
      <w:r w:rsidRPr="00EB4EB8">
        <w:t>–</w:t>
      </w:r>
      <w:r w:rsidRPr="00EB4EB8">
        <w:tab/>
        <w:t>having regard to the report of the Committee on Transport and Tourism (A10-0174/2026),</w:t>
      </w:r>
    </w:p>
    <w:p w14:paraId="02E6121A" w14:textId="77777777" w:rsidR="00BE494D" w:rsidRPr="00EB4EB8" w:rsidRDefault="00BE494D" w:rsidP="00025194">
      <w:pPr>
        <w:pStyle w:val="NormalHanging12a"/>
        <w:widowControl/>
      </w:pPr>
      <w:r w:rsidRPr="00EB4EB8">
        <w:t>1.</w:t>
      </w:r>
      <w:r w:rsidRPr="00EB4EB8">
        <w:tab/>
        <w:t xml:space="preserve">Adopts its position at first reading hereinafter set </w:t>
      </w:r>
      <w:proofErr w:type="gramStart"/>
      <w:r w:rsidRPr="00EB4EB8">
        <w:t>out;</w:t>
      </w:r>
      <w:proofErr w:type="gramEnd"/>
    </w:p>
    <w:p w14:paraId="4F512D43" w14:textId="2CD6181A" w:rsidR="00EE203D" w:rsidRPr="00EB4EB8" w:rsidRDefault="00BE494D" w:rsidP="00025194">
      <w:pPr>
        <w:pStyle w:val="NormalHanging12a"/>
        <w:widowControl/>
      </w:pPr>
      <w:r w:rsidRPr="00EB4EB8">
        <w:t>2.</w:t>
      </w:r>
      <w:r w:rsidRPr="00EB4EB8">
        <w:tab/>
        <w:t>Instructs its President to forward its position to the Council, the Commission and the national parliaments.</w:t>
      </w:r>
    </w:p>
    <w:p w14:paraId="75A1DA4B" w14:textId="77777777" w:rsidR="002B68D5" w:rsidRPr="00EB4EB8" w:rsidRDefault="002B68D5" w:rsidP="00EE203D">
      <w:pPr>
        <w:autoSpaceDE w:val="0"/>
        <w:autoSpaceDN w:val="0"/>
        <w:adjustRightInd w:val="0"/>
        <w:spacing w:after="240"/>
        <w:rPr>
          <w:rFonts w:eastAsia="Calibri"/>
          <w:b/>
          <w:bCs/>
          <w:color w:val="000000"/>
          <w:szCs w:val="24"/>
        </w:rPr>
        <w:sectPr w:rsidR="002B68D5" w:rsidRPr="00EB4EB8" w:rsidSect="004935C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659D641" w14:textId="15C2428D" w:rsidR="00EE203D" w:rsidRPr="00EB4EB8" w:rsidRDefault="00EE203D" w:rsidP="00EE203D">
      <w:pPr>
        <w:autoSpaceDE w:val="0"/>
        <w:autoSpaceDN w:val="0"/>
        <w:adjustRightInd w:val="0"/>
        <w:spacing w:after="240"/>
        <w:rPr>
          <w:rFonts w:eastAsia="Calibri"/>
          <w:b/>
          <w:bCs/>
          <w:color w:val="000000"/>
          <w:szCs w:val="24"/>
        </w:rPr>
      </w:pPr>
      <w:r w:rsidRPr="00EB4EB8">
        <w:rPr>
          <w:rFonts w:eastAsia="Calibri"/>
          <w:b/>
          <w:bCs/>
          <w:color w:val="000000"/>
          <w:szCs w:val="24"/>
        </w:rPr>
        <w:lastRenderedPageBreak/>
        <w:t>P10_TC1-</w:t>
      </w:r>
      <w:proofErr w:type="gramStart"/>
      <w:r w:rsidRPr="00EB4EB8">
        <w:rPr>
          <w:rFonts w:eastAsia="Calibri"/>
          <w:b/>
          <w:bCs/>
          <w:color w:val="000000"/>
          <w:szCs w:val="24"/>
        </w:rPr>
        <w:t>COD(</w:t>
      </w:r>
      <w:proofErr w:type="gramEnd"/>
      <w:r w:rsidRPr="00EB4EB8">
        <w:rPr>
          <w:rFonts w:eastAsia="Calibri"/>
          <w:b/>
          <w:bCs/>
          <w:color w:val="000000"/>
          <w:szCs w:val="24"/>
        </w:rPr>
        <w:t>202</w:t>
      </w:r>
      <w:r w:rsidR="002B68D5" w:rsidRPr="00EB4EB8">
        <w:rPr>
          <w:rFonts w:eastAsia="Calibri"/>
          <w:b/>
          <w:bCs/>
          <w:color w:val="000000"/>
          <w:szCs w:val="24"/>
        </w:rPr>
        <w:t>5</w:t>
      </w:r>
      <w:r w:rsidRPr="00EB4EB8">
        <w:rPr>
          <w:rFonts w:eastAsia="Calibri"/>
          <w:b/>
          <w:bCs/>
          <w:color w:val="000000"/>
          <w:szCs w:val="24"/>
        </w:rPr>
        <w:t>)0</w:t>
      </w:r>
      <w:r w:rsidR="002B68D5" w:rsidRPr="00EB4EB8">
        <w:rPr>
          <w:rFonts w:eastAsia="Calibri"/>
          <w:b/>
          <w:bCs/>
          <w:color w:val="000000"/>
          <w:szCs w:val="24"/>
        </w:rPr>
        <w:t>407</w:t>
      </w:r>
    </w:p>
    <w:p w14:paraId="49821EE4" w14:textId="03AD094F" w:rsidR="009C37C8" w:rsidRPr="00EB4EB8" w:rsidRDefault="00EE203D" w:rsidP="00EE203D">
      <w:pPr>
        <w:widowControl/>
        <w:autoSpaceDE w:val="0"/>
        <w:autoSpaceDN w:val="0"/>
        <w:adjustRightInd w:val="0"/>
        <w:spacing w:before="120" w:after="120"/>
        <w:rPr>
          <w:rFonts w:eastAsia="Aptos"/>
          <w:b/>
          <w:bCs/>
          <w:szCs w:val="22"/>
          <w:lang w:eastAsia="en-US"/>
        </w:rPr>
      </w:pPr>
      <w:r w:rsidRPr="00EB4EB8">
        <w:rPr>
          <w:rFonts w:eastAsia="Calibri"/>
          <w:b/>
          <w:bCs/>
          <w:szCs w:val="24"/>
        </w:rPr>
        <w:t xml:space="preserve">Position of the European Parliament adopted at first reading on 7 July 2026 with a view to the adoption of </w:t>
      </w:r>
      <w:r w:rsidRPr="00EB4EB8">
        <w:rPr>
          <w:rFonts w:eastAsia="Aptos"/>
          <w:b/>
          <w:bCs/>
          <w:szCs w:val="22"/>
          <w:lang w:eastAsia="en-US"/>
        </w:rPr>
        <w:t xml:space="preserve">Decision (EU) 2026/… of the European Parliament and of the Council </w:t>
      </w:r>
      <w:r w:rsidR="009C37C8" w:rsidRPr="00EB4EB8">
        <w:rPr>
          <w:rFonts w:eastAsia="Aptos"/>
          <w:b/>
          <w:bCs/>
          <w:szCs w:val="22"/>
          <w:lang w:eastAsia="en-US"/>
        </w:rPr>
        <w:t>empowering Austria to amend its bilateral road transport agreement with Switzerland with a view to authorising cabotage operations in the course of the provision of international passenger transport services by coach and bus in the border regions between the two countries</w:t>
      </w:r>
    </w:p>
    <w:p w14:paraId="1FE7DF35" w14:textId="77777777" w:rsidR="009C37C8" w:rsidRPr="00EB4EB8" w:rsidRDefault="009C37C8" w:rsidP="009C37C8">
      <w:pPr>
        <w:widowControl/>
        <w:spacing w:before="600" w:after="120" w:line="360" w:lineRule="auto"/>
        <w:rPr>
          <w:rFonts w:eastAsia="Aptos"/>
          <w:szCs w:val="22"/>
          <w:lang w:eastAsia="en-US"/>
        </w:rPr>
      </w:pPr>
      <w:r w:rsidRPr="00EB4EB8">
        <w:rPr>
          <w:rFonts w:eastAsia="Aptos"/>
          <w:szCs w:val="22"/>
          <w:lang w:eastAsia="en-US"/>
        </w:rPr>
        <w:t>THE EUROPEAN PARLIAMENT AND THE COUNCIL OF THE EUROPEAN UNION,</w:t>
      </w:r>
    </w:p>
    <w:p w14:paraId="1D6AA795"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szCs w:val="22"/>
          <w:lang w:eastAsia="en-US"/>
        </w:rPr>
        <w:t>Having regard to the Treaty on the Functioning of the European Union, and in particular</w:t>
      </w:r>
      <w:r w:rsidRPr="00EB4EB8">
        <w:rPr>
          <w:rFonts w:eastAsia="Aptos"/>
          <w:noProof/>
          <w:szCs w:val="22"/>
          <w:u w:color="FF0000"/>
          <w:lang w:eastAsia="en-US"/>
        </w:rPr>
        <w:t xml:space="preserve"> </w:t>
      </w:r>
      <w:bookmarkStart w:id="7" w:name="_cp_change_1"/>
      <w:r w:rsidRPr="00EB4EB8">
        <w:rPr>
          <w:rFonts w:eastAsia="Aptos"/>
          <w:b/>
          <w:i/>
          <w:szCs w:val="22"/>
          <w:u w:color="008000"/>
          <w:lang w:eastAsia="en-US"/>
        </w:rPr>
        <w:t>Article</w:t>
      </w:r>
      <w:bookmarkEnd w:id="7"/>
      <w:r w:rsidRPr="00EB4EB8">
        <w:rPr>
          <w:rFonts w:eastAsia="Aptos"/>
          <w:szCs w:val="22"/>
          <w:lang w:eastAsia="en-US"/>
        </w:rPr>
        <w:t xml:space="preserve"> 91 thereof,</w:t>
      </w:r>
    </w:p>
    <w:p w14:paraId="1FABC2DE"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szCs w:val="22"/>
          <w:lang w:eastAsia="en-US"/>
        </w:rPr>
        <w:t>Having regard to the proposal from the European Commission,</w:t>
      </w:r>
    </w:p>
    <w:p w14:paraId="1B5F79EB"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szCs w:val="22"/>
          <w:lang w:eastAsia="en-US"/>
        </w:rPr>
        <w:t>After transmission of the draft legislative act to the national parliaments,</w:t>
      </w:r>
    </w:p>
    <w:p w14:paraId="38D4F9D9"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szCs w:val="22"/>
          <w:lang w:eastAsia="en-US"/>
        </w:rPr>
        <w:t>Having regard to the opinion of the European Economic and Social Committee</w:t>
      </w:r>
      <w:r w:rsidRPr="00EB4EB8">
        <w:rPr>
          <w:rFonts w:eastAsia="Aptos"/>
          <w:b/>
          <w:szCs w:val="22"/>
          <w:vertAlign w:val="superscript"/>
          <w:lang w:eastAsia="en-US"/>
        </w:rPr>
        <w:footnoteReference w:id="2"/>
      </w:r>
      <w:r w:rsidRPr="00EB4EB8">
        <w:rPr>
          <w:rFonts w:eastAsia="Aptos"/>
          <w:szCs w:val="22"/>
          <w:lang w:eastAsia="en-US"/>
        </w:rPr>
        <w:t>,</w:t>
      </w:r>
    </w:p>
    <w:p w14:paraId="5D81CCA0"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szCs w:val="22"/>
          <w:lang w:eastAsia="en-US"/>
        </w:rPr>
        <w:t>After consulting the Committee of the Regions,</w:t>
      </w:r>
    </w:p>
    <w:p w14:paraId="57940B50"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szCs w:val="22"/>
          <w:lang w:eastAsia="en-US"/>
        </w:rPr>
        <w:t>Acting in accordance with the ordinary legislative procedure</w:t>
      </w:r>
      <w:r w:rsidRPr="00EB4EB8">
        <w:rPr>
          <w:rFonts w:eastAsia="Aptos"/>
          <w:b/>
          <w:szCs w:val="22"/>
          <w:vertAlign w:val="superscript"/>
          <w:lang w:eastAsia="en-US"/>
        </w:rPr>
        <w:footnoteReference w:id="3"/>
      </w:r>
      <w:r w:rsidRPr="00EB4EB8">
        <w:rPr>
          <w:rFonts w:eastAsia="Aptos"/>
          <w:szCs w:val="22"/>
          <w:lang w:eastAsia="en-US"/>
        </w:rPr>
        <w:t>,</w:t>
      </w:r>
    </w:p>
    <w:p w14:paraId="6582D932" w14:textId="77777777" w:rsidR="009C37C8" w:rsidRPr="00EB4EB8" w:rsidRDefault="009C37C8" w:rsidP="009C37C8">
      <w:pPr>
        <w:widowControl/>
        <w:spacing w:after="160" w:line="278" w:lineRule="auto"/>
        <w:rPr>
          <w:rFonts w:eastAsia="Aptos"/>
          <w:szCs w:val="22"/>
          <w:lang w:eastAsia="en-US"/>
        </w:rPr>
      </w:pPr>
      <w:r w:rsidRPr="00EB4EB8">
        <w:rPr>
          <w:rFonts w:eastAsia="Aptos"/>
          <w:szCs w:val="22"/>
          <w:lang w:eastAsia="en-US"/>
        </w:rPr>
        <w:br w:type="page"/>
      </w:r>
    </w:p>
    <w:p w14:paraId="67D34AE6"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szCs w:val="22"/>
          <w:lang w:eastAsia="en-US"/>
        </w:rPr>
        <w:lastRenderedPageBreak/>
        <w:t>Whereas:</w:t>
      </w:r>
    </w:p>
    <w:p w14:paraId="2FED3D6F" w14:textId="77777777" w:rsidR="009C37C8" w:rsidRPr="00EB4EB8" w:rsidRDefault="009C37C8" w:rsidP="009C37C8">
      <w:pPr>
        <w:widowControl/>
        <w:spacing w:before="120" w:after="120" w:line="360" w:lineRule="auto"/>
        <w:ind w:left="851" w:hanging="851"/>
        <w:rPr>
          <w:rFonts w:eastAsia="Aptos"/>
          <w:szCs w:val="22"/>
          <w:lang w:eastAsia="en-US"/>
        </w:rPr>
      </w:pPr>
      <w:r w:rsidRPr="00EB4EB8">
        <w:rPr>
          <w:rFonts w:eastAsia="Aptos"/>
          <w:szCs w:val="22"/>
          <w:lang w:eastAsia="en-US"/>
        </w:rPr>
        <w:t>(1)</w:t>
      </w:r>
      <w:r w:rsidRPr="00EB4EB8">
        <w:rPr>
          <w:rFonts w:eastAsia="Aptos"/>
          <w:szCs w:val="22"/>
          <w:lang w:eastAsia="en-US"/>
        </w:rPr>
        <w:tab/>
        <w:t>In accordance with Article 20(1) of the Agreement between the European Community and the Swiss Confederation on the Carriage of Goods and Passengers by Rail and by Road</w:t>
      </w:r>
      <w:r w:rsidRPr="00EB4EB8">
        <w:rPr>
          <w:rFonts w:eastAsia="Aptos"/>
          <w:b/>
          <w:szCs w:val="22"/>
          <w:vertAlign w:val="superscript"/>
          <w:lang w:eastAsia="en-US"/>
        </w:rPr>
        <w:footnoteReference w:id="4"/>
      </w:r>
      <w:r w:rsidRPr="00EB4EB8">
        <w:rPr>
          <w:rFonts w:eastAsia="Aptos"/>
          <w:szCs w:val="22"/>
          <w:lang w:eastAsia="en-US"/>
        </w:rPr>
        <w:t xml:space="preserve"> (</w:t>
      </w:r>
      <w:r w:rsidRPr="00EB4EB8">
        <w:rPr>
          <w:rFonts w:eastAsia="Aptos"/>
          <w:noProof/>
          <w:szCs w:val="22"/>
          <w:u w:color="FF0000"/>
          <w:lang w:eastAsia="en-US"/>
        </w:rPr>
        <w:t>t</w:t>
      </w:r>
      <w:r w:rsidRPr="00EB4EB8">
        <w:rPr>
          <w:rFonts w:eastAsia="Aptos"/>
          <w:szCs w:val="22"/>
          <w:lang w:eastAsia="en-US"/>
        </w:rPr>
        <w:t xml:space="preserve">he </w:t>
      </w:r>
      <w:bookmarkStart w:id="9" w:name="_Hlk231899982"/>
      <w:bookmarkStart w:id="10" w:name="_cp_change_5"/>
      <w:r w:rsidRPr="00EB4EB8">
        <w:rPr>
          <w:rFonts w:eastAsia="Aptos"/>
          <w:b/>
          <w:bCs/>
          <w:i/>
          <w:iCs/>
          <w:szCs w:val="22"/>
          <w:lang w:eastAsia="en-US"/>
        </w:rPr>
        <w:t>‘</w:t>
      </w:r>
      <w:bookmarkEnd w:id="9"/>
      <w:bookmarkEnd w:id="10"/>
      <w:r w:rsidRPr="00EB4EB8">
        <w:rPr>
          <w:rFonts w:eastAsia="Aptos"/>
          <w:bCs/>
          <w:iCs/>
          <w:szCs w:val="22"/>
          <w:u w:color="008000"/>
          <w:lang w:eastAsia="en-US"/>
        </w:rPr>
        <w:t>EU-Swiss</w:t>
      </w:r>
      <w:r w:rsidRPr="00EB4EB8">
        <w:rPr>
          <w:rFonts w:eastAsia="Aptos"/>
          <w:szCs w:val="22"/>
          <w:lang w:eastAsia="en-US"/>
        </w:rPr>
        <w:t xml:space="preserve"> Agreement’), the transport of passengers by coach and bus between two points situated on the territory of the same Contracting Party to the EU-Swiss Agreement by carriers established in the territory of the other Contracting Party, known as cabotage, is not authorised.</w:t>
      </w:r>
    </w:p>
    <w:p w14:paraId="3B5AAA09" w14:textId="77777777" w:rsidR="009C37C8" w:rsidRPr="00EB4EB8" w:rsidRDefault="009C37C8" w:rsidP="009C37C8">
      <w:pPr>
        <w:widowControl/>
        <w:spacing w:before="120" w:after="120" w:line="360" w:lineRule="auto"/>
        <w:ind w:left="851" w:hanging="851"/>
        <w:rPr>
          <w:rFonts w:eastAsia="Aptos"/>
          <w:szCs w:val="22"/>
          <w:lang w:eastAsia="en-US"/>
        </w:rPr>
      </w:pPr>
      <w:r w:rsidRPr="00EB4EB8">
        <w:rPr>
          <w:rFonts w:eastAsia="Aptos"/>
          <w:szCs w:val="22"/>
          <w:lang w:eastAsia="en-US"/>
        </w:rPr>
        <w:t>(2)</w:t>
      </w:r>
      <w:r w:rsidRPr="00EB4EB8">
        <w:rPr>
          <w:rFonts w:eastAsia="Aptos"/>
          <w:szCs w:val="22"/>
          <w:lang w:eastAsia="en-US"/>
        </w:rPr>
        <w:tab/>
        <w:t xml:space="preserve">In accordance with Article 20(2) of the </w:t>
      </w:r>
      <w:bookmarkStart w:id="11" w:name="_Hlk231899769"/>
      <w:r w:rsidRPr="00EB4EB8">
        <w:rPr>
          <w:rFonts w:eastAsia="Aptos"/>
          <w:szCs w:val="22"/>
          <w:lang w:eastAsia="en-US"/>
        </w:rPr>
        <w:t>EU-Swiss</w:t>
      </w:r>
      <w:bookmarkEnd w:id="11"/>
      <w:r w:rsidRPr="00EB4EB8">
        <w:rPr>
          <w:rFonts w:eastAsia="Aptos"/>
          <w:szCs w:val="22"/>
          <w:lang w:eastAsia="en-US"/>
        </w:rPr>
        <w:t xml:space="preserve"> Agreement, existing cabotage rights set out in bilateral agreements concluded between Member States and Switzerland which were in force when the EU-Swiss Agreement was concluded on 21 June 1999, can continue to be exercised, provided that there is no discrimination between carriers established in the Union and no distortion of competition. The bilateral road transport agreement between Austria and Switzerland of 22 October 1958</w:t>
      </w:r>
      <w:r w:rsidRPr="00EB4EB8">
        <w:rPr>
          <w:rFonts w:eastAsia="Aptos"/>
          <w:b/>
          <w:szCs w:val="22"/>
          <w:vertAlign w:val="superscript"/>
          <w:lang w:eastAsia="en-US"/>
        </w:rPr>
        <w:footnoteReference w:id="5"/>
      </w:r>
      <w:r w:rsidRPr="00EB4EB8">
        <w:rPr>
          <w:rFonts w:eastAsia="Aptos"/>
          <w:szCs w:val="22"/>
          <w:lang w:eastAsia="en-US"/>
        </w:rPr>
        <w:t xml:space="preserve"> </w:t>
      </w:r>
      <w:bookmarkStart w:id="12" w:name="_cp_change_7"/>
      <w:r w:rsidRPr="00EB4EB8">
        <w:rPr>
          <w:rFonts w:eastAsia="Aptos"/>
          <w:bCs/>
          <w:iCs/>
          <w:szCs w:val="22"/>
          <w:u w:color="008000"/>
          <w:lang w:eastAsia="en-US"/>
        </w:rPr>
        <w:t xml:space="preserve">(the </w:t>
      </w:r>
      <w:r w:rsidRPr="00EB4EB8">
        <w:rPr>
          <w:rFonts w:eastAsia="Aptos"/>
          <w:bCs/>
          <w:iCs/>
          <w:szCs w:val="22"/>
          <w:lang w:eastAsia="en-US"/>
        </w:rPr>
        <w:t>‘</w:t>
      </w:r>
      <w:proofErr w:type="gramStart"/>
      <w:r w:rsidRPr="00EB4EB8">
        <w:rPr>
          <w:rFonts w:eastAsia="Aptos"/>
          <w:bCs/>
          <w:iCs/>
          <w:szCs w:val="22"/>
          <w:u w:color="008000"/>
          <w:lang w:eastAsia="en-US"/>
        </w:rPr>
        <w:t>Austrian-Swiss</w:t>
      </w:r>
      <w:proofErr w:type="gramEnd"/>
      <w:r w:rsidRPr="00EB4EB8">
        <w:rPr>
          <w:rFonts w:eastAsia="Aptos"/>
          <w:bCs/>
          <w:iCs/>
          <w:szCs w:val="22"/>
          <w:u w:color="008000"/>
          <w:lang w:eastAsia="en-US"/>
        </w:rPr>
        <w:t xml:space="preserve"> Agreement</w:t>
      </w:r>
      <w:r w:rsidRPr="00EB4EB8">
        <w:rPr>
          <w:rFonts w:eastAsia="Aptos"/>
          <w:bCs/>
          <w:iCs/>
          <w:szCs w:val="22"/>
          <w:lang w:eastAsia="en-US"/>
        </w:rPr>
        <w:t>’</w:t>
      </w:r>
      <w:r w:rsidRPr="00EB4EB8">
        <w:rPr>
          <w:rFonts w:eastAsia="Aptos"/>
          <w:bCs/>
          <w:iCs/>
          <w:szCs w:val="22"/>
          <w:u w:color="008000"/>
          <w:lang w:eastAsia="en-US"/>
        </w:rPr>
        <w:t>)</w:t>
      </w:r>
      <w:r w:rsidRPr="00EB4EB8">
        <w:rPr>
          <w:rFonts w:eastAsia="Aptos"/>
          <w:b/>
          <w:i/>
          <w:szCs w:val="22"/>
          <w:u w:color="008000"/>
          <w:lang w:eastAsia="en-US"/>
        </w:rPr>
        <w:t xml:space="preserve"> </w:t>
      </w:r>
      <w:bookmarkEnd w:id="12"/>
      <w:r w:rsidRPr="00EB4EB8">
        <w:rPr>
          <w:rFonts w:eastAsia="Aptos"/>
          <w:szCs w:val="22"/>
          <w:lang w:eastAsia="en-US"/>
        </w:rPr>
        <w:t>does not authorise cabotage operations in the course of the provision of international passenger transport services by coach and bus between the two countries. Therefore, the right to conduct such operations is not among the rights set out in Article 20(2) of the EU-Swiss Agreement.</w:t>
      </w:r>
    </w:p>
    <w:p w14:paraId="2039E587" w14:textId="77777777" w:rsidR="009C37C8" w:rsidRPr="00EB4EB8" w:rsidRDefault="009C37C8" w:rsidP="009C37C8">
      <w:pPr>
        <w:widowControl/>
        <w:spacing w:after="160" w:line="278" w:lineRule="auto"/>
        <w:rPr>
          <w:rFonts w:eastAsia="Aptos"/>
          <w:szCs w:val="22"/>
          <w:lang w:eastAsia="en-US"/>
        </w:rPr>
      </w:pPr>
      <w:r w:rsidRPr="00EB4EB8">
        <w:rPr>
          <w:rFonts w:eastAsia="Aptos"/>
          <w:szCs w:val="22"/>
          <w:lang w:eastAsia="en-US"/>
        </w:rPr>
        <w:br w:type="page"/>
      </w:r>
    </w:p>
    <w:p w14:paraId="68271FBE" w14:textId="77777777" w:rsidR="009C37C8" w:rsidRPr="00EB4EB8" w:rsidRDefault="009C37C8" w:rsidP="009C37C8">
      <w:pPr>
        <w:widowControl/>
        <w:spacing w:before="120" w:after="120" w:line="360" w:lineRule="auto"/>
        <w:ind w:left="851" w:hanging="851"/>
        <w:rPr>
          <w:rFonts w:eastAsia="Aptos"/>
          <w:szCs w:val="22"/>
          <w:lang w:eastAsia="en-US"/>
        </w:rPr>
      </w:pPr>
      <w:r w:rsidRPr="00EB4EB8">
        <w:rPr>
          <w:rFonts w:eastAsia="Aptos"/>
          <w:szCs w:val="22"/>
          <w:lang w:eastAsia="en-US"/>
        </w:rPr>
        <w:lastRenderedPageBreak/>
        <w:t>(3)</w:t>
      </w:r>
      <w:r w:rsidRPr="00EB4EB8">
        <w:rPr>
          <w:rFonts w:eastAsia="Aptos"/>
          <w:szCs w:val="22"/>
          <w:lang w:eastAsia="en-US"/>
        </w:rPr>
        <w:tab/>
        <w:t xml:space="preserve">International commitments permitting carriers established in Switzerland to conduct cabotage operations within the Union are liable to affect Article 20 of the EU-Swiss Agreement, </w:t>
      </w:r>
      <w:bookmarkStart w:id="13" w:name="_cp_change_9"/>
      <w:r w:rsidRPr="00EB4EB8">
        <w:rPr>
          <w:rFonts w:eastAsia="Aptos"/>
          <w:szCs w:val="22"/>
          <w:u w:color="008000"/>
          <w:lang w:eastAsia="en-US"/>
        </w:rPr>
        <w:t>since</w:t>
      </w:r>
      <w:bookmarkEnd w:id="13"/>
      <w:r w:rsidRPr="00EB4EB8">
        <w:rPr>
          <w:rFonts w:eastAsia="Aptos"/>
          <w:szCs w:val="22"/>
          <w:lang w:eastAsia="en-US"/>
        </w:rPr>
        <w:t xml:space="preserve"> that </w:t>
      </w:r>
      <w:bookmarkStart w:id="14" w:name="_cp_change_11"/>
      <w:r w:rsidRPr="00EB4EB8">
        <w:rPr>
          <w:rFonts w:eastAsia="Aptos"/>
          <w:szCs w:val="22"/>
          <w:u w:color="008000"/>
          <w:lang w:eastAsia="en-US"/>
        </w:rPr>
        <w:t>Article</w:t>
      </w:r>
      <w:bookmarkEnd w:id="14"/>
      <w:r w:rsidRPr="00EB4EB8">
        <w:rPr>
          <w:rFonts w:eastAsia="Aptos"/>
          <w:szCs w:val="22"/>
          <w:lang w:eastAsia="en-US"/>
        </w:rPr>
        <w:t xml:space="preserve"> does not authorise such operations.</w:t>
      </w:r>
    </w:p>
    <w:p w14:paraId="3FF9A29A" w14:textId="77777777" w:rsidR="009C37C8" w:rsidRPr="00EB4EB8" w:rsidRDefault="009C37C8" w:rsidP="009C37C8">
      <w:pPr>
        <w:widowControl/>
        <w:spacing w:before="120" w:after="120" w:line="360" w:lineRule="auto"/>
        <w:ind w:left="851" w:hanging="851"/>
        <w:rPr>
          <w:rFonts w:eastAsia="Aptos"/>
          <w:szCs w:val="22"/>
          <w:lang w:eastAsia="en-US"/>
        </w:rPr>
      </w:pPr>
      <w:r w:rsidRPr="00EB4EB8">
        <w:rPr>
          <w:rFonts w:eastAsia="Aptos"/>
          <w:szCs w:val="22"/>
          <w:lang w:eastAsia="en-US"/>
        </w:rPr>
        <w:t>(4)</w:t>
      </w:r>
      <w:r w:rsidRPr="00EB4EB8">
        <w:rPr>
          <w:rFonts w:eastAsia="Aptos"/>
          <w:szCs w:val="22"/>
          <w:lang w:eastAsia="en-US"/>
        </w:rPr>
        <w:tab/>
        <w:t>Furthermore, Regulation (EC) No 1073/2009 of the European Parliament and of the Council</w:t>
      </w:r>
      <w:r w:rsidRPr="00EB4EB8">
        <w:rPr>
          <w:rFonts w:eastAsia="Aptos"/>
          <w:b/>
          <w:szCs w:val="22"/>
          <w:vertAlign w:val="superscript"/>
          <w:lang w:eastAsia="en-US"/>
        </w:rPr>
        <w:footnoteReference w:id="6"/>
      </w:r>
      <w:r w:rsidRPr="00EB4EB8">
        <w:rPr>
          <w:rFonts w:eastAsia="Aptos"/>
          <w:szCs w:val="22"/>
          <w:lang w:eastAsia="en-US"/>
        </w:rPr>
        <w:t xml:space="preserve"> permits cabotage operations within the Union to be conducted, under certain conditions, exclusively by carriers holding a </w:t>
      </w:r>
      <w:proofErr w:type="gramStart"/>
      <w:r w:rsidRPr="00EB4EB8">
        <w:rPr>
          <w:rFonts w:eastAsia="Aptos"/>
          <w:szCs w:val="22"/>
          <w:lang w:eastAsia="en-US"/>
        </w:rPr>
        <w:t>Community</w:t>
      </w:r>
      <w:proofErr w:type="gramEnd"/>
      <w:r w:rsidRPr="00EB4EB8">
        <w:rPr>
          <w:rFonts w:eastAsia="Aptos"/>
          <w:szCs w:val="22"/>
          <w:lang w:eastAsia="en-US"/>
        </w:rPr>
        <w:t xml:space="preserve"> licence. International commitments permitting </w:t>
      </w:r>
      <w:bookmarkStart w:id="15" w:name="_cp_change_14"/>
      <w:r w:rsidRPr="00EB4EB8">
        <w:rPr>
          <w:rFonts w:eastAsia="Aptos"/>
          <w:bCs/>
          <w:iCs/>
          <w:szCs w:val="22"/>
          <w:u w:color="008000"/>
          <w:lang w:eastAsia="en-US"/>
        </w:rPr>
        <w:t>third-country</w:t>
      </w:r>
      <w:r w:rsidRPr="00EB4EB8">
        <w:rPr>
          <w:rFonts w:eastAsia="Aptos"/>
          <w:b/>
          <w:i/>
          <w:szCs w:val="22"/>
          <w:u w:color="008000"/>
          <w:lang w:eastAsia="en-US"/>
        </w:rPr>
        <w:t xml:space="preserve"> </w:t>
      </w:r>
      <w:bookmarkEnd w:id="15"/>
      <w:r w:rsidRPr="00EB4EB8">
        <w:rPr>
          <w:rFonts w:eastAsia="Aptos"/>
          <w:szCs w:val="22"/>
          <w:lang w:eastAsia="en-US"/>
        </w:rPr>
        <w:t>carriers, that do not hold such a licence, to conduct operations of that kind are liable to affect that Regulation.</w:t>
      </w:r>
    </w:p>
    <w:p w14:paraId="66DFBAF8" w14:textId="77777777" w:rsidR="009C37C8" w:rsidRPr="00EB4EB8" w:rsidRDefault="009C37C8" w:rsidP="009C37C8">
      <w:pPr>
        <w:widowControl/>
        <w:spacing w:before="120" w:after="120" w:line="360" w:lineRule="auto"/>
        <w:ind w:left="851" w:hanging="851"/>
        <w:rPr>
          <w:rFonts w:eastAsia="Aptos"/>
          <w:szCs w:val="22"/>
          <w:lang w:eastAsia="en-US"/>
        </w:rPr>
      </w:pPr>
      <w:r w:rsidRPr="00EB4EB8">
        <w:rPr>
          <w:rFonts w:eastAsia="Aptos"/>
          <w:szCs w:val="22"/>
          <w:lang w:eastAsia="en-US"/>
        </w:rPr>
        <w:t>(5)</w:t>
      </w:r>
      <w:r w:rsidRPr="00EB4EB8">
        <w:rPr>
          <w:rFonts w:eastAsia="Aptos"/>
          <w:szCs w:val="22"/>
          <w:lang w:eastAsia="en-US"/>
        </w:rPr>
        <w:tab/>
        <w:t xml:space="preserve">Consequently, such international commitments fall within the Union’s exclusive external competence. Member States </w:t>
      </w:r>
      <w:proofErr w:type="gramStart"/>
      <w:r w:rsidRPr="00EB4EB8">
        <w:rPr>
          <w:rFonts w:eastAsia="Aptos"/>
          <w:szCs w:val="22"/>
          <w:lang w:eastAsia="en-US"/>
        </w:rPr>
        <w:t>are able to</w:t>
      </w:r>
      <w:proofErr w:type="gramEnd"/>
      <w:r w:rsidRPr="00EB4EB8">
        <w:rPr>
          <w:rFonts w:eastAsia="Aptos"/>
          <w:szCs w:val="22"/>
          <w:lang w:eastAsia="en-US"/>
        </w:rPr>
        <w:t xml:space="preserve"> negotiate, or enter into, such commitments only if empowered to do so by the Union in </w:t>
      </w:r>
      <w:bookmarkStart w:id="16" w:name="_cp_change_17"/>
      <w:r w:rsidRPr="00EB4EB8">
        <w:rPr>
          <w:rFonts w:eastAsia="Aptos"/>
          <w:szCs w:val="22"/>
          <w:u w:color="008000"/>
          <w:lang w:eastAsia="en-US"/>
        </w:rPr>
        <w:t>accordance</w:t>
      </w:r>
      <w:bookmarkEnd w:id="16"/>
      <w:r w:rsidRPr="00EB4EB8">
        <w:rPr>
          <w:rFonts w:eastAsia="Aptos"/>
          <w:szCs w:val="22"/>
          <w:lang w:eastAsia="en-US"/>
        </w:rPr>
        <w:t xml:space="preserve"> with Article 2(1) </w:t>
      </w:r>
      <w:bookmarkStart w:id="17" w:name="_cp_change_18"/>
      <w:r w:rsidRPr="00EB4EB8">
        <w:rPr>
          <w:rFonts w:eastAsia="Aptos"/>
          <w:szCs w:val="22"/>
          <w:u w:color="008000"/>
          <w:lang w:eastAsia="en-US"/>
        </w:rPr>
        <w:t>of the Treaty on the Functioning of the European Union (</w:t>
      </w:r>
      <w:bookmarkEnd w:id="17"/>
      <w:r w:rsidRPr="00EB4EB8">
        <w:rPr>
          <w:rFonts w:eastAsia="Aptos"/>
          <w:szCs w:val="22"/>
          <w:lang w:eastAsia="en-US"/>
        </w:rPr>
        <w:t>TFEU</w:t>
      </w:r>
      <w:bookmarkStart w:id="18" w:name="_cp_change_19"/>
      <w:r w:rsidRPr="00EB4EB8">
        <w:rPr>
          <w:rFonts w:eastAsia="Aptos"/>
          <w:szCs w:val="22"/>
          <w:u w:color="008000"/>
          <w:lang w:eastAsia="en-US"/>
        </w:rPr>
        <w:t>)</w:t>
      </w:r>
      <w:bookmarkEnd w:id="18"/>
      <w:r w:rsidRPr="00EB4EB8">
        <w:rPr>
          <w:rFonts w:eastAsia="Aptos"/>
          <w:szCs w:val="22"/>
          <w:lang w:eastAsia="en-US"/>
        </w:rPr>
        <w:t>.</w:t>
      </w:r>
    </w:p>
    <w:p w14:paraId="3014B1CF" w14:textId="77777777" w:rsidR="009C37C8" w:rsidRPr="00EB4EB8" w:rsidRDefault="009C37C8" w:rsidP="009C37C8">
      <w:pPr>
        <w:widowControl/>
        <w:spacing w:after="160" w:line="278" w:lineRule="auto"/>
        <w:rPr>
          <w:rFonts w:eastAsia="Aptos"/>
          <w:szCs w:val="22"/>
          <w:lang w:eastAsia="en-US"/>
        </w:rPr>
      </w:pPr>
      <w:r w:rsidRPr="00EB4EB8">
        <w:rPr>
          <w:rFonts w:eastAsia="Aptos"/>
          <w:szCs w:val="22"/>
          <w:lang w:eastAsia="en-US"/>
        </w:rPr>
        <w:br w:type="page"/>
      </w:r>
    </w:p>
    <w:p w14:paraId="24F61364" w14:textId="77777777" w:rsidR="009C37C8" w:rsidRPr="00EB4EB8" w:rsidRDefault="009C37C8" w:rsidP="009C37C8">
      <w:pPr>
        <w:widowControl/>
        <w:spacing w:before="120" w:after="120" w:line="360" w:lineRule="auto"/>
        <w:ind w:left="851" w:hanging="851"/>
        <w:rPr>
          <w:rFonts w:eastAsia="Aptos"/>
          <w:szCs w:val="22"/>
          <w:lang w:eastAsia="en-US"/>
        </w:rPr>
      </w:pPr>
      <w:r w:rsidRPr="00EB4EB8">
        <w:rPr>
          <w:rFonts w:eastAsia="Aptos"/>
          <w:szCs w:val="22"/>
          <w:lang w:eastAsia="en-US"/>
        </w:rPr>
        <w:lastRenderedPageBreak/>
        <w:t>(6)</w:t>
      </w:r>
      <w:r w:rsidRPr="00EB4EB8">
        <w:rPr>
          <w:rFonts w:eastAsia="Aptos"/>
          <w:szCs w:val="22"/>
          <w:lang w:eastAsia="en-US"/>
        </w:rPr>
        <w:tab/>
        <w:t xml:space="preserve">Cabotage operations carried out within the Union by third-country carriers not holding a </w:t>
      </w:r>
      <w:proofErr w:type="gramStart"/>
      <w:r w:rsidRPr="00EB4EB8">
        <w:rPr>
          <w:rFonts w:eastAsia="Aptos"/>
          <w:szCs w:val="22"/>
          <w:lang w:eastAsia="en-US"/>
        </w:rPr>
        <w:t>Community</w:t>
      </w:r>
      <w:proofErr w:type="gramEnd"/>
      <w:r w:rsidRPr="00EB4EB8">
        <w:rPr>
          <w:rFonts w:eastAsia="Aptos"/>
          <w:szCs w:val="22"/>
          <w:lang w:eastAsia="en-US"/>
        </w:rPr>
        <w:t xml:space="preserve"> licence as provided for in Regulation (EC) No 1073/2009 affect the functioning of the internal market for coach and bus services, as established by that Regulation. It is therefore necessary that an empowerment pursuant to Article 2(1) TFEU be granted by the Union legislator, in accordance with the legislative procedure referred to in Article 91 TFEU.</w:t>
      </w:r>
    </w:p>
    <w:p w14:paraId="0F5297DB" w14:textId="77777777" w:rsidR="009C37C8" w:rsidRPr="00EB4EB8" w:rsidRDefault="009C37C8" w:rsidP="009C37C8">
      <w:pPr>
        <w:widowControl/>
        <w:spacing w:before="120" w:after="120" w:line="360" w:lineRule="auto"/>
        <w:ind w:left="851" w:hanging="851"/>
        <w:rPr>
          <w:rFonts w:eastAsia="Aptos"/>
          <w:szCs w:val="22"/>
          <w:lang w:eastAsia="en-US"/>
        </w:rPr>
      </w:pPr>
      <w:r w:rsidRPr="00EB4EB8">
        <w:rPr>
          <w:rFonts w:eastAsia="Aptos"/>
          <w:szCs w:val="22"/>
          <w:lang w:eastAsia="en-US"/>
        </w:rPr>
        <w:t>(7)</w:t>
      </w:r>
      <w:r w:rsidRPr="00EB4EB8">
        <w:rPr>
          <w:rFonts w:eastAsia="Aptos"/>
          <w:szCs w:val="22"/>
          <w:lang w:eastAsia="en-US"/>
        </w:rPr>
        <w:tab/>
        <w:t xml:space="preserve">By letter of 17 March 2025, Austria requested an empowerment from the Union to amend </w:t>
      </w:r>
      <w:bookmarkStart w:id="19" w:name="_cp_change_21"/>
      <w:r w:rsidRPr="00EB4EB8">
        <w:rPr>
          <w:rFonts w:eastAsia="Aptos"/>
          <w:szCs w:val="22"/>
          <w:u w:color="008000"/>
          <w:lang w:eastAsia="en-US"/>
        </w:rPr>
        <w:t xml:space="preserve">the </w:t>
      </w:r>
      <w:proofErr w:type="gramStart"/>
      <w:r w:rsidRPr="00EB4EB8">
        <w:rPr>
          <w:rFonts w:eastAsia="Aptos"/>
          <w:szCs w:val="22"/>
          <w:u w:color="008000"/>
          <w:lang w:eastAsia="en-US"/>
        </w:rPr>
        <w:t>Austrian-Swiss</w:t>
      </w:r>
      <w:proofErr w:type="gramEnd"/>
      <w:r w:rsidRPr="00EB4EB8">
        <w:rPr>
          <w:rFonts w:eastAsia="Aptos"/>
          <w:szCs w:val="22"/>
          <w:u w:color="008000"/>
          <w:lang w:eastAsia="en-US"/>
        </w:rPr>
        <w:t xml:space="preserve"> Agreement</w:t>
      </w:r>
      <w:bookmarkEnd w:id="19"/>
      <w:r w:rsidRPr="00EB4EB8">
        <w:rPr>
          <w:rFonts w:eastAsia="Aptos"/>
          <w:szCs w:val="22"/>
          <w:lang w:eastAsia="en-US"/>
        </w:rPr>
        <w:t xml:space="preserve"> with a view to authorising cabotage operations </w:t>
      </w:r>
      <w:bookmarkStart w:id="20" w:name="_cp_change_23"/>
      <w:r w:rsidRPr="00EB4EB8">
        <w:rPr>
          <w:rFonts w:eastAsia="Aptos"/>
          <w:szCs w:val="22"/>
          <w:u w:color="008000"/>
          <w:lang w:eastAsia="en-US"/>
        </w:rPr>
        <w:t>in</w:t>
      </w:r>
      <w:bookmarkStart w:id="21" w:name="_cp_change_h_24"/>
      <w:bookmarkEnd w:id="20"/>
      <w:r w:rsidRPr="00EB4EB8">
        <w:rPr>
          <w:rFonts w:eastAsia="Aptos"/>
          <w:szCs w:val="22"/>
          <w:u w:color="008000"/>
          <w:lang w:eastAsia="en-US"/>
        </w:rPr>
        <w:t xml:space="preserve"> </w:t>
      </w:r>
      <w:bookmarkStart w:id="22" w:name="_cp_change_25"/>
      <w:bookmarkEnd w:id="21"/>
      <w:r w:rsidRPr="00EB4EB8">
        <w:rPr>
          <w:rFonts w:eastAsia="Aptos"/>
          <w:szCs w:val="22"/>
          <w:u w:color="008000"/>
          <w:lang w:eastAsia="en-US"/>
        </w:rPr>
        <w:t xml:space="preserve">the course of </w:t>
      </w:r>
      <w:bookmarkEnd w:id="22"/>
      <w:r w:rsidRPr="00EB4EB8">
        <w:rPr>
          <w:rFonts w:eastAsia="Aptos"/>
          <w:szCs w:val="22"/>
          <w:lang w:eastAsia="en-US"/>
        </w:rPr>
        <w:t>the provision of international passenger transport services by coach and bus in the border regions of Austria and Switzerland</w:t>
      </w:r>
      <w:bookmarkStart w:id="23" w:name="_cp_change_27"/>
      <w:r w:rsidRPr="00EB4EB8">
        <w:rPr>
          <w:rFonts w:eastAsia="Aptos"/>
          <w:b/>
          <w:i/>
          <w:szCs w:val="22"/>
          <w:u w:color="008000"/>
          <w:lang w:eastAsia="en-US"/>
        </w:rPr>
        <w:t>, thereby fostering greater territorial cohesion</w:t>
      </w:r>
      <w:bookmarkEnd w:id="23"/>
      <w:r w:rsidRPr="00EB4EB8">
        <w:rPr>
          <w:rFonts w:eastAsia="Aptos"/>
          <w:szCs w:val="22"/>
          <w:lang w:eastAsia="en-US"/>
        </w:rPr>
        <w:t>.</w:t>
      </w:r>
    </w:p>
    <w:p w14:paraId="6E986CB2" w14:textId="77777777" w:rsidR="009C37C8" w:rsidRPr="00EB4EB8" w:rsidRDefault="009C37C8" w:rsidP="009C37C8">
      <w:pPr>
        <w:widowControl/>
        <w:spacing w:before="120" w:after="120" w:line="360" w:lineRule="auto"/>
        <w:ind w:left="851" w:hanging="851"/>
        <w:rPr>
          <w:rFonts w:eastAsia="Aptos"/>
          <w:szCs w:val="22"/>
          <w:lang w:eastAsia="en-US"/>
        </w:rPr>
      </w:pPr>
      <w:r w:rsidRPr="00EB4EB8">
        <w:rPr>
          <w:rFonts w:eastAsia="Aptos"/>
          <w:szCs w:val="22"/>
          <w:lang w:eastAsia="en-US"/>
        </w:rPr>
        <w:t>(8)</w:t>
      </w:r>
      <w:r w:rsidRPr="00EB4EB8">
        <w:rPr>
          <w:rFonts w:eastAsia="Aptos"/>
          <w:szCs w:val="22"/>
          <w:lang w:eastAsia="en-US"/>
        </w:rPr>
        <w:tab/>
        <w:t>Cabotage operations enable the load factor of the vehicles</w:t>
      </w:r>
      <w:bookmarkStart w:id="24" w:name="_cp_change_29"/>
      <w:r w:rsidRPr="00EB4EB8">
        <w:rPr>
          <w:rFonts w:eastAsia="Aptos"/>
          <w:szCs w:val="22"/>
          <w:u w:color="008000"/>
          <w:lang w:eastAsia="en-US"/>
        </w:rPr>
        <w:t xml:space="preserve"> to be increased</w:t>
      </w:r>
      <w:bookmarkEnd w:id="24"/>
      <w:r w:rsidRPr="00EB4EB8">
        <w:rPr>
          <w:rFonts w:eastAsia="Aptos"/>
          <w:szCs w:val="22"/>
          <w:lang w:eastAsia="en-US"/>
        </w:rPr>
        <w:t xml:space="preserve">, which enhances the economic efficiency of international </w:t>
      </w:r>
      <w:bookmarkStart w:id="25" w:name="_cp_change_31"/>
      <w:r w:rsidRPr="00EB4EB8">
        <w:rPr>
          <w:rFonts w:eastAsia="Aptos"/>
          <w:szCs w:val="22"/>
          <w:u w:color="008000"/>
          <w:lang w:eastAsia="en-US"/>
        </w:rPr>
        <w:t>passenger transport</w:t>
      </w:r>
      <w:bookmarkEnd w:id="25"/>
      <w:r w:rsidRPr="00EB4EB8">
        <w:rPr>
          <w:rFonts w:eastAsia="Aptos"/>
          <w:szCs w:val="22"/>
          <w:lang w:eastAsia="en-US"/>
        </w:rPr>
        <w:t xml:space="preserve"> services</w:t>
      </w:r>
      <w:bookmarkStart w:id="26" w:name="_cp_change_32"/>
      <w:r w:rsidRPr="00EB4EB8">
        <w:rPr>
          <w:rFonts w:eastAsia="Aptos"/>
          <w:szCs w:val="22"/>
          <w:u w:color="008000"/>
          <w:lang w:eastAsia="en-US"/>
        </w:rPr>
        <w:t xml:space="preserve"> by coach and bus</w:t>
      </w:r>
      <w:bookmarkEnd w:id="26"/>
      <w:r w:rsidRPr="00EB4EB8">
        <w:rPr>
          <w:rFonts w:eastAsia="Aptos"/>
          <w:szCs w:val="22"/>
          <w:lang w:eastAsia="en-US"/>
        </w:rPr>
        <w:t xml:space="preserve">. It is therefore appropriate to authorise such operations </w:t>
      </w:r>
      <w:proofErr w:type="gramStart"/>
      <w:r w:rsidRPr="00EB4EB8">
        <w:rPr>
          <w:rFonts w:eastAsia="Aptos"/>
          <w:szCs w:val="22"/>
          <w:lang w:eastAsia="en-US"/>
        </w:rPr>
        <w:t>in the course of</w:t>
      </w:r>
      <w:proofErr w:type="gramEnd"/>
      <w:r w:rsidRPr="00EB4EB8">
        <w:rPr>
          <w:rFonts w:eastAsia="Aptos"/>
          <w:szCs w:val="22"/>
          <w:lang w:eastAsia="en-US"/>
        </w:rPr>
        <w:t xml:space="preserve"> the provision of international passenger transport services by coach and bus in the border regions of Austria</w:t>
      </w:r>
      <w:bookmarkStart w:id="27" w:name="_cp_change_35"/>
      <w:r w:rsidRPr="00EB4EB8">
        <w:rPr>
          <w:rFonts w:eastAsia="Aptos"/>
          <w:szCs w:val="22"/>
          <w:u w:color="008000"/>
          <w:lang w:eastAsia="en-US"/>
        </w:rPr>
        <w:t xml:space="preserve"> and Switzerland</w:t>
      </w:r>
      <w:bookmarkEnd w:id="27"/>
      <w:r w:rsidRPr="00EB4EB8">
        <w:rPr>
          <w:rFonts w:eastAsia="Aptos"/>
          <w:szCs w:val="22"/>
          <w:lang w:eastAsia="en-US"/>
        </w:rPr>
        <w:t xml:space="preserve">. That could further strengthen the close integration of </w:t>
      </w:r>
      <w:bookmarkStart w:id="28" w:name="_cp_change_37"/>
      <w:r w:rsidRPr="00EB4EB8">
        <w:rPr>
          <w:rFonts w:eastAsia="Aptos"/>
          <w:szCs w:val="22"/>
          <w:u w:color="008000"/>
          <w:lang w:eastAsia="en-US"/>
        </w:rPr>
        <w:t>those</w:t>
      </w:r>
      <w:bookmarkEnd w:id="28"/>
      <w:r w:rsidRPr="00EB4EB8">
        <w:rPr>
          <w:rFonts w:eastAsia="Aptos"/>
          <w:szCs w:val="22"/>
          <w:lang w:eastAsia="en-US"/>
        </w:rPr>
        <w:t xml:space="preserve"> border regions.</w:t>
      </w:r>
    </w:p>
    <w:p w14:paraId="688ED515" w14:textId="77777777" w:rsidR="009C37C8" w:rsidRPr="00EB4EB8" w:rsidRDefault="009C37C8" w:rsidP="009C37C8">
      <w:pPr>
        <w:widowControl/>
        <w:spacing w:after="160" w:line="278" w:lineRule="auto"/>
        <w:rPr>
          <w:rFonts w:eastAsia="Aptos"/>
          <w:szCs w:val="22"/>
          <w:lang w:eastAsia="en-US"/>
        </w:rPr>
      </w:pPr>
      <w:r w:rsidRPr="00EB4EB8">
        <w:rPr>
          <w:rFonts w:eastAsia="Aptos"/>
          <w:szCs w:val="22"/>
          <w:lang w:eastAsia="en-US"/>
        </w:rPr>
        <w:br w:type="page"/>
      </w:r>
    </w:p>
    <w:p w14:paraId="4A918089" w14:textId="77777777" w:rsidR="009C37C8" w:rsidRPr="00EB4EB8" w:rsidRDefault="009C37C8" w:rsidP="009C37C8">
      <w:pPr>
        <w:widowControl/>
        <w:spacing w:before="120" w:after="120" w:line="360" w:lineRule="auto"/>
        <w:ind w:left="851" w:hanging="851"/>
        <w:rPr>
          <w:rFonts w:eastAsia="Aptos"/>
          <w:szCs w:val="22"/>
          <w:lang w:eastAsia="en-US"/>
        </w:rPr>
      </w:pPr>
      <w:r w:rsidRPr="00EB4EB8">
        <w:rPr>
          <w:rFonts w:eastAsia="Aptos"/>
          <w:szCs w:val="22"/>
          <w:lang w:eastAsia="en-US"/>
        </w:rPr>
        <w:lastRenderedPageBreak/>
        <w:t>(9)</w:t>
      </w:r>
      <w:r w:rsidRPr="00EB4EB8">
        <w:rPr>
          <w:rFonts w:eastAsia="Aptos"/>
          <w:szCs w:val="22"/>
          <w:lang w:eastAsia="en-US"/>
        </w:rPr>
        <w:tab/>
        <w:t xml:space="preserve">In order to ensure that the cabotage operations concerned do not excessively alter the functioning of the internal market for coach and bus services, as established by Regulation (EC) No 1073/2009, the authorisation of such cabotage operations should be conditional upon there being no discrimination between carriers established within the Union and </w:t>
      </w:r>
      <w:bookmarkStart w:id="29" w:name="_cp_change_38"/>
      <w:r w:rsidRPr="00EB4EB8">
        <w:rPr>
          <w:rFonts w:eastAsia="Aptos"/>
          <w:szCs w:val="22"/>
          <w:u w:color="008000"/>
          <w:lang w:eastAsia="en-US"/>
        </w:rPr>
        <w:t xml:space="preserve">there being </w:t>
      </w:r>
      <w:bookmarkEnd w:id="29"/>
      <w:r w:rsidRPr="00EB4EB8">
        <w:rPr>
          <w:rFonts w:eastAsia="Aptos"/>
          <w:szCs w:val="22"/>
          <w:lang w:eastAsia="en-US"/>
        </w:rPr>
        <w:t>no distortion of competition.</w:t>
      </w:r>
    </w:p>
    <w:p w14:paraId="4AFCF5EA" w14:textId="77777777" w:rsidR="009C37C8" w:rsidRPr="00EB4EB8" w:rsidRDefault="009C37C8" w:rsidP="009C37C8">
      <w:pPr>
        <w:widowControl/>
        <w:spacing w:before="120" w:after="120" w:line="360" w:lineRule="auto"/>
        <w:ind w:left="851" w:hanging="851"/>
        <w:rPr>
          <w:rFonts w:eastAsia="Aptos"/>
          <w:szCs w:val="22"/>
          <w:lang w:eastAsia="en-US"/>
        </w:rPr>
      </w:pPr>
      <w:r w:rsidRPr="00EB4EB8">
        <w:rPr>
          <w:rFonts w:eastAsia="Aptos"/>
          <w:szCs w:val="22"/>
          <w:lang w:eastAsia="en-US"/>
        </w:rPr>
        <w:t>(10)</w:t>
      </w:r>
      <w:r w:rsidRPr="00EB4EB8">
        <w:rPr>
          <w:rFonts w:eastAsia="Aptos"/>
          <w:szCs w:val="22"/>
          <w:lang w:eastAsia="en-US"/>
        </w:rPr>
        <w:tab/>
        <w:t xml:space="preserve">For the same reason, cabotage operations should only be authorised in the border regions of Austria </w:t>
      </w:r>
      <w:proofErr w:type="gramStart"/>
      <w:r w:rsidRPr="00EB4EB8">
        <w:rPr>
          <w:rFonts w:eastAsia="Aptos"/>
          <w:szCs w:val="22"/>
          <w:lang w:eastAsia="en-US"/>
        </w:rPr>
        <w:t>in the course of</w:t>
      </w:r>
      <w:proofErr w:type="gramEnd"/>
      <w:r w:rsidRPr="00EB4EB8">
        <w:rPr>
          <w:rFonts w:eastAsia="Aptos"/>
          <w:szCs w:val="22"/>
          <w:lang w:eastAsia="en-US"/>
        </w:rPr>
        <w:t xml:space="preserve"> the provision of international passenger transport services by coach and bus between Austria and Switzerland. To this effect, it is necessary to define the border regions of Austria </w:t>
      </w:r>
      <w:bookmarkStart w:id="30" w:name="_cp_change_40"/>
      <w:r w:rsidRPr="00EB4EB8">
        <w:rPr>
          <w:rFonts w:eastAsia="Aptos"/>
          <w:szCs w:val="22"/>
          <w:u w:color="008000"/>
          <w:lang w:eastAsia="en-US"/>
        </w:rPr>
        <w:t>for</w:t>
      </w:r>
      <w:bookmarkEnd w:id="30"/>
      <w:r w:rsidRPr="00EB4EB8">
        <w:rPr>
          <w:rFonts w:eastAsia="Aptos"/>
          <w:szCs w:val="22"/>
          <w:lang w:eastAsia="en-US"/>
        </w:rPr>
        <w:t xml:space="preserve"> the </w:t>
      </w:r>
      <w:bookmarkStart w:id="31" w:name="_cp_change_42"/>
      <w:r w:rsidRPr="00EB4EB8">
        <w:rPr>
          <w:rFonts w:eastAsia="Aptos"/>
          <w:szCs w:val="22"/>
          <w:u w:color="008000"/>
          <w:lang w:eastAsia="en-US"/>
        </w:rPr>
        <w:t>purposes</w:t>
      </w:r>
      <w:bookmarkEnd w:id="31"/>
      <w:r w:rsidRPr="00EB4EB8">
        <w:rPr>
          <w:rFonts w:eastAsia="Aptos"/>
          <w:szCs w:val="22"/>
          <w:lang w:eastAsia="en-US"/>
        </w:rPr>
        <w:t xml:space="preserve"> of this Decision in a manner that takes due account of the functioning of Regulation (EC) No 1073/2009, while allowing the efficiency of the operations concerned</w:t>
      </w:r>
      <w:bookmarkStart w:id="32" w:name="_cp_change_44"/>
      <w:r w:rsidRPr="00EB4EB8">
        <w:rPr>
          <w:rFonts w:eastAsia="Aptos"/>
          <w:szCs w:val="22"/>
          <w:u w:color="008000"/>
          <w:lang w:eastAsia="en-US"/>
        </w:rPr>
        <w:t xml:space="preserve"> to be increased</w:t>
      </w:r>
      <w:bookmarkEnd w:id="32"/>
      <w:r w:rsidRPr="00EB4EB8">
        <w:rPr>
          <w:rFonts w:eastAsia="Aptos"/>
          <w:szCs w:val="22"/>
          <w:lang w:eastAsia="en-US"/>
        </w:rPr>
        <w:t>,</w:t>
      </w:r>
    </w:p>
    <w:p w14:paraId="6572EC4B" w14:textId="77777777" w:rsidR="009C37C8" w:rsidRPr="00EB4EB8" w:rsidRDefault="009C37C8" w:rsidP="009C37C8">
      <w:pPr>
        <w:keepNext/>
        <w:widowControl/>
        <w:spacing w:before="120" w:after="120" w:line="360" w:lineRule="auto"/>
        <w:rPr>
          <w:rFonts w:eastAsia="Aptos"/>
          <w:szCs w:val="22"/>
          <w:lang w:eastAsia="en-US"/>
        </w:rPr>
      </w:pPr>
      <w:r w:rsidRPr="00EB4EB8">
        <w:rPr>
          <w:rFonts w:eastAsia="Aptos"/>
          <w:szCs w:val="22"/>
          <w:lang w:eastAsia="en-US"/>
        </w:rPr>
        <w:t>HAVE ADOPTED THIS DECISION:</w:t>
      </w:r>
    </w:p>
    <w:p w14:paraId="04DFF4BB" w14:textId="77777777" w:rsidR="009C37C8" w:rsidRPr="00EB4EB8" w:rsidRDefault="009C37C8" w:rsidP="009C37C8">
      <w:pPr>
        <w:widowControl/>
        <w:spacing w:after="160" w:line="278" w:lineRule="auto"/>
        <w:rPr>
          <w:rFonts w:eastAsia="Aptos"/>
          <w:iCs/>
          <w:szCs w:val="22"/>
          <w:lang w:eastAsia="en-US"/>
        </w:rPr>
      </w:pPr>
      <w:r w:rsidRPr="00EB4EB8">
        <w:rPr>
          <w:rFonts w:eastAsia="Aptos"/>
          <w:i/>
          <w:iCs/>
          <w:szCs w:val="22"/>
          <w:lang w:eastAsia="en-US"/>
        </w:rPr>
        <w:br w:type="page"/>
      </w:r>
    </w:p>
    <w:p w14:paraId="1EBC6A99" w14:textId="77777777" w:rsidR="009C37C8" w:rsidRPr="00EB4EB8" w:rsidRDefault="009C37C8" w:rsidP="009C37C8">
      <w:pPr>
        <w:keepNext/>
        <w:widowControl/>
        <w:spacing w:before="120" w:after="120" w:line="360" w:lineRule="auto"/>
        <w:jc w:val="center"/>
        <w:rPr>
          <w:rFonts w:eastAsia="Aptos"/>
          <w:iCs/>
          <w:szCs w:val="22"/>
          <w:lang w:eastAsia="en-US"/>
        </w:rPr>
      </w:pPr>
      <w:r w:rsidRPr="00EB4EB8">
        <w:rPr>
          <w:rFonts w:eastAsia="Aptos"/>
          <w:iCs/>
          <w:szCs w:val="22"/>
          <w:lang w:eastAsia="en-US"/>
        </w:rPr>
        <w:lastRenderedPageBreak/>
        <w:t>Article 1</w:t>
      </w:r>
    </w:p>
    <w:p w14:paraId="3D52400E"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szCs w:val="22"/>
          <w:lang w:eastAsia="en-US"/>
        </w:rPr>
        <w:t xml:space="preserve">Austria is hereby empowered to amend </w:t>
      </w:r>
      <w:bookmarkStart w:id="33" w:name="_cp_change_46"/>
      <w:r w:rsidRPr="00EB4EB8">
        <w:rPr>
          <w:rFonts w:eastAsia="Aptos"/>
          <w:szCs w:val="22"/>
          <w:u w:color="008000"/>
          <w:lang w:eastAsia="en-US"/>
        </w:rPr>
        <w:t>the</w:t>
      </w:r>
      <w:bookmarkEnd w:id="33"/>
      <w:r w:rsidRPr="00EB4EB8">
        <w:rPr>
          <w:rFonts w:eastAsia="Aptos"/>
          <w:szCs w:val="22"/>
          <w:lang w:eastAsia="en-US"/>
        </w:rPr>
        <w:t xml:space="preserve"> bilateral road transport agreement </w:t>
      </w:r>
      <w:bookmarkStart w:id="34" w:name="_cp_change_48"/>
      <w:r w:rsidRPr="00EB4EB8">
        <w:rPr>
          <w:rFonts w:eastAsia="Aptos"/>
          <w:szCs w:val="22"/>
          <w:u w:color="008000"/>
          <w:lang w:eastAsia="en-US"/>
        </w:rPr>
        <w:t>between Austria and</w:t>
      </w:r>
      <w:bookmarkEnd w:id="34"/>
      <w:r w:rsidRPr="00EB4EB8">
        <w:rPr>
          <w:rFonts w:eastAsia="Aptos"/>
          <w:szCs w:val="22"/>
          <w:lang w:eastAsia="en-US"/>
        </w:rPr>
        <w:t xml:space="preserve"> Switzerland of 22 October 1958 </w:t>
      </w:r>
      <w:bookmarkStart w:id="35" w:name="_cp_change_49"/>
      <w:r w:rsidRPr="00EB4EB8">
        <w:rPr>
          <w:rFonts w:eastAsia="Aptos"/>
          <w:szCs w:val="22"/>
          <w:u w:color="008000"/>
          <w:lang w:eastAsia="en-US"/>
        </w:rPr>
        <w:t xml:space="preserve">(the </w:t>
      </w:r>
      <w:r w:rsidRPr="00EB4EB8">
        <w:rPr>
          <w:rFonts w:eastAsia="Aptos"/>
          <w:szCs w:val="22"/>
          <w:lang w:eastAsia="en-US"/>
        </w:rPr>
        <w:t>‘</w:t>
      </w:r>
      <w:r w:rsidRPr="00EB4EB8">
        <w:rPr>
          <w:rFonts w:eastAsia="Aptos"/>
          <w:szCs w:val="22"/>
          <w:u w:color="008000"/>
          <w:lang w:eastAsia="en-US"/>
        </w:rPr>
        <w:t>Austrian-Swiss Agreement</w:t>
      </w:r>
      <w:r w:rsidRPr="00EB4EB8">
        <w:rPr>
          <w:rFonts w:eastAsia="Aptos"/>
          <w:szCs w:val="22"/>
          <w:lang w:eastAsia="en-US"/>
        </w:rPr>
        <w:t>’</w:t>
      </w:r>
      <w:r w:rsidRPr="00EB4EB8">
        <w:rPr>
          <w:rFonts w:eastAsia="Aptos"/>
          <w:szCs w:val="22"/>
          <w:u w:color="008000"/>
          <w:lang w:eastAsia="en-US"/>
        </w:rPr>
        <w:t xml:space="preserve">) </w:t>
      </w:r>
      <w:bookmarkEnd w:id="35"/>
      <w:r w:rsidRPr="00EB4EB8">
        <w:rPr>
          <w:rFonts w:eastAsia="Aptos"/>
          <w:szCs w:val="22"/>
          <w:lang w:eastAsia="en-US"/>
        </w:rPr>
        <w:t>with a view to authorising cabotage operations in the border regions of Austria and Switzerland in the course of the provision of international passenger transport services by coach and bus between the two countries, provided that there is no discrimination between carriers established in the Union and no distortion of competition.</w:t>
      </w:r>
    </w:p>
    <w:p w14:paraId="17703613"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szCs w:val="22"/>
          <w:lang w:eastAsia="en-US"/>
        </w:rPr>
        <w:t xml:space="preserve">The administrative districts of </w:t>
      </w:r>
      <w:proofErr w:type="spellStart"/>
      <w:r w:rsidRPr="00EB4EB8">
        <w:rPr>
          <w:rFonts w:eastAsia="Aptos"/>
          <w:szCs w:val="22"/>
          <w:lang w:eastAsia="en-US"/>
        </w:rPr>
        <w:t>Bludenz</w:t>
      </w:r>
      <w:proofErr w:type="spellEnd"/>
      <w:r w:rsidRPr="00EB4EB8">
        <w:rPr>
          <w:rFonts w:eastAsia="Aptos"/>
          <w:szCs w:val="22"/>
          <w:lang w:eastAsia="en-US"/>
        </w:rPr>
        <w:t xml:space="preserve">, Bregenz, </w:t>
      </w:r>
      <w:proofErr w:type="spellStart"/>
      <w:r w:rsidRPr="00EB4EB8">
        <w:rPr>
          <w:rFonts w:eastAsia="Aptos"/>
          <w:szCs w:val="22"/>
          <w:lang w:eastAsia="en-US"/>
        </w:rPr>
        <w:t>Dornbirn</w:t>
      </w:r>
      <w:proofErr w:type="spellEnd"/>
      <w:r w:rsidRPr="00EB4EB8">
        <w:rPr>
          <w:rFonts w:eastAsia="Aptos"/>
          <w:szCs w:val="22"/>
          <w:lang w:eastAsia="en-US"/>
        </w:rPr>
        <w:t xml:space="preserve"> and Feldkirch in the region of Vorarlberg and the district of Landeck in the region of Tyrol shall </w:t>
      </w:r>
      <w:proofErr w:type="gramStart"/>
      <w:r w:rsidRPr="00EB4EB8">
        <w:rPr>
          <w:rFonts w:eastAsia="Aptos"/>
          <w:szCs w:val="22"/>
          <w:lang w:eastAsia="en-US"/>
        </w:rPr>
        <w:t xml:space="preserve">be considered </w:t>
      </w:r>
      <w:bookmarkStart w:id="36" w:name="_cp_change_52"/>
      <w:r w:rsidRPr="00EB4EB8">
        <w:rPr>
          <w:rFonts w:eastAsia="Aptos"/>
          <w:szCs w:val="22"/>
          <w:u w:color="008000"/>
          <w:lang w:eastAsia="en-US"/>
        </w:rPr>
        <w:t>to be</w:t>
      </w:r>
      <w:bookmarkEnd w:id="36"/>
      <w:proofErr w:type="gramEnd"/>
      <w:r w:rsidRPr="00EB4EB8">
        <w:rPr>
          <w:rFonts w:eastAsia="Aptos"/>
          <w:szCs w:val="22"/>
          <w:lang w:eastAsia="en-US"/>
        </w:rPr>
        <w:t xml:space="preserve"> border regions of Austria within the meaning of the first paragraph.</w:t>
      </w:r>
    </w:p>
    <w:p w14:paraId="46D73A56" w14:textId="77777777" w:rsidR="009C37C8" w:rsidRPr="00EB4EB8" w:rsidRDefault="009C37C8" w:rsidP="009C37C8">
      <w:pPr>
        <w:widowControl/>
        <w:spacing w:after="160" w:line="278" w:lineRule="auto"/>
        <w:rPr>
          <w:rFonts w:eastAsia="Aptos"/>
          <w:iCs/>
          <w:szCs w:val="22"/>
          <w:lang w:eastAsia="en-US"/>
        </w:rPr>
      </w:pPr>
      <w:r w:rsidRPr="00EB4EB8">
        <w:rPr>
          <w:rFonts w:eastAsia="Aptos"/>
          <w:i/>
          <w:iCs/>
          <w:szCs w:val="22"/>
          <w:lang w:eastAsia="en-US"/>
        </w:rPr>
        <w:br w:type="page"/>
      </w:r>
    </w:p>
    <w:p w14:paraId="49E5E15D" w14:textId="77777777" w:rsidR="009C37C8" w:rsidRPr="00EB4EB8" w:rsidRDefault="009C37C8" w:rsidP="009C37C8">
      <w:pPr>
        <w:keepNext/>
        <w:widowControl/>
        <w:spacing w:before="120" w:after="120" w:line="360" w:lineRule="auto"/>
        <w:jc w:val="center"/>
        <w:rPr>
          <w:rFonts w:eastAsia="Aptos"/>
          <w:iCs/>
          <w:szCs w:val="22"/>
          <w:lang w:eastAsia="en-US"/>
        </w:rPr>
      </w:pPr>
      <w:r w:rsidRPr="00EB4EB8">
        <w:rPr>
          <w:rFonts w:eastAsia="Aptos"/>
          <w:iCs/>
          <w:szCs w:val="22"/>
          <w:lang w:eastAsia="en-US"/>
        </w:rPr>
        <w:lastRenderedPageBreak/>
        <w:t>Article 2</w:t>
      </w:r>
    </w:p>
    <w:p w14:paraId="13038AC0" w14:textId="77777777" w:rsidR="009C37C8" w:rsidRPr="00EB4EB8" w:rsidRDefault="009C37C8" w:rsidP="009C37C8">
      <w:pPr>
        <w:widowControl/>
        <w:spacing w:before="120" w:after="120" w:line="360" w:lineRule="auto"/>
        <w:rPr>
          <w:rFonts w:eastAsia="Aptos"/>
          <w:iCs/>
          <w:szCs w:val="22"/>
          <w:lang w:eastAsia="en-US"/>
        </w:rPr>
      </w:pPr>
      <w:r w:rsidRPr="00EB4EB8">
        <w:rPr>
          <w:rFonts w:eastAsia="Aptos"/>
          <w:iCs/>
          <w:szCs w:val="22"/>
          <w:lang w:eastAsia="en-US"/>
        </w:rPr>
        <w:t xml:space="preserve">Austria shall inform the Commission of the amendment </w:t>
      </w:r>
      <w:bookmarkStart w:id="37" w:name="_cp_change_55"/>
      <w:r w:rsidRPr="00EB4EB8">
        <w:rPr>
          <w:rFonts w:eastAsia="Aptos"/>
          <w:iCs/>
          <w:szCs w:val="22"/>
          <w:lang w:eastAsia="en-US"/>
        </w:rPr>
        <w:t xml:space="preserve">of </w:t>
      </w:r>
      <w:r w:rsidRPr="00EB4EB8">
        <w:rPr>
          <w:rFonts w:eastAsia="Aptos"/>
          <w:iCs/>
          <w:szCs w:val="22"/>
          <w:u w:color="008000"/>
          <w:lang w:eastAsia="en-US"/>
        </w:rPr>
        <w:t xml:space="preserve">the </w:t>
      </w:r>
      <w:proofErr w:type="gramStart"/>
      <w:r w:rsidRPr="00EB4EB8">
        <w:rPr>
          <w:rFonts w:eastAsia="Aptos"/>
          <w:iCs/>
          <w:szCs w:val="22"/>
          <w:u w:color="008000"/>
          <w:lang w:eastAsia="en-US"/>
        </w:rPr>
        <w:t>Austrian-Swiss</w:t>
      </w:r>
      <w:proofErr w:type="gramEnd"/>
      <w:r w:rsidRPr="00EB4EB8">
        <w:rPr>
          <w:rFonts w:eastAsia="Aptos"/>
          <w:iCs/>
          <w:szCs w:val="22"/>
          <w:u w:color="008000"/>
          <w:lang w:eastAsia="en-US"/>
        </w:rPr>
        <w:t xml:space="preserve"> Agreement</w:t>
      </w:r>
      <w:bookmarkEnd w:id="37"/>
      <w:r w:rsidRPr="00EB4EB8">
        <w:rPr>
          <w:rFonts w:eastAsia="Aptos"/>
          <w:iCs/>
          <w:szCs w:val="22"/>
          <w:lang w:eastAsia="en-US"/>
        </w:rPr>
        <w:t xml:space="preserve"> pursuant to Article 1 of this Decision and shall notify the Commission of the text of the amended agreement. </w:t>
      </w:r>
    </w:p>
    <w:p w14:paraId="09EE92B0"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iCs/>
          <w:szCs w:val="22"/>
          <w:lang w:eastAsia="en-US"/>
        </w:rPr>
        <w:t xml:space="preserve">The Commission shall inform the European Parliament </w:t>
      </w:r>
      <w:bookmarkStart w:id="38" w:name="_cp_change_57"/>
      <w:r w:rsidRPr="00EB4EB8">
        <w:rPr>
          <w:rFonts w:eastAsia="Aptos"/>
          <w:iCs/>
          <w:szCs w:val="22"/>
          <w:u w:color="008000"/>
          <w:lang w:eastAsia="en-US"/>
        </w:rPr>
        <w:t xml:space="preserve">and the Council </w:t>
      </w:r>
      <w:bookmarkEnd w:id="38"/>
      <w:r w:rsidRPr="00EB4EB8">
        <w:rPr>
          <w:rFonts w:eastAsia="Aptos"/>
          <w:iCs/>
          <w:szCs w:val="22"/>
          <w:lang w:eastAsia="en-US"/>
        </w:rPr>
        <w:t>thereof</w:t>
      </w:r>
      <w:r w:rsidRPr="00EB4EB8">
        <w:rPr>
          <w:rFonts w:eastAsia="Aptos"/>
          <w:szCs w:val="22"/>
          <w:lang w:eastAsia="en-US"/>
        </w:rPr>
        <w:t>.</w:t>
      </w:r>
    </w:p>
    <w:p w14:paraId="207E207D" w14:textId="77777777" w:rsidR="009C37C8" w:rsidRPr="00EB4EB8" w:rsidRDefault="009C37C8" w:rsidP="009C37C8">
      <w:pPr>
        <w:keepNext/>
        <w:widowControl/>
        <w:spacing w:before="120" w:after="120" w:line="360" w:lineRule="auto"/>
        <w:jc w:val="center"/>
        <w:rPr>
          <w:rFonts w:eastAsia="Aptos"/>
          <w:iCs/>
          <w:szCs w:val="22"/>
          <w:lang w:eastAsia="en-US"/>
        </w:rPr>
      </w:pPr>
      <w:r w:rsidRPr="00EB4EB8">
        <w:rPr>
          <w:rFonts w:eastAsia="Aptos"/>
          <w:iCs/>
          <w:szCs w:val="22"/>
          <w:lang w:eastAsia="en-US"/>
        </w:rPr>
        <w:t>Article 3</w:t>
      </w:r>
    </w:p>
    <w:p w14:paraId="21B117E1" w14:textId="77777777" w:rsidR="009C37C8" w:rsidRPr="00EB4EB8" w:rsidRDefault="009C37C8" w:rsidP="009C37C8">
      <w:pPr>
        <w:widowControl/>
        <w:spacing w:before="120" w:after="120" w:line="360" w:lineRule="auto"/>
        <w:rPr>
          <w:rFonts w:eastAsia="Aptos"/>
          <w:szCs w:val="22"/>
          <w:lang w:eastAsia="en-US"/>
        </w:rPr>
      </w:pPr>
      <w:r w:rsidRPr="00EB4EB8">
        <w:rPr>
          <w:rFonts w:eastAsia="Aptos"/>
          <w:szCs w:val="22"/>
          <w:lang w:eastAsia="en-US"/>
        </w:rPr>
        <w:t>This Decision is addressed to the Republic of Austria.</w:t>
      </w:r>
    </w:p>
    <w:p w14:paraId="21EDDC9F" w14:textId="77777777" w:rsidR="009C37C8" w:rsidRPr="00EB4EB8" w:rsidRDefault="009C37C8" w:rsidP="009C37C8">
      <w:pPr>
        <w:keepNext/>
        <w:widowControl/>
        <w:spacing w:before="120" w:line="360" w:lineRule="auto"/>
        <w:rPr>
          <w:rFonts w:eastAsia="Aptos"/>
          <w:szCs w:val="22"/>
          <w:lang w:eastAsia="en-US"/>
        </w:rPr>
      </w:pPr>
      <w:r w:rsidRPr="00EB4EB8">
        <w:rPr>
          <w:rFonts w:eastAsia="Aptos"/>
          <w:szCs w:val="22"/>
          <w:lang w:eastAsia="en-US"/>
        </w:rPr>
        <w:t>Done at</w:t>
      </w:r>
      <w:r w:rsidRPr="00EB4EB8">
        <w:rPr>
          <w:rFonts w:eastAsia="Aptos"/>
          <w:noProof/>
          <w:szCs w:val="22"/>
          <w:u w:color="FF0000"/>
          <w:lang w:eastAsia="en-US"/>
        </w:rPr>
        <w:t xml:space="preserve"> …</w:t>
      </w:r>
      <w:r w:rsidRPr="00EB4EB8">
        <w:rPr>
          <w:rFonts w:eastAsia="Aptos"/>
          <w:szCs w:val="22"/>
          <w:lang w:eastAsia="en-US"/>
        </w:rPr>
        <w:t>,</w:t>
      </w:r>
    </w:p>
    <w:p w14:paraId="3D3576FC" w14:textId="77777777" w:rsidR="009C37C8" w:rsidRPr="00EB4EB8" w:rsidRDefault="009C37C8" w:rsidP="009C37C8">
      <w:pPr>
        <w:keepNext/>
        <w:widowControl/>
        <w:tabs>
          <w:tab w:val="left" w:pos="5669"/>
        </w:tabs>
        <w:spacing w:before="720" w:line="360" w:lineRule="auto"/>
        <w:rPr>
          <w:rFonts w:eastAsia="Aptos"/>
          <w:i/>
          <w:szCs w:val="22"/>
          <w:lang w:eastAsia="en-US"/>
        </w:rPr>
      </w:pPr>
      <w:r w:rsidRPr="00EB4EB8">
        <w:rPr>
          <w:rFonts w:eastAsia="Aptos"/>
          <w:i/>
          <w:szCs w:val="22"/>
          <w:lang w:eastAsia="en-US"/>
        </w:rPr>
        <w:t>For the European Parliament</w:t>
      </w:r>
      <w:r w:rsidRPr="00EB4EB8">
        <w:rPr>
          <w:rFonts w:eastAsia="Aptos"/>
          <w:i/>
          <w:szCs w:val="22"/>
          <w:lang w:eastAsia="en-US"/>
        </w:rPr>
        <w:tab/>
      </w:r>
      <w:proofErr w:type="gramStart"/>
      <w:r w:rsidRPr="00EB4EB8">
        <w:rPr>
          <w:rFonts w:eastAsia="Aptos"/>
          <w:i/>
          <w:szCs w:val="22"/>
          <w:lang w:eastAsia="en-US"/>
        </w:rPr>
        <w:t>For</w:t>
      </w:r>
      <w:proofErr w:type="gramEnd"/>
      <w:r w:rsidRPr="00EB4EB8">
        <w:rPr>
          <w:rFonts w:eastAsia="Aptos"/>
          <w:i/>
          <w:szCs w:val="22"/>
          <w:lang w:eastAsia="en-US"/>
        </w:rPr>
        <w:t xml:space="preserve"> the Council</w:t>
      </w:r>
    </w:p>
    <w:p w14:paraId="4722765E" w14:textId="77777777" w:rsidR="009C37C8" w:rsidRPr="009C37C8" w:rsidRDefault="009C37C8" w:rsidP="009C37C8">
      <w:pPr>
        <w:widowControl/>
        <w:tabs>
          <w:tab w:val="left" w:pos="5669"/>
        </w:tabs>
        <w:spacing w:line="360" w:lineRule="auto"/>
        <w:rPr>
          <w:rFonts w:eastAsia="Aptos"/>
          <w:i/>
          <w:szCs w:val="22"/>
          <w:lang w:eastAsia="en-US"/>
        </w:rPr>
      </w:pPr>
      <w:r w:rsidRPr="00EB4EB8">
        <w:rPr>
          <w:rFonts w:eastAsia="Aptos"/>
          <w:i/>
          <w:szCs w:val="22"/>
          <w:lang w:eastAsia="en-US"/>
        </w:rPr>
        <w:t>The President</w:t>
      </w:r>
      <w:r w:rsidRPr="00EB4EB8">
        <w:rPr>
          <w:rFonts w:eastAsia="Aptos"/>
          <w:i/>
          <w:szCs w:val="22"/>
          <w:lang w:eastAsia="en-US"/>
        </w:rPr>
        <w:tab/>
      </w:r>
      <w:proofErr w:type="gramStart"/>
      <w:r w:rsidRPr="00EB4EB8">
        <w:rPr>
          <w:rFonts w:eastAsia="Aptos"/>
          <w:i/>
          <w:szCs w:val="22"/>
          <w:lang w:eastAsia="en-US"/>
        </w:rPr>
        <w:t>The</w:t>
      </w:r>
      <w:proofErr w:type="gramEnd"/>
      <w:r w:rsidRPr="00EB4EB8">
        <w:rPr>
          <w:rFonts w:eastAsia="Aptos"/>
          <w:i/>
          <w:szCs w:val="22"/>
          <w:lang w:eastAsia="en-US"/>
        </w:rPr>
        <w:t xml:space="preserve"> President</w:t>
      </w:r>
    </w:p>
    <w:p w14:paraId="10A05110" w14:textId="77777777" w:rsidR="009C37C8" w:rsidRPr="004935CE" w:rsidRDefault="009C37C8" w:rsidP="00025194">
      <w:pPr>
        <w:pStyle w:val="NormalHanging12a"/>
        <w:widowControl/>
      </w:pPr>
    </w:p>
    <w:sectPr w:rsidR="009C37C8" w:rsidRPr="004935CE" w:rsidSect="004935C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D0FD" w14:textId="77777777" w:rsidR="008C4CF7" w:rsidRPr="004935CE" w:rsidRDefault="008C4CF7">
      <w:r w:rsidRPr="004935CE">
        <w:separator/>
      </w:r>
    </w:p>
  </w:endnote>
  <w:endnote w:type="continuationSeparator" w:id="0">
    <w:p w14:paraId="5DC3DD75" w14:textId="77777777" w:rsidR="008C4CF7" w:rsidRPr="004935CE" w:rsidRDefault="008C4CF7">
      <w:r w:rsidRPr="004935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2E9D" w14:textId="77777777" w:rsidR="00064002" w:rsidRPr="004935C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8754" w14:textId="77777777" w:rsidR="00064002" w:rsidRPr="004935C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7453" w14:textId="77777777" w:rsidR="00064002" w:rsidRPr="004935C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7EF2" w14:textId="77777777" w:rsidR="008C4CF7" w:rsidRPr="004935CE" w:rsidRDefault="008C4CF7">
      <w:r w:rsidRPr="004935CE">
        <w:separator/>
      </w:r>
    </w:p>
  </w:footnote>
  <w:footnote w:type="continuationSeparator" w:id="0">
    <w:p w14:paraId="6370F572" w14:textId="77777777" w:rsidR="008C4CF7" w:rsidRPr="004935CE" w:rsidRDefault="008C4CF7">
      <w:r w:rsidRPr="004935CE">
        <w:continuationSeparator/>
      </w:r>
    </w:p>
  </w:footnote>
  <w:footnote w:id="1">
    <w:p w14:paraId="3B7B8ABC" w14:textId="7DF904F9" w:rsidR="00BE494D" w:rsidRPr="00EB4EB8" w:rsidRDefault="00BE494D" w:rsidP="00381690">
      <w:pPr>
        <w:pStyle w:val="FootnoteText"/>
        <w:keepLines w:val="0"/>
        <w:ind w:left="709" w:hanging="709"/>
        <w:rPr>
          <w:sz w:val="24"/>
          <w:szCs w:val="24"/>
          <w:lang w:val="fi-FI"/>
        </w:rPr>
      </w:pPr>
      <w:r w:rsidRPr="00EB4EB8">
        <w:rPr>
          <w:rStyle w:val="FootnoteReference"/>
          <w:sz w:val="24"/>
          <w:szCs w:val="24"/>
          <w:lang w:val="en-GB"/>
        </w:rPr>
        <w:footnoteRef/>
      </w:r>
      <w:r w:rsidR="004935CE" w:rsidRPr="00EB4EB8">
        <w:rPr>
          <w:sz w:val="24"/>
          <w:szCs w:val="24"/>
          <w:lang w:val="fi-FI"/>
        </w:rPr>
        <w:t xml:space="preserve"> </w:t>
      </w:r>
      <w:r w:rsidR="004935CE" w:rsidRPr="00EB4EB8">
        <w:rPr>
          <w:sz w:val="24"/>
          <w:szCs w:val="24"/>
          <w:lang w:val="fi-FI"/>
        </w:rPr>
        <w:tab/>
      </w:r>
      <w:r w:rsidRPr="00EB4EB8">
        <w:rPr>
          <w:sz w:val="24"/>
          <w:szCs w:val="24"/>
          <w:lang w:val="fi-FI"/>
        </w:rPr>
        <w:t xml:space="preserve">OJ C, C/2026/1970, 28.4.2026, ELI: </w:t>
      </w:r>
      <w:r w:rsidR="003F71FF">
        <w:fldChar w:fldCharType="begin"/>
      </w:r>
      <w:r w:rsidR="003F71FF" w:rsidRPr="00C149F1">
        <w:rPr>
          <w:lang w:val="fi-FI"/>
        </w:rPr>
        <w:instrText>HYPERLINK "http://data.europa.eu/eli/C/2026/1970/oj"</w:instrText>
      </w:r>
      <w:r w:rsidR="003F71FF">
        <w:fldChar w:fldCharType="separate"/>
      </w:r>
      <w:r w:rsidR="003F71FF" w:rsidRPr="00EB4EB8">
        <w:rPr>
          <w:rStyle w:val="Hyperlink"/>
          <w:sz w:val="24"/>
          <w:szCs w:val="24"/>
          <w:lang w:val="fi-FI"/>
        </w:rPr>
        <w:t>http://data.europa.eu/eli/C/2026/1970/oj</w:t>
      </w:r>
      <w:r w:rsidR="003F71FF">
        <w:fldChar w:fldCharType="end"/>
      </w:r>
      <w:r w:rsidR="002C4513" w:rsidRPr="00EB4EB8">
        <w:rPr>
          <w:rStyle w:val="Hyperlink"/>
          <w:sz w:val="24"/>
          <w:szCs w:val="24"/>
          <w:lang w:val="fi-FI"/>
        </w:rPr>
        <w:t>.</w:t>
      </w:r>
    </w:p>
  </w:footnote>
  <w:footnote w:id="2">
    <w:p w14:paraId="1023BF4E" w14:textId="6CDDE06A" w:rsidR="009C37C8" w:rsidRPr="00EB4EB8" w:rsidRDefault="009C37C8" w:rsidP="00381690">
      <w:pPr>
        <w:pStyle w:val="FootnoteText"/>
        <w:ind w:left="709" w:hanging="709"/>
        <w:rPr>
          <w:sz w:val="24"/>
          <w:szCs w:val="24"/>
          <w:lang w:val="fi-FI"/>
        </w:rPr>
      </w:pPr>
      <w:r w:rsidRPr="00EB4EB8">
        <w:rPr>
          <w:rStyle w:val="FootnoteReference"/>
          <w:sz w:val="24"/>
          <w:szCs w:val="24"/>
        </w:rPr>
        <w:footnoteRef/>
      </w:r>
      <w:r w:rsidRPr="00EB4EB8">
        <w:rPr>
          <w:sz w:val="24"/>
          <w:szCs w:val="24"/>
          <w:lang w:val="fi-FI"/>
        </w:rPr>
        <w:tab/>
        <w:t xml:space="preserve">OJ C, C/2026/1970, 28.4.2026, ELI: </w:t>
      </w:r>
      <w:r w:rsidR="003F71FF">
        <w:fldChar w:fldCharType="begin"/>
      </w:r>
      <w:r w:rsidR="003F71FF" w:rsidRPr="00C149F1">
        <w:rPr>
          <w:lang w:val="fi-FI"/>
        </w:rPr>
        <w:instrText>HYPERLINK "http://data.europa.eu/eli/C/2026/1970/oj"</w:instrText>
      </w:r>
      <w:r w:rsidR="003F71FF">
        <w:fldChar w:fldCharType="separate"/>
      </w:r>
      <w:r w:rsidR="003F71FF" w:rsidRPr="00EB4EB8">
        <w:rPr>
          <w:rStyle w:val="Hyperlink"/>
          <w:sz w:val="24"/>
          <w:szCs w:val="24"/>
          <w:lang w:val="fi-FI"/>
        </w:rPr>
        <w:t>http://data.europa.eu/eli/C/2026/1970/oj</w:t>
      </w:r>
      <w:r w:rsidR="003F71FF">
        <w:fldChar w:fldCharType="end"/>
      </w:r>
      <w:r w:rsidRPr="00EB4EB8">
        <w:rPr>
          <w:sz w:val="24"/>
          <w:szCs w:val="24"/>
          <w:lang w:val="fi-FI"/>
        </w:rPr>
        <w:t>.</w:t>
      </w:r>
    </w:p>
  </w:footnote>
  <w:footnote w:id="3">
    <w:p w14:paraId="466ECDEE" w14:textId="4D21B8F8" w:rsidR="009C37C8" w:rsidRPr="00EB4EB8" w:rsidRDefault="009C37C8" w:rsidP="00381690">
      <w:pPr>
        <w:pStyle w:val="FootnoteText"/>
        <w:ind w:left="709" w:hanging="709"/>
        <w:rPr>
          <w:sz w:val="24"/>
          <w:szCs w:val="24"/>
          <w:lang w:val="lt-LT"/>
        </w:rPr>
      </w:pPr>
      <w:r w:rsidRPr="00EB4EB8">
        <w:rPr>
          <w:rStyle w:val="FootnoteReference"/>
          <w:sz w:val="24"/>
          <w:szCs w:val="24"/>
        </w:rPr>
        <w:footnoteRef/>
      </w:r>
      <w:r w:rsidRPr="00EB4EB8">
        <w:rPr>
          <w:sz w:val="24"/>
          <w:szCs w:val="24"/>
          <w:lang w:val="en-GB"/>
        </w:rPr>
        <w:tab/>
        <w:t xml:space="preserve">Position of the European Parliament of </w:t>
      </w:r>
      <w:r w:rsidR="00EE203D" w:rsidRPr="00EB4EB8">
        <w:rPr>
          <w:sz w:val="24"/>
          <w:szCs w:val="24"/>
          <w:lang w:val="en-GB"/>
        </w:rPr>
        <w:t>7 July 2026.</w:t>
      </w:r>
    </w:p>
  </w:footnote>
  <w:footnote w:id="4">
    <w:p w14:paraId="23DEFEF3" w14:textId="76B983B8" w:rsidR="009C37C8" w:rsidRPr="00EB4EB8" w:rsidRDefault="009C37C8" w:rsidP="00381690">
      <w:pPr>
        <w:pStyle w:val="FootnoteText"/>
        <w:ind w:left="709" w:hanging="709"/>
        <w:rPr>
          <w:sz w:val="24"/>
          <w:szCs w:val="24"/>
          <w:lang w:val="fi-FI"/>
        </w:rPr>
      </w:pPr>
      <w:r w:rsidRPr="00EB4EB8">
        <w:rPr>
          <w:rStyle w:val="FootnoteReference"/>
          <w:sz w:val="24"/>
          <w:szCs w:val="24"/>
        </w:rPr>
        <w:footnoteRef/>
      </w:r>
      <w:r w:rsidRPr="00EB4EB8">
        <w:rPr>
          <w:sz w:val="24"/>
          <w:szCs w:val="24"/>
          <w:lang w:val="fi-FI"/>
        </w:rPr>
        <w:tab/>
        <w:t xml:space="preserve">OJ L 114, 30.4.2002, p. 91, ELI: </w:t>
      </w:r>
      <w:bookmarkStart w:id="8" w:name="_cp_change_3"/>
      <w:r w:rsidR="003F71FF" w:rsidRPr="00EB4EB8">
        <w:rPr>
          <w:rStyle w:val="Hyperlink"/>
        </w:rPr>
        <w:fldChar w:fldCharType="begin"/>
      </w:r>
      <w:r w:rsidR="003F71FF" w:rsidRPr="00EB4EB8">
        <w:rPr>
          <w:rStyle w:val="Hyperlink"/>
          <w:lang w:val="fi-FI"/>
        </w:rPr>
        <w:instrText>HYPERLINK "http://data.europa.eu/eli/agree_internation/2002/309"</w:instrText>
      </w:r>
      <w:r w:rsidR="003F71FF" w:rsidRPr="00EB4EB8">
        <w:rPr>
          <w:rStyle w:val="Hyperlink"/>
        </w:rPr>
      </w:r>
      <w:r w:rsidR="003F71FF" w:rsidRPr="00EB4EB8">
        <w:rPr>
          <w:rStyle w:val="Hyperlink"/>
        </w:rPr>
        <w:fldChar w:fldCharType="separate"/>
      </w:r>
      <w:r w:rsidR="003F71FF" w:rsidRPr="00EB4EB8">
        <w:rPr>
          <w:rStyle w:val="Hyperlink"/>
          <w:bCs/>
          <w:iCs/>
          <w:sz w:val="24"/>
          <w:szCs w:val="24"/>
          <w:lang w:val="fi-FI"/>
        </w:rPr>
        <w:t>http://data.europa.eu/eli/agree_internation/2002/309</w:t>
      </w:r>
      <w:r w:rsidR="003F71FF" w:rsidRPr="00EB4EB8">
        <w:rPr>
          <w:rStyle w:val="Hyperlink"/>
          <w:bCs/>
          <w:iCs/>
          <w:sz w:val="24"/>
          <w:szCs w:val="24"/>
          <w:lang w:val="fi-FI"/>
        </w:rPr>
        <w:fldChar w:fldCharType="end"/>
      </w:r>
      <w:r w:rsidRPr="00EB4EB8">
        <w:rPr>
          <w:rStyle w:val="Hyperlink"/>
          <w:bCs/>
          <w:iCs/>
          <w:sz w:val="24"/>
          <w:szCs w:val="24"/>
          <w:lang w:val="fi-FI"/>
        </w:rPr>
        <w:t>(</w:t>
      </w:r>
      <w:proofErr w:type="gramStart"/>
      <w:r w:rsidRPr="00EB4EB8">
        <w:rPr>
          <w:rStyle w:val="Hyperlink"/>
          <w:bCs/>
          <w:iCs/>
          <w:sz w:val="24"/>
          <w:szCs w:val="24"/>
          <w:lang w:val="fi-FI"/>
        </w:rPr>
        <w:t>3)/</w:t>
      </w:r>
      <w:proofErr w:type="gramEnd"/>
      <w:r w:rsidRPr="00EB4EB8">
        <w:rPr>
          <w:rStyle w:val="Hyperlink"/>
          <w:bCs/>
          <w:iCs/>
          <w:sz w:val="24"/>
          <w:szCs w:val="24"/>
          <w:lang w:val="fi-FI"/>
        </w:rPr>
        <w:t>oj</w:t>
      </w:r>
      <w:bookmarkEnd w:id="8"/>
      <w:r w:rsidRPr="00EB4EB8">
        <w:rPr>
          <w:sz w:val="24"/>
          <w:szCs w:val="24"/>
          <w:lang w:val="fi-FI"/>
        </w:rPr>
        <w:t>.</w:t>
      </w:r>
    </w:p>
  </w:footnote>
  <w:footnote w:id="5">
    <w:p w14:paraId="3CE781CD" w14:textId="665A494C" w:rsidR="009C37C8" w:rsidRPr="00EB4EB8" w:rsidRDefault="009C37C8" w:rsidP="00381690">
      <w:pPr>
        <w:pStyle w:val="FootnoteText"/>
        <w:ind w:left="709" w:hanging="709"/>
        <w:rPr>
          <w:sz w:val="24"/>
          <w:szCs w:val="24"/>
          <w:lang w:val="en-GB"/>
        </w:rPr>
      </w:pPr>
      <w:r w:rsidRPr="00EB4EB8">
        <w:rPr>
          <w:rStyle w:val="FootnoteReference"/>
          <w:sz w:val="24"/>
          <w:szCs w:val="24"/>
        </w:rPr>
        <w:footnoteRef/>
      </w:r>
      <w:r w:rsidRPr="00EB4EB8">
        <w:rPr>
          <w:sz w:val="24"/>
          <w:szCs w:val="24"/>
          <w:lang w:val="en-GB"/>
        </w:rPr>
        <w:tab/>
      </w:r>
      <w:proofErr w:type="spellStart"/>
      <w:r w:rsidRPr="00EB4EB8">
        <w:rPr>
          <w:sz w:val="24"/>
          <w:szCs w:val="24"/>
          <w:lang w:val="en-GB"/>
        </w:rPr>
        <w:t>BGBl</w:t>
      </w:r>
      <w:proofErr w:type="spellEnd"/>
      <w:r w:rsidRPr="00EB4EB8">
        <w:rPr>
          <w:sz w:val="24"/>
          <w:szCs w:val="24"/>
          <w:lang w:val="en-GB"/>
        </w:rPr>
        <w:t>. (Austria) N</w:t>
      </w:r>
      <w:r w:rsidR="002F22E9" w:rsidRPr="00EB4EB8">
        <w:rPr>
          <w:sz w:val="24"/>
          <w:szCs w:val="24"/>
          <w:lang w:val="en-GB"/>
        </w:rPr>
        <w:t>o</w:t>
      </w:r>
      <w:r w:rsidRPr="00EB4EB8">
        <w:rPr>
          <w:sz w:val="24"/>
          <w:szCs w:val="24"/>
          <w:lang w:val="en-GB"/>
        </w:rPr>
        <w:t>. 123/1959.</w:t>
      </w:r>
    </w:p>
  </w:footnote>
  <w:footnote w:id="6">
    <w:p w14:paraId="186B60EE" w14:textId="311B88B1" w:rsidR="009C37C8" w:rsidRPr="003F71FF" w:rsidRDefault="009C37C8" w:rsidP="00381690">
      <w:pPr>
        <w:pStyle w:val="FootnoteText"/>
        <w:ind w:left="709" w:hanging="709"/>
        <w:rPr>
          <w:sz w:val="24"/>
          <w:szCs w:val="24"/>
          <w:lang w:val="en-GB"/>
        </w:rPr>
      </w:pPr>
      <w:r w:rsidRPr="00EB4EB8">
        <w:rPr>
          <w:rStyle w:val="FootnoteReference"/>
          <w:sz w:val="24"/>
          <w:szCs w:val="24"/>
        </w:rPr>
        <w:footnoteRef/>
      </w:r>
      <w:r w:rsidRPr="00EB4EB8">
        <w:rPr>
          <w:sz w:val="24"/>
          <w:szCs w:val="24"/>
          <w:lang w:val="en-GB"/>
        </w:rPr>
        <w:tab/>
        <w:t xml:space="preserve">Regulation (EC) No 1073/2009 of the European Parliament and of the Council of 21 October 2009 on common rules for access to the international market for coach and bus services, and amending Regulation (EC) No 561/2006 (OJ L 300, 14.11.2009, p. 88, ELI: </w:t>
      </w:r>
      <w:r w:rsidR="003F71FF">
        <w:fldChar w:fldCharType="begin"/>
      </w:r>
      <w:r w:rsidR="003F71FF" w:rsidRPr="00C149F1">
        <w:rPr>
          <w:lang w:val="en-GB"/>
        </w:rPr>
        <w:instrText>HYPERLINK "http://data.europa.eu/eli/reg/2009/1073/oj"</w:instrText>
      </w:r>
      <w:r w:rsidR="003F71FF">
        <w:fldChar w:fldCharType="separate"/>
      </w:r>
      <w:r w:rsidR="003F71FF" w:rsidRPr="00EB4EB8">
        <w:rPr>
          <w:rStyle w:val="Hyperlink"/>
          <w:bCs/>
          <w:iCs/>
          <w:sz w:val="24"/>
          <w:szCs w:val="24"/>
          <w:lang w:val="en-GB"/>
        </w:rPr>
        <w:t>http://data.europa.eu/eli/reg/2009/1073/oj</w:t>
      </w:r>
      <w:r w:rsidR="003F71FF">
        <w:fldChar w:fldCharType="end"/>
      </w:r>
      <w:r w:rsidRPr="00EB4EB8">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ADB0" w14:textId="77777777" w:rsidR="00064002" w:rsidRPr="004935C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C435" w14:textId="77777777" w:rsidR="00064002" w:rsidRPr="004935C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6A41" w14:textId="77777777" w:rsidR="00064002" w:rsidRPr="004935C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07552827">
    <w:abstractNumId w:val="9"/>
  </w:num>
  <w:num w:numId="2" w16cid:durableId="2045716754">
    <w:abstractNumId w:val="9"/>
  </w:num>
  <w:num w:numId="3" w16cid:durableId="425811870">
    <w:abstractNumId w:val="7"/>
  </w:num>
  <w:num w:numId="4" w16cid:durableId="1324698713">
    <w:abstractNumId w:val="7"/>
  </w:num>
  <w:num w:numId="5" w16cid:durableId="1785032368">
    <w:abstractNumId w:val="6"/>
  </w:num>
  <w:num w:numId="6" w16cid:durableId="820851075">
    <w:abstractNumId w:val="6"/>
  </w:num>
  <w:num w:numId="7" w16cid:durableId="1260873869">
    <w:abstractNumId w:val="5"/>
  </w:num>
  <w:num w:numId="8" w16cid:durableId="1077482137">
    <w:abstractNumId w:val="5"/>
  </w:num>
  <w:num w:numId="9" w16cid:durableId="1768498369">
    <w:abstractNumId w:val="4"/>
  </w:num>
  <w:num w:numId="10" w16cid:durableId="133765406">
    <w:abstractNumId w:val="4"/>
  </w:num>
  <w:num w:numId="11" w16cid:durableId="1500121634">
    <w:abstractNumId w:val="8"/>
  </w:num>
  <w:num w:numId="12" w16cid:durableId="665092082">
    <w:abstractNumId w:val="8"/>
  </w:num>
  <w:num w:numId="13" w16cid:durableId="2057968623">
    <w:abstractNumId w:val="3"/>
  </w:num>
  <w:num w:numId="14" w16cid:durableId="785075962">
    <w:abstractNumId w:val="3"/>
  </w:num>
  <w:num w:numId="15" w16cid:durableId="849561765">
    <w:abstractNumId w:val="2"/>
  </w:num>
  <w:num w:numId="16" w16cid:durableId="634530383">
    <w:abstractNumId w:val="2"/>
  </w:num>
  <w:num w:numId="17" w16cid:durableId="1911426000">
    <w:abstractNumId w:val="1"/>
  </w:num>
  <w:num w:numId="18" w16cid:durableId="469597001">
    <w:abstractNumId w:val="1"/>
  </w:num>
  <w:num w:numId="19" w16cid:durableId="2031295260">
    <w:abstractNumId w:val="0"/>
  </w:num>
  <w:num w:numId="20" w16cid:durableId="2111772729">
    <w:abstractNumId w:val="0"/>
  </w:num>
  <w:num w:numId="21" w16cid:durableId="1965891935">
    <w:abstractNumId w:val="9"/>
  </w:num>
  <w:num w:numId="22" w16cid:durableId="1244029310">
    <w:abstractNumId w:val="7"/>
  </w:num>
  <w:num w:numId="23" w16cid:durableId="1324503006">
    <w:abstractNumId w:val="6"/>
  </w:num>
  <w:num w:numId="24" w16cid:durableId="606350742">
    <w:abstractNumId w:val="5"/>
  </w:num>
  <w:num w:numId="25" w16cid:durableId="853543376">
    <w:abstractNumId w:val="4"/>
  </w:num>
  <w:num w:numId="26" w16cid:durableId="2106342128">
    <w:abstractNumId w:val="8"/>
  </w:num>
  <w:num w:numId="27" w16cid:durableId="493228263">
    <w:abstractNumId w:val="3"/>
  </w:num>
  <w:num w:numId="28" w16cid:durableId="678235211">
    <w:abstractNumId w:val="2"/>
  </w:num>
  <w:num w:numId="29" w16cid:durableId="964310615">
    <w:abstractNumId w:val="1"/>
  </w:num>
  <w:num w:numId="30" w16cid:durableId="510418694">
    <w:abstractNumId w:val="0"/>
  </w:num>
  <w:num w:numId="31" w16cid:durableId="982001504">
    <w:abstractNumId w:val="9"/>
  </w:num>
  <w:num w:numId="32" w16cid:durableId="1606115208">
    <w:abstractNumId w:val="7"/>
  </w:num>
  <w:num w:numId="33" w16cid:durableId="1101797058">
    <w:abstractNumId w:val="6"/>
  </w:num>
  <w:num w:numId="34" w16cid:durableId="753013759">
    <w:abstractNumId w:val="5"/>
  </w:num>
  <w:num w:numId="35" w16cid:durableId="955067245">
    <w:abstractNumId w:val="4"/>
  </w:num>
  <w:num w:numId="36" w16cid:durableId="1389302530">
    <w:abstractNumId w:val="8"/>
  </w:num>
  <w:num w:numId="37" w16cid:durableId="1745762151">
    <w:abstractNumId w:val="3"/>
  </w:num>
  <w:num w:numId="38" w16cid:durableId="1297756189">
    <w:abstractNumId w:val="2"/>
  </w:num>
  <w:num w:numId="39" w16cid:durableId="1037506234">
    <w:abstractNumId w:val="1"/>
  </w:num>
  <w:num w:numId="40" w16cid:durableId="106701677">
    <w:abstractNumId w:val="0"/>
  </w:num>
  <w:num w:numId="41" w16cid:durableId="1260328910">
    <w:abstractNumId w:val="10"/>
  </w:num>
  <w:num w:numId="42" w16cid:durableId="1727220692">
    <w:abstractNumId w:val="10"/>
  </w:num>
  <w:num w:numId="43" w16cid:durableId="515702817">
    <w:abstractNumId w:val="10"/>
  </w:num>
  <w:num w:numId="44" w16cid:durableId="11199116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4/2026"/>
    <w:docVar w:name="dvlangue" w:val="EN"/>
    <w:docVar w:name="dvnumam" w:val="2"/>
    <w:docVar w:name="dvpe" w:val="785.404"/>
    <w:docVar w:name="dvrapporteur" w:val="Rapporteur: "/>
    <w:docVar w:name="dvstar" w:val="***I"/>
    <w:docVar w:name="dvtitre" w:val="European Parliament legislative resolution of xx July 2026 on the proposal for a decision of the European Parliament and of the Council empowering Austria to amend its existing bilateral road transport agreement with Switzerland with a view to authorising cabotage operations in the course of the provision of international road passenger transport services by coach and bus in the border regions between the two countries(COM(2025)0773 – C10-0367/2025 – 2025/0407(COD))"/>
  </w:docVars>
  <w:rsids>
    <w:rsidRoot w:val="008C4CF7"/>
    <w:rsid w:val="00002272"/>
    <w:rsid w:val="00025194"/>
    <w:rsid w:val="00064002"/>
    <w:rsid w:val="000677B9"/>
    <w:rsid w:val="00080DF7"/>
    <w:rsid w:val="000831BA"/>
    <w:rsid w:val="000A42CC"/>
    <w:rsid w:val="000C46D4"/>
    <w:rsid w:val="000E7DD9"/>
    <w:rsid w:val="0010095E"/>
    <w:rsid w:val="001238C1"/>
    <w:rsid w:val="00125B37"/>
    <w:rsid w:val="00187494"/>
    <w:rsid w:val="001A3350"/>
    <w:rsid w:val="001F32AE"/>
    <w:rsid w:val="002767FF"/>
    <w:rsid w:val="002B18FE"/>
    <w:rsid w:val="002B5493"/>
    <w:rsid w:val="002B68D5"/>
    <w:rsid w:val="002C4513"/>
    <w:rsid w:val="002D323B"/>
    <w:rsid w:val="002F22E9"/>
    <w:rsid w:val="002F4A1E"/>
    <w:rsid w:val="002F6345"/>
    <w:rsid w:val="00343214"/>
    <w:rsid w:val="00361C00"/>
    <w:rsid w:val="00381690"/>
    <w:rsid w:val="00395FA1"/>
    <w:rsid w:val="003E15D4"/>
    <w:rsid w:val="003F71FF"/>
    <w:rsid w:val="00411CCE"/>
    <w:rsid w:val="0041666E"/>
    <w:rsid w:val="00421060"/>
    <w:rsid w:val="004466FC"/>
    <w:rsid w:val="00471C19"/>
    <w:rsid w:val="004867E3"/>
    <w:rsid w:val="004935CE"/>
    <w:rsid w:val="00494A28"/>
    <w:rsid w:val="004C0004"/>
    <w:rsid w:val="004C5D52"/>
    <w:rsid w:val="00501392"/>
    <w:rsid w:val="0050519A"/>
    <w:rsid w:val="005072A1"/>
    <w:rsid w:val="00514517"/>
    <w:rsid w:val="005357B8"/>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C7A62"/>
    <w:rsid w:val="007D1690"/>
    <w:rsid w:val="007E22AD"/>
    <w:rsid w:val="00817416"/>
    <w:rsid w:val="00842779"/>
    <w:rsid w:val="00865F67"/>
    <w:rsid w:val="00881A7B"/>
    <w:rsid w:val="008840E5"/>
    <w:rsid w:val="00887B3E"/>
    <w:rsid w:val="008C2AC6"/>
    <w:rsid w:val="008C4CF7"/>
    <w:rsid w:val="00930C23"/>
    <w:rsid w:val="0093193B"/>
    <w:rsid w:val="009509D8"/>
    <w:rsid w:val="00950B64"/>
    <w:rsid w:val="00981893"/>
    <w:rsid w:val="009C37C8"/>
    <w:rsid w:val="00A1687D"/>
    <w:rsid w:val="00A43E52"/>
    <w:rsid w:val="00A4678D"/>
    <w:rsid w:val="00A778C7"/>
    <w:rsid w:val="00AB441E"/>
    <w:rsid w:val="00AB6293"/>
    <w:rsid w:val="00AE0928"/>
    <w:rsid w:val="00AF3B82"/>
    <w:rsid w:val="00B12E95"/>
    <w:rsid w:val="00B22876"/>
    <w:rsid w:val="00B558F0"/>
    <w:rsid w:val="00BD48FE"/>
    <w:rsid w:val="00BD7BD8"/>
    <w:rsid w:val="00BE494D"/>
    <w:rsid w:val="00BE6ADC"/>
    <w:rsid w:val="00BF7D2A"/>
    <w:rsid w:val="00C05BFE"/>
    <w:rsid w:val="00C149F1"/>
    <w:rsid w:val="00C23CD4"/>
    <w:rsid w:val="00C438BA"/>
    <w:rsid w:val="00C61C0C"/>
    <w:rsid w:val="00C941CB"/>
    <w:rsid w:val="00CC2357"/>
    <w:rsid w:val="00CF071A"/>
    <w:rsid w:val="00D058B8"/>
    <w:rsid w:val="00D56C11"/>
    <w:rsid w:val="00D834A0"/>
    <w:rsid w:val="00D872DF"/>
    <w:rsid w:val="00D91E21"/>
    <w:rsid w:val="00DA7FCD"/>
    <w:rsid w:val="00E365E1"/>
    <w:rsid w:val="00E6337C"/>
    <w:rsid w:val="00E820A4"/>
    <w:rsid w:val="00EB006A"/>
    <w:rsid w:val="00EB4772"/>
    <w:rsid w:val="00EB4EB8"/>
    <w:rsid w:val="00ED169E"/>
    <w:rsid w:val="00ED4235"/>
    <w:rsid w:val="00EE203D"/>
    <w:rsid w:val="00EF7688"/>
    <w:rsid w:val="00F04346"/>
    <w:rsid w:val="00F075DC"/>
    <w:rsid w:val="00F11DC9"/>
    <w:rsid w:val="00F149E9"/>
    <w:rsid w:val="00F5134D"/>
    <w:rsid w:val="00F74202"/>
    <w:rsid w:val="00F87713"/>
    <w:rsid w:val="00F943A8"/>
    <w:rsid w:val="00F94F00"/>
    <w:rsid w:val="00FB4360"/>
    <w:rsid w:val="00FD0C70"/>
    <w:rsid w:val="00FD10AD"/>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39F6D4"/>
  <w15:chartTrackingRefBased/>
  <w15:docId w15:val="{786FA69F-F2E0-43A9-A222-290B4A25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BE494D"/>
    <w:rPr>
      <w:b/>
    </w:rPr>
  </w:style>
  <w:style w:type="paragraph" w:customStyle="1" w:styleId="AmJustText">
    <w:name w:val="AmJustText"/>
    <w:basedOn w:val="Normal"/>
    <w:rsid w:val="00BE494D"/>
    <w:pPr>
      <w:spacing w:after="240"/>
    </w:pPr>
    <w:rPr>
      <w:i/>
    </w:rPr>
  </w:style>
  <w:style w:type="paragraph" w:customStyle="1" w:styleId="NormalHanging12a">
    <w:name w:val="NormalHanging12a"/>
    <w:basedOn w:val="Normal"/>
    <w:rsid w:val="00BE494D"/>
    <w:pPr>
      <w:spacing w:after="240"/>
      <w:ind w:left="567" w:hanging="567"/>
    </w:pPr>
  </w:style>
  <w:style w:type="paragraph" w:customStyle="1" w:styleId="AmJustTitle">
    <w:name w:val="AmJustTitle"/>
    <w:basedOn w:val="Normal"/>
    <w:next w:val="AmJustText"/>
    <w:rsid w:val="00BE494D"/>
    <w:pPr>
      <w:keepNext/>
      <w:spacing w:before="240" w:after="240"/>
      <w:jc w:val="center"/>
    </w:pPr>
    <w:rPr>
      <w:i/>
    </w:rPr>
  </w:style>
  <w:style w:type="paragraph" w:customStyle="1" w:styleId="AmNumberTabs">
    <w:name w:val="AmNumberTabs"/>
    <w:basedOn w:val="Normal"/>
    <w:rsid w:val="00BE494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BE494D"/>
    <w:pPr>
      <w:spacing w:before="480" w:after="240"/>
    </w:pPr>
  </w:style>
  <w:style w:type="character" w:customStyle="1" w:styleId="Normal6Char">
    <w:name w:val="Normal6 Char"/>
    <w:basedOn w:val="DefaultParagraphFont"/>
    <w:link w:val="Normal6"/>
    <w:locked/>
    <w:rsid w:val="00BE494D"/>
    <w:rPr>
      <w:sz w:val="24"/>
      <w:lang w:val="fr-FR"/>
    </w:rPr>
  </w:style>
  <w:style w:type="paragraph" w:customStyle="1" w:styleId="Normal6">
    <w:name w:val="Normal6"/>
    <w:basedOn w:val="Normal"/>
    <w:link w:val="Normal6Char"/>
    <w:rsid w:val="00BE494D"/>
    <w:pPr>
      <w:spacing w:after="120"/>
    </w:pPr>
    <w:rPr>
      <w:lang w:val="fr-FR"/>
    </w:rPr>
  </w:style>
  <w:style w:type="character" w:customStyle="1" w:styleId="NormalBoldChar">
    <w:name w:val="NormalBold Char"/>
    <w:basedOn w:val="DefaultParagraphFont"/>
    <w:link w:val="NormalBold"/>
    <w:locked/>
    <w:rsid w:val="00BE494D"/>
    <w:rPr>
      <w:b/>
      <w:sz w:val="24"/>
    </w:rPr>
  </w:style>
  <w:style w:type="paragraph" w:customStyle="1" w:styleId="ColumnHeading">
    <w:name w:val="ColumnHeading"/>
    <w:basedOn w:val="Normal"/>
    <w:rsid w:val="00BE494D"/>
    <w:pPr>
      <w:spacing w:after="240"/>
      <w:jc w:val="center"/>
    </w:pPr>
    <w:rPr>
      <w:i/>
      <w:lang w:val="fr-FR"/>
    </w:rPr>
  </w:style>
  <w:style w:type="character" w:styleId="Hyperlink">
    <w:name w:val="Hyperlink"/>
    <w:basedOn w:val="DefaultParagraphFont"/>
    <w:rsid w:val="00BE494D"/>
    <w:rPr>
      <w:color w:val="0563C1" w:themeColor="hyperlink"/>
      <w:u w:val="single"/>
    </w:rPr>
  </w:style>
  <w:style w:type="character" w:styleId="CommentReference">
    <w:name w:val="annotation reference"/>
    <w:basedOn w:val="DefaultParagraphFont"/>
    <w:rsid w:val="002F4A1E"/>
    <w:rPr>
      <w:sz w:val="16"/>
      <w:szCs w:val="16"/>
    </w:rPr>
  </w:style>
  <w:style w:type="paragraph" w:styleId="CommentText">
    <w:name w:val="annotation text"/>
    <w:basedOn w:val="Normal"/>
    <w:link w:val="CommentTextChar"/>
    <w:rsid w:val="002F4A1E"/>
    <w:rPr>
      <w:sz w:val="20"/>
    </w:rPr>
  </w:style>
  <w:style w:type="character" w:customStyle="1" w:styleId="CommentTextChar">
    <w:name w:val="Comment Text Char"/>
    <w:basedOn w:val="DefaultParagraphFont"/>
    <w:link w:val="CommentText"/>
    <w:rsid w:val="002F4A1E"/>
  </w:style>
  <w:style w:type="paragraph" w:styleId="CommentSubject">
    <w:name w:val="annotation subject"/>
    <w:basedOn w:val="CommentText"/>
    <w:next w:val="CommentText"/>
    <w:link w:val="CommentSubjectChar"/>
    <w:rsid w:val="002F4A1E"/>
    <w:rPr>
      <w:b/>
      <w:bCs/>
    </w:rPr>
  </w:style>
  <w:style w:type="character" w:customStyle="1" w:styleId="CommentSubjectChar">
    <w:name w:val="Comment Subject Char"/>
    <w:basedOn w:val="CommentTextChar"/>
    <w:link w:val="CommentSubject"/>
    <w:rsid w:val="002F4A1E"/>
    <w:rPr>
      <w:b/>
      <w:bCs/>
    </w:rPr>
  </w:style>
  <w:style w:type="paragraph" w:customStyle="1" w:styleId="Normal24">
    <w:name w:val="Normal24"/>
    <w:basedOn w:val="Normal"/>
    <w:rsid w:val="009C37C8"/>
    <w:pPr>
      <w:spacing w:after="480"/>
    </w:pPr>
  </w:style>
  <w:style w:type="character" w:styleId="UnresolvedMention">
    <w:name w:val="Unresolved Mention"/>
    <w:basedOn w:val="DefaultParagraphFont"/>
    <w:uiPriority w:val="99"/>
    <w:semiHidden/>
    <w:unhideWhenUsed/>
    <w:rsid w:val="007C7A62"/>
    <w:rPr>
      <w:color w:val="605E5C"/>
      <w:shd w:val="clear" w:color="auto" w:fill="E1DFDD"/>
    </w:rPr>
  </w:style>
  <w:style w:type="paragraph" w:styleId="Revision">
    <w:name w:val="Revision"/>
    <w:hidden/>
    <w:uiPriority w:val="99"/>
    <w:semiHidden/>
    <w:rsid w:val="00EE203D"/>
    <w:rPr>
      <w:sz w:val="24"/>
    </w:rPr>
  </w:style>
  <w:style w:type="character" w:styleId="FollowedHyperlink">
    <w:name w:val="FollowedHyperlink"/>
    <w:basedOn w:val="DefaultParagraphFont"/>
    <w:rsid w:val="00BF7D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43058">
      <w:bodyDiv w:val="1"/>
      <w:marLeft w:val="0"/>
      <w:marRight w:val="0"/>
      <w:marTop w:val="0"/>
      <w:marBottom w:val="0"/>
      <w:divBdr>
        <w:top w:val="none" w:sz="0" w:space="0" w:color="auto"/>
        <w:left w:val="none" w:sz="0" w:space="0" w:color="auto"/>
        <w:bottom w:val="none" w:sz="0" w:space="0" w:color="auto"/>
        <w:right w:val="none" w:sz="0" w:space="0" w:color="auto"/>
      </w:divBdr>
    </w:div>
    <w:div w:id="101503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1292</Words>
  <Characters>7344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2026-07-07T10:47:00Z</dcterms:created>
  <dcterms:modified xsi:type="dcterms:W3CDTF">2026-07-07T10:47:00Z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A10-0174/2026</vt:lpwstr>
  </property>
  <property fmtid="{D5CDD505-2E9C-101B-9397-08002B2CF9AE}" pid="4" name="&lt;Type&gt;">
    <vt:lpwstr>RR</vt:lpwstr>
  </property>
</Properties>
</file>