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W w:w="9072" w:type="dxa"/>
        <w:tblCellMar>
          <w:left w:w="0" w:type="dxa"/>
          <w:right w:w="0" w:type="dxa"/>
        </w:tblCellMar>
        <w:tblLook w:val="01E0" w:firstRow="1" w:lastRow="1" w:firstColumn="1" w:lastColumn="1" w:noHBand="0" w:noVBand="0"/>
      </w:tblPr>
      <w:tblGrid>
        <w:gridCol w:w="6804"/>
        <w:gridCol w:w="2268"/>
      </w:tblGrid>
      <w:tr w:rsidR="00751A4A" w:rsidRPr="00D23835" w14:paraId="76E37D41" w14:textId="77777777" w:rsidTr="0010095E">
        <w:trPr>
          <w:trHeight w:hRule="exact" w:val="1418"/>
        </w:trPr>
        <w:tc>
          <w:tcPr>
            <w:tcW w:w="6804" w:type="dxa"/>
            <w:shd w:val="clear" w:color="auto" w:fill="auto"/>
            <w:vAlign w:val="center"/>
          </w:tcPr>
          <w:p w14:paraId="5BE9D859" w14:textId="77777777" w:rsidR="00751A4A" w:rsidRPr="00D23835" w:rsidRDefault="007738E2" w:rsidP="0010095E">
            <w:pPr>
              <w:pStyle w:val="EPName"/>
            </w:pPr>
            <w:r w:rsidRPr="00D23835">
              <w:t>Euroopa Parlament</w:t>
            </w:r>
          </w:p>
          <w:p w14:paraId="351DB8BB" w14:textId="77777777" w:rsidR="00751A4A" w:rsidRPr="00D23835" w:rsidRDefault="005F1B17" w:rsidP="005F1B17">
            <w:pPr>
              <w:pStyle w:val="EPTerm"/>
              <w:rPr>
                <w:rStyle w:val="HideTWBExt"/>
                <w:noProof w:val="0"/>
                <w:vanish w:val="0"/>
                <w:color w:val="auto"/>
              </w:rPr>
            </w:pPr>
            <w:r w:rsidRPr="00D23835">
              <w:t>2024</w:t>
            </w:r>
            <w:r w:rsidR="00817416" w:rsidRPr="00D23835">
              <w:t>-202</w:t>
            </w:r>
            <w:r w:rsidRPr="00D23835">
              <w:t>9</w:t>
            </w:r>
          </w:p>
        </w:tc>
        <w:tc>
          <w:tcPr>
            <w:tcW w:w="2268" w:type="dxa"/>
            <w:shd w:val="clear" w:color="auto" w:fill="auto"/>
          </w:tcPr>
          <w:p w14:paraId="5044B513" w14:textId="77777777" w:rsidR="00751A4A" w:rsidRPr="00D23835" w:rsidRDefault="00187494" w:rsidP="0010095E">
            <w:pPr>
              <w:pStyle w:val="EPLogo"/>
            </w:pPr>
            <w:r w:rsidRPr="00D23835">
              <w:rPr>
                <w:noProof/>
                <w:lang w:eastAsia="ja-JP"/>
              </w:rPr>
              <w:drawing>
                <wp:inline distT="0" distB="0" distL="0" distR="0" wp14:anchorId="3736166C" wp14:editId="3106EFB2">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EP logo RGB_Mute"/>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158875" cy="652145"/>
                          </a:xfrm>
                          <a:prstGeom prst="rect">
                            <a:avLst/>
                          </a:prstGeom>
                          <a:noFill/>
                          <a:ln>
                            <a:noFill/>
                          </a:ln>
                        </pic:spPr>
                      </pic:pic>
                    </a:graphicData>
                  </a:graphic>
                </wp:inline>
              </w:drawing>
            </w:r>
          </w:p>
        </w:tc>
      </w:tr>
    </w:tbl>
    <w:p w14:paraId="10492146" w14:textId="77777777" w:rsidR="00D058B8" w:rsidRPr="00D23835" w:rsidRDefault="00D058B8" w:rsidP="004C5D52">
      <w:pPr>
        <w:pStyle w:val="LineTop"/>
      </w:pPr>
    </w:p>
    <w:p w14:paraId="608E3B3E" w14:textId="77777777" w:rsidR="00680577" w:rsidRPr="00D23835" w:rsidRDefault="007738E2" w:rsidP="00680577">
      <w:pPr>
        <w:pStyle w:val="EPBodyTA1"/>
      </w:pPr>
      <w:r w:rsidRPr="00D23835">
        <w:t>VASTUVÕETUD TEKSTID</w:t>
      </w:r>
    </w:p>
    <w:p w14:paraId="4B8397EF" w14:textId="77777777" w:rsidR="00D058B8" w:rsidRPr="00D23835" w:rsidRDefault="00D058B8" w:rsidP="00D058B8">
      <w:pPr>
        <w:pStyle w:val="LineBottom"/>
      </w:pPr>
    </w:p>
    <w:p w14:paraId="12688092" w14:textId="26953002" w:rsidR="007738E2" w:rsidRPr="00D23835" w:rsidRDefault="007738E2" w:rsidP="007738E2">
      <w:pPr>
        <w:pStyle w:val="ATHeading1"/>
      </w:pPr>
      <w:bookmarkStart w:id="0" w:name="TANumber"/>
      <w:r w:rsidRPr="00D23835">
        <w:t>P10_TA(2026)0</w:t>
      </w:r>
      <w:bookmarkEnd w:id="0"/>
      <w:r w:rsidR="008A1DA3" w:rsidRPr="00D23835">
        <w:t>241</w:t>
      </w:r>
    </w:p>
    <w:p w14:paraId="4E192539" w14:textId="77777777" w:rsidR="007738E2" w:rsidRPr="00D23835" w:rsidRDefault="007738E2" w:rsidP="007738E2">
      <w:pPr>
        <w:pStyle w:val="ATHeading2"/>
      </w:pPr>
      <w:bookmarkStart w:id="1" w:name="title"/>
      <w:r w:rsidRPr="00D23835">
        <w:t xml:space="preserve">Rahvusvahelised bussiveoteenused piirialadel: </w:t>
      </w:r>
      <w:proofErr w:type="spellStart"/>
      <w:r w:rsidRPr="00D23835">
        <w:t>kabotaažveod</w:t>
      </w:r>
      <w:proofErr w:type="spellEnd"/>
      <w:r w:rsidRPr="00D23835">
        <w:t xml:space="preserve"> Austria ja Šveitsi vahel</w:t>
      </w:r>
      <w:bookmarkEnd w:id="1"/>
    </w:p>
    <w:p w14:paraId="35B5E0C9" w14:textId="77777777" w:rsidR="007738E2" w:rsidRPr="00D23835" w:rsidRDefault="007738E2" w:rsidP="007738E2">
      <w:pPr>
        <w:rPr>
          <w:i/>
          <w:vanish/>
        </w:rPr>
      </w:pPr>
      <w:r w:rsidRPr="00D23835">
        <w:rPr>
          <w:i/>
        </w:rPr>
        <w:fldChar w:fldCharType="begin"/>
      </w:r>
      <w:r w:rsidRPr="00D23835">
        <w:rPr>
          <w:i/>
        </w:rPr>
        <w:instrText xml:space="preserve"> TC"(</w:instrText>
      </w:r>
      <w:bookmarkStart w:id="2" w:name="DocNumber"/>
      <w:r w:rsidRPr="00D23835">
        <w:rPr>
          <w:i/>
        </w:rPr>
        <w:instrText>A10-0174/2026</w:instrText>
      </w:r>
      <w:bookmarkEnd w:id="2"/>
      <w:r w:rsidRPr="00D23835">
        <w:rPr>
          <w:i/>
        </w:rPr>
        <w:instrText xml:space="preserve"> - Raportöör: Elissavet Vozemberg-Vrionidi)"\l3 \n&gt; \* MERGEFORMAT </w:instrText>
      </w:r>
      <w:r w:rsidRPr="00D23835">
        <w:rPr>
          <w:i/>
        </w:rPr>
        <w:fldChar w:fldCharType="end"/>
      </w:r>
    </w:p>
    <w:p w14:paraId="1D7D5A23" w14:textId="77777777" w:rsidR="007738E2" w:rsidRPr="00D23835" w:rsidRDefault="007738E2" w:rsidP="007738E2">
      <w:pPr>
        <w:rPr>
          <w:vanish/>
        </w:rPr>
      </w:pPr>
      <w:bookmarkStart w:id="3" w:name="Commission"/>
      <w:r w:rsidRPr="00D23835">
        <w:rPr>
          <w:vanish/>
        </w:rPr>
        <w:t>Transpordi- ja turismikomisjon</w:t>
      </w:r>
      <w:bookmarkEnd w:id="3"/>
    </w:p>
    <w:p w14:paraId="6CF79F65" w14:textId="77777777" w:rsidR="007738E2" w:rsidRPr="00D23835" w:rsidRDefault="007738E2" w:rsidP="007738E2">
      <w:pPr>
        <w:rPr>
          <w:vanish/>
        </w:rPr>
      </w:pPr>
      <w:bookmarkStart w:id="4" w:name="PE"/>
      <w:r w:rsidRPr="00D23835">
        <w:rPr>
          <w:vanish/>
        </w:rPr>
        <w:t>PE785.404</w:t>
      </w:r>
      <w:bookmarkEnd w:id="4"/>
    </w:p>
    <w:p w14:paraId="72AAC5BF" w14:textId="023C0B1E" w:rsidR="007738E2" w:rsidRPr="00D23835" w:rsidRDefault="007738E2" w:rsidP="007738E2">
      <w:pPr>
        <w:pStyle w:val="ATHeading3"/>
      </w:pPr>
      <w:bookmarkStart w:id="5" w:name="Sujet"/>
      <w:r w:rsidRPr="00D23835">
        <w:t xml:space="preserve">Euroopa Parlamendi </w:t>
      </w:r>
      <w:r w:rsidR="008E20D0" w:rsidRPr="00D23835">
        <w:t>7</w:t>
      </w:r>
      <w:r w:rsidRPr="00D23835">
        <w:t>.</w:t>
      </w:r>
      <w:r w:rsidR="008E20D0" w:rsidRPr="00D23835">
        <w:t> juuli</w:t>
      </w:r>
      <w:r w:rsidRPr="00D23835">
        <w:t xml:space="preserve"> 2026.</w:t>
      </w:r>
      <w:r w:rsidR="008E20D0" w:rsidRPr="00D23835">
        <w:t> </w:t>
      </w:r>
      <w:r w:rsidRPr="00D23835">
        <w:t xml:space="preserve">aasta seadusandlik resolutsioon ettepaneku kohta võtta vastu Euroopa Parlamendi ja nõukogu otsus, millega antakse Austriale volitused muuta olemasolevat Šveitsiga sõlmitud kahepoolset maanteetranspordi lepingut, et lubada </w:t>
      </w:r>
      <w:proofErr w:type="spellStart"/>
      <w:r w:rsidRPr="00D23835">
        <w:t>kabotaažvedusid</w:t>
      </w:r>
      <w:proofErr w:type="spellEnd"/>
      <w:r w:rsidRPr="00D23835">
        <w:t xml:space="preserve"> rahvusvaheliste bussiveoteenuste osutamisel kahe riigi vahelistel piirialadel</w:t>
      </w:r>
      <w:bookmarkEnd w:id="5"/>
      <w:r w:rsidRPr="00D23835">
        <w:t xml:space="preserve"> </w:t>
      </w:r>
      <w:bookmarkStart w:id="6" w:name="References"/>
      <w:r w:rsidRPr="00D23835">
        <w:t>(COM(2025)0773 – C10-0367/2025 – 2025/0407(COD))</w:t>
      </w:r>
      <w:bookmarkEnd w:id="6"/>
    </w:p>
    <w:p w14:paraId="2C6CFD96" w14:textId="77777777" w:rsidR="001D7C70" w:rsidRPr="00D23835" w:rsidRDefault="001D7C70" w:rsidP="001D7C70">
      <w:pPr>
        <w:pStyle w:val="NormalBold"/>
      </w:pPr>
      <w:r w:rsidRPr="00D23835">
        <w:t>(Seadusandlik tavamenetlus: esimene lugemine)</w:t>
      </w:r>
    </w:p>
    <w:p w14:paraId="6C4933E3" w14:textId="77777777" w:rsidR="001D7C70" w:rsidRPr="00D23835" w:rsidRDefault="001D7C70" w:rsidP="001D7C70">
      <w:pPr>
        <w:pStyle w:val="EPComma"/>
      </w:pPr>
      <w:r w:rsidRPr="00D23835">
        <w:rPr>
          <w:i/>
        </w:rPr>
        <w:t>Euroopa Parlament</w:t>
      </w:r>
      <w:r w:rsidRPr="00D23835">
        <w:t>,</w:t>
      </w:r>
    </w:p>
    <w:p w14:paraId="4F5887D8" w14:textId="77777777" w:rsidR="001D7C70" w:rsidRPr="00D23835" w:rsidRDefault="001D7C70" w:rsidP="001D7C70">
      <w:pPr>
        <w:pStyle w:val="NormalHanging12a"/>
      </w:pPr>
      <w:r w:rsidRPr="00D23835">
        <w:t>–</w:t>
      </w:r>
      <w:r w:rsidRPr="00D23835">
        <w:tab/>
        <w:t>võttes arvesse komisjoni ettepanekut Euroopa Parlamendile ja nõukogule (COM(2025)0773),</w:t>
      </w:r>
    </w:p>
    <w:p w14:paraId="12605764" w14:textId="77777777" w:rsidR="001D7C70" w:rsidRPr="00D23835" w:rsidRDefault="001D7C70" w:rsidP="001D7C70">
      <w:pPr>
        <w:pStyle w:val="NormalHanging12a"/>
      </w:pPr>
      <w:r w:rsidRPr="00D23835">
        <w:t>–</w:t>
      </w:r>
      <w:r w:rsidRPr="00D23835">
        <w:tab/>
        <w:t>võttes arvesse Euroopa Liidu toimimise lepingu artikli 294 lõiget 2 ning artikli 2 lõiget 1 ja artiklit 91, mille alusel komisjon esitas ettepaneku Euroopa Parlamendile (C10</w:t>
      </w:r>
      <w:r w:rsidRPr="00D23835">
        <w:noBreakHyphen/>
        <w:t>0367/2025),</w:t>
      </w:r>
    </w:p>
    <w:p w14:paraId="15055CB7" w14:textId="77777777" w:rsidR="001D7C70" w:rsidRPr="00D23835" w:rsidRDefault="001D7C70" w:rsidP="001D7C70">
      <w:pPr>
        <w:pStyle w:val="NormalHanging12a"/>
      </w:pPr>
      <w:r w:rsidRPr="00D23835">
        <w:t>–</w:t>
      </w:r>
      <w:r w:rsidRPr="00D23835">
        <w:tab/>
        <w:t>võttes arvesse Euroopa Liidu toimimise lepingu artikli 294 lõiget 3,</w:t>
      </w:r>
    </w:p>
    <w:p w14:paraId="5780CD30" w14:textId="607AD8AD" w:rsidR="00D521FE" w:rsidRPr="00D23835" w:rsidRDefault="00D521FE" w:rsidP="001D7C70">
      <w:pPr>
        <w:pStyle w:val="NormalHanging12a"/>
      </w:pPr>
      <w:r w:rsidRPr="00D23835">
        <w:t>–</w:t>
      </w:r>
      <w:r w:rsidRPr="00D23835">
        <w:tab/>
        <w:t>võttes arvesse nõukogu esindaja poolt 10. juuni 2026. aasta kirjas võetud kohustust kiita Euroopa Parlamendi seisukoht heaks vastavalt Euroopa Liidu toimimise lepingu artikli 294 lõikele 4,</w:t>
      </w:r>
    </w:p>
    <w:p w14:paraId="09C2939A" w14:textId="77777777" w:rsidR="001D7C70" w:rsidRPr="00D23835" w:rsidRDefault="001D7C70" w:rsidP="001D7C70">
      <w:pPr>
        <w:pStyle w:val="NormalHanging12a"/>
      </w:pPr>
      <w:r w:rsidRPr="00D23835">
        <w:t>–</w:t>
      </w:r>
      <w:r w:rsidRPr="00D23835">
        <w:tab/>
        <w:t>võttes arvesse õiguskomisjoni arvamust esitatud õigusliku aluse kohta,</w:t>
      </w:r>
    </w:p>
    <w:p w14:paraId="08A53A7D" w14:textId="77777777" w:rsidR="001D7C70" w:rsidRPr="00D23835" w:rsidRDefault="001D7C70" w:rsidP="001D7C70">
      <w:pPr>
        <w:pStyle w:val="NormalHanging12a"/>
      </w:pPr>
      <w:r w:rsidRPr="00D23835">
        <w:t>–</w:t>
      </w:r>
      <w:r w:rsidRPr="00D23835">
        <w:tab/>
        <w:t>võttes arvesse Euroopa Majandus- ja Sotsiaalkomitee 21. jaanuari 2026. aasta arvamust</w:t>
      </w:r>
      <w:r w:rsidRPr="00D23835">
        <w:rPr>
          <w:vertAlign w:val="superscript"/>
        </w:rPr>
        <w:footnoteReference w:id="1"/>
      </w:r>
      <w:r w:rsidRPr="00D23835">
        <w:t>,</w:t>
      </w:r>
    </w:p>
    <w:p w14:paraId="45C18216" w14:textId="77777777" w:rsidR="001D7C70" w:rsidRPr="00D23835" w:rsidRDefault="001D7C70" w:rsidP="001D7C70">
      <w:pPr>
        <w:pStyle w:val="NormalHanging12a"/>
      </w:pPr>
      <w:r w:rsidRPr="00D23835">
        <w:t>–</w:t>
      </w:r>
      <w:r w:rsidRPr="00D23835">
        <w:tab/>
        <w:t>pärast konsulteerimist Regioonide Komiteega,</w:t>
      </w:r>
    </w:p>
    <w:p w14:paraId="2BA85412" w14:textId="77777777" w:rsidR="001D7C70" w:rsidRPr="00D23835" w:rsidRDefault="001D7C70" w:rsidP="001D7C70">
      <w:pPr>
        <w:pStyle w:val="NormalHanging12a"/>
      </w:pPr>
      <w:r w:rsidRPr="00D23835">
        <w:lastRenderedPageBreak/>
        <w:t>–</w:t>
      </w:r>
      <w:r w:rsidRPr="00D23835">
        <w:tab/>
        <w:t>võttes arvesse kodukorra artikleid 60 ja 41,</w:t>
      </w:r>
    </w:p>
    <w:p w14:paraId="73ADF45A" w14:textId="77777777" w:rsidR="001D7C70" w:rsidRPr="00D23835" w:rsidRDefault="001D7C70" w:rsidP="001D7C70">
      <w:pPr>
        <w:pStyle w:val="NormalHanging12a"/>
      </w:pPr>
      <w:r w:rsidRPr="00D23835">
        <w:t>–</w:t>
      </w:r>
      <w:r w:rsidRPr="00D23835">
        <w:tab/>
        <w:t>võttes arvesse transpordi- ja turismikomisjoni raportit (A10-0174/2026),</w:t>
      </w:r>
    </w:p>
    <w:p w14:paraId="73841B46" w14:textId="77777777" w:rsidR="001D7C70" w:rsidRPr="00D23835" w:rsidRDefault="001D7C70" w:rsidP="001D7C70">
      <w:pPr>
        <w:pStyle w:val="NormalHanging12a"/>
      </w:pPr>
      <w:r w:rsidRPr="00D23835">
        <w:t>1.</w:t>
      </w:r>
      <w:r w:rsidRPr="00D23835">
        <w:tab/>
        <w:t>võtab vastu allpool toodud esimese lugemise seisukoha;</w:t>
      </w:r>
    </w:p>
    <w:p w14:paraId="1F37BA40" w14:textId="0F8B3011" w:rsidR="001D7C70" w:rsidRPr="00D23835" w:rsidRDefault="001D7C70" w:rsidP="008E20D0">
      <w:pPr>
        <w:pStyle w:val="NormalHanging12a"/>
      </w:pPr>
      <w:r w:rsidRPr="00D23835">
        <w:t>2.</w:t>
      </w:r>
      <w:r w:rsidRPr="00D23835">
        <w:tab/>
        <w:t>teeb presidendile ülesandeks edastada Euroopa Parlamendi seisukoht nõukogule ja komisjonile ning liikmesriikide parlamentidele.</w:t>
      </w:r>
    </w:p>
    <w:p w14:paraId="54832AA1" w14:textId="77777777" w:rsidR="008E20D0" w:rsidRPr="00D23835" w:rsidRDefault="008E20D0" w:rsidP="001D7C70">
      <w:pPr>
        <w:pStyle w:val="AmNumberTabs"/>
        <w:sectPr w:rsidR="008E20D0" w:rsidRPr="00D23835" w:rsidSect="00604AF2">
          <w:headerReference w:type="even" r:id="rId9"/>
          <w:headerReference w:type="default" r:id="rId10"/>
          <w:footerReference w:type="even" r:id="rId11"/>
          <w:footerReference w:type="default" r:id="rId12"/>
          <w:headerReference w:type="first" r:id="rId13"/>
          <w:footerReference w:type="first" r:id="rId14"/>
          <w:footnotePr>
            <w:numRestart w:val="eachSect"/>
          </w:footnotePr>
          <w:endnotePr>
            <w:numFmt w:val="decimal"/>
          </w:endnotePr>
          <w:pgSz w:w="11906" w:h="16838" w:code="9"/>
          <w:pgMar w:top="1134" w:right="1418" w:bottom="1418" w:left="1418" w:header="1134" w:footer="567" w:gutter="0"/>
          <w:cols w:space="720"/>
          <w:noEndnote/>
          <w:docGrid w:linePitch="326"/>
        </w:sectPr>
      </w:pPr>
    </w:p>
    <w:p w14:paraId="31C34222" w14:textId="77777777" w:rsidR="00D521FE" w:rsidRPr="00D23835" w:rsidRDefault="00D521FE" w:rsidP="00D521FE">
      <w:pPr>
        <w:autoSpaceDE w:val="0"/>
        <w:autoSpaceDN w:val="0"/>
        <w:adjustRightInd w:val="0"/>
        <w:spacing w:after="240"/>
        <w:rPr>
          <w:rFonts w:eastAsia="Calibri"/>
          <w:b/>
          <w:bCs/>
          <w:color w:val="000000"/>
          <w:szCs w:val="24"/>
        </w:rPr>
      </w:pPr>
      <w:r w:rsidRPr="00D23835">
        <w:rPr>
          <w:rFonts w:eastAsia="Calibri"/>
          <w:b/>
          <w:bCs/>
          <w:color w:val="000000"/>
          <w:szCs w:val="24"/>
        </w:rPr>
        <w:lastRenderedPageBreak/>
        <w:t>P10_TC1-COD(2025)0407</w:t>
      </w:r>
    </w:p>
    <w:p w14:paraId="4A926585" w14:textId="4AF9F144" w:rsidR="00F07EF8" w:rsidRPr="00D23835" w:rsidRDefault="00D521FE" w:rsidP="00D521FE">
      <w:pPr>
        <w:autoSpaceDE w:val="0"/>
        <w:autoSpaceDN w:val="0"/>
        <w:adjustRightInd w:val="0"/>
        <w:spacing w:after="240"/>
        <w:rPr>
          <w:rFonts w:eastAsia="Calibri"/>
          <w:b/>
          <w:noProof/>
          <w:color w:val="000000"/>
          <w:szCs w:val="22"/>
          <w:lang w:eastAsia="en-US"/>
        </w:rPr>
      </w:pPr>
      <w:r w:rsidRPr="00D23835">
        <w:rPr>
          <w:b/>
          <w:noProof/>
        </w:rPr>
        <w:t xml:space="preserve">Euroopa Parlamendi seisukoht, vastu võetud esimesel lugemisel 7. juulil 2026. aastal eesmärgiga võtta vastu Euroopa Parlamendi ja nõukogu </w:t>
      </w:r>
      <w:r w:rsidRPr="00D23835">
        <w:rPr>
          <w:b/>
        </w:rPr>
        <w:t xml:space="preserve">otsus (EL) 2026/…, </w:t>
      </w:r>
      <w:r w:rsidR="00F07EF8" w:rsidRPr="00D23835">
        <w:rPr>
          <w:rFonts w:eastAsia="Calibri"/>
          <w:b/>
          <w:noProof/>
          <w:color w:val="000000"/>
          <w:szCs w:val="22"/>
          <w:lang w:eastAsia="en-US"/>
        </w:rPr>
        <w:t xml:space="preserve">millega antakse Austriale volitus muuta Šveitsiga sõlmitud kahepoolset maanteetranspordi </w:t>
      </w:r>
      <w:r w:rsidR="00F07EF8" w:rsidRPr="00D23835">
        <w:rPr>
          <w:b/>
          <w:noProof/>
        </w:rPr>
        <w:t>lepingut</w:t>
      </w:r>
      <w:r w:rsidR="00F07EF8" w:rsidRPr="00D23835">
        <w:rPr>
          <w:rFonts w:eastAsia="Calibri"/>
          <w:b/>
          <w:noProof/>
          <w:color w:val="000000"/>
          <w:szCs w:val="22"/>
          <w:lang w:eastAsia="en-US"/>
        </w:rPr>
        <w:t>, et lubada kabotaažvedusid rahvusvaheliste bussiveoteenuste osutamisel kahe riigi vahelistel piirialadel</w:t>
      </w:r>
    </w:p>
    <w:p w14:paraId="6D4D8956" w14:textId="77777777" w:rsidR="00F07EF8" w:rsidRPr="00D23835" w:rsidRDefault="00F07EF8" w:rsidP="00F07EF8">
      <w:pPr>
        <w:keepNext/>
        <w:widowControl/>
        <w:spacing w:before="600" w:after="120" w:line="360" w:lineRule="auto"/>
        <w:rPr>
          <w:rFonts w:eastAsia="Calibri"/>
          <w:noProof/>
          <w:color w:val="000000"/>
          <w:szCs w:val="22"/>
          <w:lang w:eastAsia="en-US"/>
        </w:rPr>
      </w:pPr>
      <w:r w:rsidRPr="00D23835">
        <w:rPr>
          <w:rFonts w:eastAsia="Calibri"/>
          <w:noProof/>
          <w:color w:val="000000"/>
          <w:szCs w:val="22"/>
          <w:lang w:eastAsia="en-US"/>
        </w:rPr>
        <w:t>EUROOPA PARLAMENT JA EUROOPA LIIDU NÕUKOGU,</w:t>
      </w:r>
    </w:p>
    <w:p w14:paraId="529AA945" w14:textId="77777777" w:rsidR="00F07EF8" w:rsidRPr="00D23835" w:rsidRDefault="00F07EF8" w:rsidP="00F07EF8">
      <w:pPr>
        <w:widowControl/>
        <w:spacing w:before="120" w:after="120" w:line="360" w:lineRule="auto"/>
        <w:rPr>
          <w:rFonts w:eastAsia="Calibri"/>
          <w:noProof/>
          <w:color w:val="000000"/>
          <w:szCs w:val="22"/>
          <w:lang w:eastAsia="en-US"/>
        </w:rPr>
      </w:pPr>
      <w:r w:rsidRPr="00D23835">
        <w:rPr>
          <w:rFonts w:eastAsia="Calibri"/>
          <w:noProof/>
          <w:color w:val="000000"/>
          <w:szCs w:val="22"/>
          <w:lang w:eastAsia="en-US"/>
        </w:rPr>
        <w:t>võttes arvesse Euroopa Liidu toimimise lepingut, eriti selle artiklit 91,</w:t>
      </w:r>
    </w:p>
    <w:p w14:paraId="125C8DD1" w14:textId="77777777" w:rsidR="00F07EF8" w:rsidRPr="00D23835" w:rsidRDefault="00F07EF8" w:rsidP="00F07EF8">
      <w:pPr>
        <w:widowControl/>
        <w:spacing w:before="120" w:after="120" w:line="360" w:lineRule="auto"/>
        <w:rPr>
          <w:rFonts w:eastAsia="Calibri"/>
          <w:noProof/>
          <w:color w:val="000000"/>
          <w:szCs w:val="22"/>
          <w:lang w:eastAsia="en-US"/>
        </w:rPr>
      </w:pPr>
      <w:r w:rsidRPr="00D23835">
        <w:rPr>
          <w:rFonts w:eastAsia="Calibri"/>
          <w:noProof/>
          <w:color w:val="000000"/>
          <w:szCs w:val="22"/>
          <w:lang w:eastAsia="en-US"/>
        </w:rPr>
        <w:t>võttes arvesse Euroopa Komisjoni ettepanekut,</w:t>
      </w:r>
    </w:p>
    <w:p w14:paraId="03B944ED" w14:textId="77777777" w:rsidR="00F07EF8" w:rsidRPr="00D23835" w:rsidRDefault="00F07EF8" w:rsidP="00F07EF8">
      <w:pPr>
        <w:widowControl/>
        <w:spacing w:before="120" w:after="120" w:line="360" w:lineRule="auto"/>
        <w:rPr>
          <w:rFonts w:eastAsia="Calibri"/>
          <w:noProof/>
          <w:color w:val="000000"/>
          <w:szCs w:val="22"/>
          <w:lang w:eastAsia="en-US"/>
        </w:rPr>
      </w:pPr>
      <w:r w:rsidRPr="00D23835">
        <w:rPr>
          <w:rFonts w:eastAsia="Calibri"/>
          <w:noProof/>
          <w:color w:val="000000"/>
          <w:szCs w:val="22"/>
          <w:lang w:eastAsia="en-US"/>
        </w:rPr>
        <w:t>olles edastanud seadusandliku akti eelnõu liikmesriikide parlamentidele,</w:t>
      </w:r>
    </w:p>
    <w:p w14:paraId="7595DBD6" w14:textId="77777777" w:rsidR="00F07EF8" w:rsidRPr="00D23835" w:rsidRDefault="00F07EF8" w:rsidP="00F07EF8">
      <w:pPr>
        <w:widowControl/>
        <w:spacing w:before="120" w:after="120" w:line="360" w:lineRule="auto"/>
        <w:rPr>
          <w:rFonts w:eastAsia="Calibri"/>
          <w:noProof/>
          <w:color w:val="000000"/>
          <w:szCs w:val="22"/>
          <w:lang w:eastAsia="en-US"/>
        </w:rPr>
      </w:pPr>
      <w:r w:rsidRPr="00D23835">
        <w:rPr>
          <w:rFonts w:eastAsia="Calibri"/>
          <w:noProof/>
          <w:color w:val="000000"/>
          <w:szCs w:val="22"/>
          <w:lang w:eastAsia="en-US"/>
        </w:rPr>
        <w:t>võttes arvesse Euroopa Majandus- ja Sotsiaalkomitee arvamust</w:t>
      </w:r>
      <w:r w:rsidRPr="00D23835">
        <w:rPr>
          <w:rFonts w:eastAsia="Calibri"/>
          <w:noProof/>
          <w:color w:val="000000"/>
          <w:szCs w:val="22"/>
          <w:vertAlign w:val="superscript"/>
          <w:lang w:eastAsia="en-US"/>
        </w:rPr>
        <w:footnoteReference w:id="2"/>
      </w:r>
      <w:r w:rsidRPr="00D23835">
        <w:rPr>
          <w:rFonts w:eastAsia="Calibri"/>
          <w:noProof/>
          <w:color w:val="000000"/>
          <w:szCs w:val="22"/>
          <w:lang w:eastAsia="en-US"/>
        </w:rPr>
        <w:t>,</w:t>
      </w:r>
    </w:p>
    <w:p w14:paraId="111F933C" w14:textId="77777777" w:rsidR="00F07EF8" w:rsidRPr="00D23835" w:rsidRDefault="00F07EF8" w:rsidP="00F07EF8">
      <w:pPr>
        <w:widowControl/>
        <w:spacing w:before="120" w:after="120" w:line="360" w:lineRule="auto"/>
        <w:rPr>
          <w:rFonts w:eastAsia="Calibri"/>
          <w:noProof/>
          <w:color w:val="000000"/>
          <w:szCs w:val="22"/>
          <w:lang w:eastAsia="en-US"/>
        </w:rPr>
      </w:pPr>
      <w:r w:rsidRPr="00D23835">
        <w:rPr>
          <w:rFonts w:eastAsia="Calibri"/>
          <w:color w:val="000000"/>
          <w:szCs w:val="22"/>
          <w:lang w:eastAsia="en-US"/>
        </w:rPr>
        <w:t>pärast konsulteerimist</w:t>
      </w:r>
      <w:r w:rsidRPr="00D23835">
        <w:rPr>
          <w:rFonts w:eastAsia="Calibri"/>
          <w:noProof/>
          <w:color w:val="000000"/>
          <w:szCs w:val="22"/>
          <w:lang w:eastAsia="en-US"/>
        </w:rPr>
        <w:t xml:space="preserve"> Regioonide Komiteega,</w:t>
      </w:r>
    </w:p>
    <w:p w14:paraId="03602D42" w14:textId="77777777" w:rsidR="00F07EF8" w:rsidRPr="00D23835" w:rsidRDefault="00F07EF8" w:rsidP="00F07EF8">
      <w:pPr>
        <w:widowControl/>
        <w:spacing w:before="120" w:after="120" w:line="360" w:lineRule="auto"/>
        <w:rPr>
          <w:rFonts w:eastAsia="Calibri"/>
          <w:noProof/>
          <w:color w:val="000000"/>
          <w:szCs w:val="22"/>
          <w:lang w:eastAsia="en-US"/>
        </w:rPr>
      </w:pPr>
      <w:r w:rsidRPr="00D23835">
        <w:rPr>
          <w:rFonts w:eastAsia="Calibri"/>
          <w:noProof/>
          <w:color w:val="000000"/>
          <w:szCs w:val="22"/>
          <w:lang w:eastAsia="en-US"/>
        </w:rPr>
        <w:t>toimides seadusandliku tavamenetluse kohaselt</w:t>
      </w:r>
      <w:r w:rsidRPr="00D23835">
        <w:rPr>
          <w:rFonts w:eastAsia="Calibri"/>
          <w:noProof/>
          <w:color w:val="000000"/>
          <w:szCs w:val="22"/>
          <w:vertAlign w:val="superscript"/>
          <w:lang w:eastAsia="en-US"/>
        </w:rPr>
        <w:footnoteReference w:id="3"/>
      </w:r>
    </w:p>
    <w:p w14:paraId="1BB4E2E5" w14:textId="77777777" w:rsidR="00F07EF8" w:rsidRPr="00D23835" w:rsidRDefault="00F07EF8" w:rsidP="00F07EF8">
      <w:pPr>
        <w:widowControl/>
        <w:spacing w:after="200" w:line="360" w:lineRule="auto"/>
        <w:rPr>
          <w:rFonts w:eastAsia="Calibri"/>
          <w:noProof/>
          <w:color w:val="000000"/>
          <w:szCs w:val="22"/>
          <w:lang w:eastAsia="en-US"/>
        </w:rPr>
      </w:pPr>
      <w:r w:rsidRPr="00D23835">
        <w:rPr>
          <w:rFonts w:eastAsia="Calibri"/>
          <w:noProof/>
          <w:color w:val="000000"/>
          <w:szCs w:val="22"/>
          <w:lang w:eastAsia="en-US"/>
        </w:rPr>
        <w:br w:type="page"/>
      </w:r>
    </w:p>
    <w:p w14:paraId="05711B39" w14:textId="77777777" w:rsidR="00F07EF8" w:rsidRPr="00D23835" w:rsidRDefault="00F07EF8" w:rsidP="00F07EF8">
      <w:pPr>
        <w:widowControl/>
        <w:spacing w:before="120" w:after="120" w:line="360" w:lineRule="auto"/>
        <w:rPr>
          <w:rFonts w:eastAsia="Calibri"/>
          <w:noProof/>
          <w:color w:val="000000"/>
          <w:szCs w:val="22"/>
          <w:lang w:eastAsia="en-US"/>
        </w:rPr>
      </w:pPr>
      <w:r w:rsidRPr="00D23835">
        <w:rPr>
          <w:rFonts w:eastAsia="Calibri"/>
          <w:noProof/>
          <w:color w:val="000000"/>
          <w:szCs w:val="22"/>
          <w:lang w:eastAsia="en-US"/>
        </w:rPr>
        <w:lastRenderedPageBreak/>
        <w:t>ning arvestades järgmist:</w:t>
      </w:r>
    </w:p>
    <w:p w14:paraId="5F2E1DBE" w14:textId="77777777" w:rsidR="00F07EF8" w:rsidRPr="00D23835" w:rsidRDefault="00F07EF8" w:rsidP="00F07EF8">
      <w:pPr>
        <w:widowControl/>
        <w:spacing w:before="120" w:after="120" w:line="360" w:lineRule="auto"/>
        <w:ind w:left="851" w:hanging="851"/>
        <w:rPr>
          <w:rFonts w:eastAsia="Calibri"/>
          <w:noProof/>
          <w:color w:val="000000"/>
          <w:szCs w:val="22"/>
          <w:lang w:eastAsia="en-US"/>
        </w:rPr>
      </w:pPr>
      <w:bookmarkStart w:id="7" w:name="_Hlk211264391"/>
      <w:r w:rsidRPr="00D23835">
        <w:rPr>
          <w:rFonts w:eastAsia="Calibri"/>
          <w:noProof/>
          <w:color w:val="000000"/>
          <w:szCs w:val="22"/>
          <w:lang w:eastAsia="en-US"/>
        </w:rPr>
        <w:t>(1)</w:t>
      </w:r>
      <w:r w:rsidRPr="00D23835">
        <w:rPr>
          <w:rFonts w:eastAsia="Calibri"/>
          <w:noProof/>
          <w:color w:val="000000"/>
          <w:szCs w:val="22"/>
          <w:lang w:eastAsia="en-US"/>
        </w:rPr>
        <w:tab/>
        <w:t>Euroopa Ühenduse ja Šveitsi Konföderatsiooni vahelise kaupade ja reisijate raudtee- ja maanteeveo kokkuleppe</w:t>
      </w:r>
      <w:r w:rsidRPr="00D23835">
        <w:rPr>
          <w:rFonts w:eastAsia="Calibri"/>
          <w:noProof/>
          <w:color w:val="000000"/>
          <w:szCs w:val="22"/>
          <w:vertAlign w:val="superscript"/>
          <w:lang w:eastAsia="en-US"/>
        </w:rPr>
        <w:footnoteReference w:id="4"/>
      </w:r>
      <w:r w:rsidRPr="00D23835">
        <w:rPr>
          <w:rFonts w:eastAsia="Calibri"/>
          <w:noProof/>
          <w:color w:val="000000"/>
          <w:szCs w:val="22"/>
          <w:lang w:eastAsia="en-US"/>
        </w:rPr>
        <w:t xml:space="preserve"> (edaspidi „ELi ja Šveitsi kokkulepe“) artikli 20 lõikes 1 on sätestatud, et ELi ja Šveitsi kokkuleppe teise osalise territooriumil tegutsevate veoettevõtjate teostatavad veod sama lepinguosalise territooriumil asuva kahe punkti vahel (kabotaažveod) ei ole lubatud.</w:t>
      </w:r>
    </w:p>
    <w:p w14:paraId="0737D92B" w14:textId="77777777" w:rsidR="00F07EF8" w:rsidRPr="00D23835" w:rsidRDefault="00F07EF8" w:rsidP="00F07EF8">
      <w:pPr>
        <w:widowControl/>
        <w:spacing w:before="120" w:after="120" w:line="360" w:lineRule="auto"/>
        <w:ind w:left="851" w:hanging="851"/>
        <w:rPr>
          <w:rFonts w:eastAsia="Calibri"/>
          <w:noProof/>
          <w:color w:val="000000"/>
          <w:szCs w:val="22"/>
          <w:lang w:eastAsia="en-US"/>
        </w:rPr>
      </w:pPr>
      <w:r w:rsidRPr="00D23835">
        <w:rPr>
          <w:rFonts w:eastAsia="Calibri"/>
          <w:noProof/>
          <w:color w:val="000000"/>
          <w:szCs w:val="22"/>
          <w:lang w:eastAsia="en-US"/>
        </w:rPr>
        <w:t>(2)</w:t>
      </w:r>
      <w:r w:rsidRPr="00D23835">
        <w:rPr>
          <w:rFonts w:eastAsia="Calibri"/>
          <w:noProof/>
          <w:color w:val="000000"/>
          <w:szCs w:val="22"/>
          <w:lang w:eastAsia="en-US"/>
        </w:rPr>
        <w:tab/>
        <w:t>ELi ja Šveitsi kokkuleppe artikli 20 lõike 2 kohaselt võib kehtivaid kabotaažiõigusi, mis tulenevad liikmesriikide ja Šveitsi vahel sõlmitud kahepoolsetest lepingutest ja mis kehtisid ELi ja Šveitsi kokkuleppe sõlmimise ajal 21. juunil 1999, kasutada ka edaspidi, tingimusel et liidus asutatud vedajate vahel ei ole diskrimineerimist ega moonutata konkurentsi. Austria ja Šveitsi vahel 22. oktoobril 1958 sõlmitud kahepoolne maanteetranspordi leping</w:t>
      </w:r>
      <w:r w:rsidRPr="00D23835">
        <w:rPr>
          <w:rFonts w:eastAsia="Calibri"/>
          <w:noProof/>
          <w:color w:val="000000"/>
          <w:szCs w:val="22"/>
          <w:vertAlign w:val="superscript"/>
          <w:lang w:eastAsia="en-US"/>
        </w:rPr>
        <w:footnoteReference w:id="5"/>
      </w:r>
      <w:r w:rsidRPr="00D23835">
        <w:rPr>
          <w:rFonts w:eastAsia="Calibri"/>
          <w:noProof/>
          <w:color w:val="000000"/>
          <w:szCs w:val="22"/>
          <w:lang w:eastAsia="en-US"/>
        </w:rPr>
        <w:t xml:space="preserve"> (edaspidi „Austria ja Šveitsi leping“) ei luba kabotaažvedusid kahe riigi vahel rahvusvaheliste bussiveoteenuste osutamisel. Seega ei ole selliste vedude teostamise õigus ELi ja Šveitsi kokkuleppe artikli 20 lõikes 2 sätestatud õiguste hulgas.</w:t>
      </w:r>
    </w:p>
    <w:p w14:paraId="0493039E" w14:textId="77777777" w:rsidR="00F07EF8" w:rsidRPr="00D23835" w:rsidRDefault="00F07EF8" w:rsidP="00F07EF8">
      <w:pPr>
        <w:widowControl/>
        <w:spacing w:after="200" w:line="360" w:lineRule="auto"/>
        <w:rPr>
          <w:rFonts w:eastAsia="Calibri"/>
          <w:noProof/>
          <w:color w:val="000000"/>
          <w:szCs w:val="22"/>
          <w:lang w:eastAsia="en-US"/>
        </w:rPr>
      </w:pPr>
      <w:r w:rsidRPr="00D23835">
        <w:rPr>
          <w:rFonts w:eastAsia="Calibri"/>
          <w:noProof/>
          <w:color w:val="000000"/>
          <w:szCs w:val="22"/>
          <w:lang w:eastAsia="en-US"/>
        </w:rPr>
        <w:br w:type="page"/>
      </w:r>
    </w:p>
    <w:p w14:paraId="16FE7255" w14:textId="77777777" w:rsidR="00F07EF8" w:rsidRPr="00D23835" w:rsidRDefault="00F07EF8" w:rsidP="00F07EF8">
      <w:pPr>
        <w:widowControl/>
        <w:spacing w:before="120" w:after="120" w:line="360" w:lineRule="auto"/>
        <w:ind w:left="851" w:hanging="851"/>
        <w:rPr>
          <w:rFonts w:eastAsia="Calibri"/>
          <w:noProof/>
          <w:color w:val="000000"/>
          <w:szCs w:val="22"/>
          <w:lang w:eastAsia="en-US"/>
        </w:rPr>
      </w:pPr>
      <w:r w:rsidRPr="00D23835">
        <w:rPr>
          <w:rFonts w:eastAsia="Calibri"/>
          <w:noProof/>
          <w:color w:val="000000"/>
          <w:szCs w:val="22"/>
          <w:lang w:eastAsia="en-US"/>
        </w:rPr>
        <w:lastRenderedPageBreak/>
        <w:t>(3)</w:t>
      </w:r>
      <w:r w:rsidRPr="00D23835">
        <w:rPr>
          <w:rFonts w:eastAsia="Calibri"/>
          <w:noProof/>
          <w:color w:val="000000"/>
          <w:szCs w:val="22"/>
          <w:lang w:eastAsia="en-US"/>
        </w:rPr>
        <w:tab/>
        <w:t>Rahvusvahelised kokkulepped, mis võimaldavad Šveitsis asutatud vedajatel teha liidu piires kabotaažvedusid, võivad mõjutada ELi ja Šveitsi kokkuleppe artikli 20 kohaldamist, kuna nimetatud artikkel ei luba selliseid vedusid.</w:t>
      </w:r>
    </w:p>
    <w:p w14:paraId="3A74E79E" w14:textId="77777777" w:rsidR="00F07EF8" w:rsidRPr="00D23835" w:rsidRDefault="00F07EF8" w:rsidP="00F07EF8">
      <w:pPr>
        <w:widowControl/>
        <w:spacing w:before="120" w:after="120" w:line="360" w:lineRule="auto"/>
        <w:ind w:left="851" w:hanging="851"/>
        <w:rPr>
          <w:rFonts w:eastAsia="Calibri"/>
          <w:noProof/>
          <w:color w:val="000000"/>
          <w:szCs w:val="22"/>
          <w:lang w:eastAsia="en-US"/>
        </w:rPr>
      </w:pPr>
      <w:r w:rsidRPr="00D23835">
        <w:rPr>
          <w:rFonts w:eastAsia="Calibri"/>
          <w:noProof/>
          <w:color w:val="000000"/>
          <w:szCs w:val="22"/>
          <w:lang w:eastAsia="en-US"/>
        </w:rPr>
        <w:t>(4)</w:t>
      </w:r>
      <w:r w:rsidRPr="00D23835">
        <w:rPr>
          <w:rFonts w:eastAsia="Calibri"/>
          <w:noProof/>
          <w:color w:val="000000"/>
          <w:szCs w:val="22"/>
          <w:lang w:eastAsia="en-US"/>
        </w:rPr>
        <w:tab/>
        <w:t>Euroopa Parlamendi ja nõukogu määruse (EÜ) nr 1073/2009</w:t>
      </w:r>
      <w:r w:rsidRPr="00D23835">
        <w:rPr>
          <w:rFonts w:eastAsia="Calibri"/>
          <w:color w:val="000000"/>
          <w:szCs w:val="22"/>
          <w:vertAlign w:val="superscript"/>
          <w:lang w:eastAsia="en-US"/>
        </w:rPr>
        <w:footnoteReference w:id="6"/>
      </w:r>
      <w:r w:rsidRPr="00D23835">
        <w:rPr>
          <w:rFonts w:eastAsia="Calibri"/>
          <w:noProof/>
          <w:color w:val="000000"/>
          <w:szCs w:val="22"/>
          <w:lang w:eastAsia="en-US"/>
        </w:rPr>
        <w:t xml:space="preserve"> kohaselt võivad liidus kabotaažvedusid teostada üksnes ühenduse litsentsi omavad vedajad ja seda teatavatel tingimustel. Rahvusvahelised kokkulepped, mis lubavad kõnealuseid vedusid teostada kolmanda riigi vedajatel, kellel sellist litsentsi ei ole, võivad mõjutada kõnealust määrust.</w:t>
      </w:r>
    </w:p>
    <w:p w14:paraId="31E66FD7" w14:textId="77777777" w:rsidR="00F07EF8" w:rsidRPr="00D23835" w:rsidRDefault="00F07EF8" w:rsidP="00F07EF8">
      <w:pPr>
        <w:widowControl/>
        <w:spacing w:before="120" w:after="120" w:line="360" w:lineRule="auto"/>
        <w:ind w:left="851" w:hanging="851"/>
        <w:rPr>
          <w:rFonts w:eastAsia="Calibri"/>
          <w:noProof/>
          <w:color w:val="000000"/>
          <w:szCs w:val="22"/>
          <w:lang w:eastAsia="en-US"/>
        </w:rPr>
      </w:pPr>
      <w:r w:rsidRPr="00D23835">
        <w:rPr>
          <w:rFonts w:eastAsia="Calibri"/>
          <w:noProof/>
          <w:color w:val="000000"/>
          <w:szCs w:val="22"/>
          <w:lang w:eastAsia="en-US"/>
        </w:rPr>
        <w:t>(5)</w:t>
      </w:r>
      <w:r w:rsidRPr="00D23835">
        <w:rPr>
          <w:rFonts w:eastAsia="Calibri"/>
          <w:noProof/>
          <w:color w:val="000000"/>
          <w:szCs w:val="22"/>
          <w:lang w:eastAsia="en-US"/>
        </w:rPr>
        <w:tab/>
        <w:t>Seega kuuluvad sellised rahvusvahelised kokkulepped liidu ainupädevusse välisasjades. Liikmesriigid võivad pidada läbirääkimisi või sõlmida selliseid kokkuleppeid ainult juhul, kui liit on neid Euroopa Liidu toimimise lepingu (ELi toimimise leping) artikli 2 lõike 1 kohaselt volitanud.</w:t>
      </w:r>
    </w:p>
    <w:p w14:paraId="705D63F8" w14:textId="77777777" w:rsidR="00F07EF8" w:rsidRPr="00D23835" w:rsidRDefault="00F07EF8" w:rsidP="00F07EF8">
      <w:pPr>
        <w:widowControl/>
        <w:spacing w:after="200" w:line="360" w:lineRule="auto"/>
        <w:rPr>
          <w:rFonts w:eastAsia="Calibri"/>
          <w:noProof/>
          <w:color w:val="000000"/>
          <w:szCs w:val="22"/>
          <w:lang w:eastAsia="en-US"/>
        </w:rPr>
      </w:pPr>
      <w:r w:rsidRPr="00D23835">
        <w:rPr>
          <w:rFonts w:eastAsia="Calibri"/>
          <w:noProof/>
          <w:color w:val="000000"/>
          <w:szCs w:val="22"/>
          <w:lang w:eastAsia="en-US"/>
        </w:rPr>
        <w:br w:type="page"/>
      </w:r>
    </w:p>
    <w:p w14:paraId="49D10B44" w14:textId="77777777" w:rsidR="00F07EF8" w:rsidRPr="00D23835" w:rsidRDefault="00F07EF8" w:rsidP="00F07EF8">
      <w:pPr>
        <w:widowControl/>
        <w:spacing w:before="120" w:after="120" w:line="360" w:lineRule="auto"/>
        <w:ind w:left="851" w:hanging="851"/>
        <w:rPr>
          <w:rFonts w:eastAsia="Calibri"/>
          <w:noProof/>
          <w:color w:val="000000"/>
          <w:szCs w:val="22"/>
          <w:lang w:eastAsia="en-US"/>
        </w:rPr>
      </w:pPr>
      <w:r w:rsidRPr="00D23835">
        <w:rPr>
          <w:rFonts w:eastAsia="Calibri"/>
          <w:noProof/>
          <w:color w:val="000000"/>
          <w:szCs w:val="22"/>
          <w:lang w:eastAsia="en-US"/>
        </w:rPr>
        <w:lastRenderedPageBreak/>
        <w:t>(6)</w:t>
      </w:r>
      <w:r w:rsidRPr="00D23835">
        <w:rPr>
          <w:rFonts w:eastAsia="Calibri"/>
          <w:noProof/>
          <w:color w:val="000000"/>
          <w:szCs w:val="22"/>
          <w:lang w:eastAsia="en-US"/>
        </w:rPr>
        <w:tab/>
        <w:t>Liidus toimuvad kabotaažveod, mida teostavad kolmandate riikide vedajad, kellel ei ole määruses (EÜ) nr 1073/2009 sätestatud ühenduse litsentsi, mõjutavad nimetatud määrusega loodud bussiteenuste siseturu toimimist. Seetõttu on vaja, et liidu seadusandja annaks ELi toimimise lepingu artikli 2 lõike 1 kohase volituse vastavalt ELi toimimise lepingu artiklis 91 osutatud seadusandlikule menetlusele.</w:t>
      </w:r>
    </w:p>
    <w:p w14:paraId="73AA1860" w14:textId="77777777" w:rsidR="00F07EF8" w:rsidRPr="00D23835" w:rsidRDefault="00F07EF8" w:rsidP="00F07EF8">
      <w:pPr>
        <w:widowControl/>
        <w:spacing w:before="120" w:after="120" w:line="360" w:lineRule="auto"/>
        <w:ind w:left="851" w:hanging="851"/>
        <w:rPr>
          <w:rFonts w:eastAsia="Calibri"/>
          <w:noProof/>
          <w:color w:val="000000"/>
          <w:szCs w:val="22"/>
          <w:lang w:eastAsia="en-US"/>
        </w:rPr>
      </w:pPr>
      <w:r w:rsidRPr="00D23835">
        <w:rPr>
          <w:rFonts w:eastAsia="Calibri"/>
          <w:noProof/>
          <w:color w:val="000000"/>
          <w:szCs w:val="22"/>
          <w:lang w:eastAsia="en-US"/>
        </w:rPr>
        <w:t>(7)</w:t>
      </w:r>
      <w:r w:rsidRPr="00D23835">
        <w:rPr>
          <w:rFonts w:eastAsia="Calibri"/>
          <w:noProof/>
          <w:color w:val="000000"/>
          <w:szCs w:val="22"/>
          <w:lang w:eastAsia="en-US"/>
        </w:rPr>
        <w:tab/>
        <w:t xml:space="preserve">Austria taotles 17. märtsi 2025. aasta kirjaga liidult volitust muuta Austria ja Šveitsi lepingut, et lubada kabotaažvedusid rahvusvaheliste bussiveoteenuste osutamisel Austria ja Šveitsi vahelistel piirialadel, </w:t>
      </w:r>
      <w:r w:rsidRPr="00D23835">
        <w:rPr>
          <w:rFonts w:eastAsia="Calibri"/>
          <w:b/>
          <w:bCs/>
          <w:i/>
          <w:iCs/>
          <w:noProof/>
          <w:color w:val="000000"/>
          <w:szCs w:val="22"/>
          <w:lang w:eastAsia="en-US"/>
        </w:rPr>
        <w:t>edendades seeläbi suuremat territoriaalset ühtekuuluvust</w:t>
      </w:r>
      <w:r w:rsidRPr="00D23835">
        <w:rPr>
          <w:rFonts w:eastAsia="Calibri"/>
          <w:noProof/>
          <w:color w:val="000000"/>
          <w:szCs w:val="22"/>
          <w:lang w:eastAsia="en-US"/>
        </w:rPr>
        <w:t>.</w:t>
      </w:r>
    </w:p>
    <w:p w14:paraId="5F76118F" w14:textId="77777777" w:rsidR="00F07EF8" w:rsidRPr="00D23835" w:rsidRDefault="00F07EF8" w:rsidP="00F07EF8">
      <w:pPr>
        <w:widowControl/>
        <w:spacing w:before="120" w:after="120" w:line="360" w:lineRule="auto"/>
        <w:ind w:left="851" w:hanging="851"/>
        <w:rPr>
          <w:rFonts w:eastAsia="Calibri"/>
          <w:noProof/>
          <w:color w:val="000000"/>
          <w:szCs w:val="22"/>
          <w:lang w:eastAsia="en-US"/>
        </w:rPr>
      </w:pPr>
      <w:r w:rsidRPr="00D23835">
        <w:rPr>
          <w:rFonts w:eastAsia="Calibri"/>
          <w:noProof/>
          <w:color w:val="000000"/>
          <w:szCs w:val="22"/>
          <w:lang w:eastAsia="en-US"/>
        </w:rPr>
        <w:t>(8)</w:t>
      </w:r>
      <w:r w:rsidRPr="00D23835">
        <w:rPr>
          <w:rFonts w:eastAsia="Calibri"/>
          <w:noProof/>
          <w:color w:val="000000"/>
          <w:szCs w:val="22"/>
          <w:lang w:eastAsia="en-US"/>
        </w:rPr>
        <w:tab/>
        <w:t>Kabotaažveod võimaldavad suurendada sõidukite koormustegurit, mis suurendab rahvusvaheliste bussiveoteenuste majanduslikku tasuvust. Seepärast on asjakohane lubada selliseid vedusid rahvusvaheliste bussiveoteenuste osutamisel Austria ja Šveitsi vahelistel piirialadel. See võib veelgi tihendada kõnealuste piirialade lõimitust.</w:t>
      </w:r>
    </w:p>
    <w:p w14:paraId="4F8C905C" w14:textId="77777777" w:rsidR="00F07EF8" w:rsidRPr="00D23835" w:rsidRDefault="00F07EF8" w:rsidP="00F07EF8">
      <w:pPr>
        <w:widowControl/>
        <w:spacing w:after="200" w:line="360" w:lineRule="auto"/>
        <w:rPr>
          <w:rFonts w:eastAsia="Calibri"/>
          <w:noProof/>
          <w:color w:val="000000"/>
          <w:szCs w:val="22"/>
          <w:lang w:eastAsia="en-US"/>
        </w:rPr>
      </w:pPr>
      <w:r w:rsidRPr="00D23835">
        <w:rPr>
          <w:rFonts w:eastAsia="Calibri"/>
          <w:noProof/>
          <w:color w:val="000000"/>
          <w:szCs w:val="22"/>
          <w:lang w:eastAsia="en-US"/>
        </w:rPr>
        <w:br w:type="page"/>
      </w:r>
    </w:p>
    <w:p w14:paraId="5E8B0B76" w14:textId="77777777" w:rsidR="00F07EF8" w:rsidRPr="00D23835" w:rsidRDefault="00F07EF8" w:rsidP="00F07EF8">
      <w:pPr>
        <w:widowControl/>
        <w:spacing w:before="120" w:after="120" w:line="360" w:lineRule="auto"/>
        <w:ind w:left="851" w:hanging="851"/>
        <w:rPr>
          <w:rFonts w:eastAsia="Calibri"/>
          <w:noProof/>
          <w:color w:val="000000"/>
          <w:szCs w:val="22"/>
          <w:lang w:eastAsia="en-US"/>
        </w:rPr>
      </w:pPr>
      <w:r w:rsidRPr="00D23835">
        <w:rPr>
          <w:rFonts w:eastAsia="Calibri"/>
          <w:noProof/>
          <w:color w:val="000000"/>
          <w:szCs w:val="22"/>
          <w:lang w:eastAsia="en-US"/>
        </w:rPr>
        <w:lastRenderedPageBreak/>
        <w:t>(9)</w:t>
      </w:r>
      <w:r w:rsidRPr="00D23835">
        <w:rPr>
          <w:rFonts w:eastAsia="Calibri"/>
          <w:noProof/>
          <w:color w:val="000000"/>
          <w:szCs w:val="22"/>
          <w:lang w:eastAsia="en-US"/>
        </w:rPr>
        <w:tab/>
        <w:t>Selleks, et asjaomased kabotaažveod ei muudaks ülemääraselt bussiteenuste siseturu toimimist, nagu see on sätestatud määruses (EÜ) nr 1073/2009, tuleks kabotaažvedude lubasid anda tingimusel, et liidus asutatud vedajate vahel ei ole diskrimineerimist ega moonutata konkurentsi.</w:t>
      </w:r>
    </w:p>
    <w:p w14:paraId="1743993E" w14:textId="77777777" w:rsidR="00F07EF8" w:rsidRPr="00D23835" w:rsidRDefault="00F07EF8" w:rsidP="00F07EF8">
      <w:pPr>
        <w:widowControl/>
        <w:spacing w:before="120" w:after="120" w:line="360" w:lineRule="auto"/>
        <w:ind w:left="851" w:hanging="851"/>
        <w:rPr>
          <w:rFonts w:eastAsia="Calibri"/>
          <w:noProof/>
          <w:color w:val="000000"/>
          <w:szCs w:val="22"/>
          <w:lang w:eastAsia="en-US"/>
        </w:rPr>
      </w:pPr>
      <w:r w:rsidRPr="00D23835">
        <w:rPr>
          <w:rFonts w:eastAsia="Calibri"/>
          <w:noProof/>
          <w:color w:val="000000"/>
          <w:szCs w:val="22"/>
          <w:lang w:eastAsia="en-US"/>
        </w:rPr>
        <w:t>(10)</w:t>
      </w:r>
      <w:r w:rsidRPr="00D23835">
        <w:rPr>
          <w:rFonts w:eastAsia="Calibri"/>
          <w:noProof/>
          <w:color w:val="000000"/>
          <w:szCs w:val="22"/>
          <w:lang w:eastAsia="en-US"/>
        </w:rPr>
        <w:tab/>
        <w:t>Samal põhjusel tuleks lubada kabotaažvedusid Austria piirialadel üksnes Austria ja Šveitsi vahel rahvusvaheliste bussiveoteenuste osutamisel. Selleks on vaja määratleda Austria piirialad käesoleva otsuse kohaldamisel viisil, mis võtab kohaselt arvesse määrust (EÜ) nr 1073/2009, võimaldades samal ajal suurendada asjaomaste vedude tasuvust,</w:t>
      </w:r>
    </w:p>
    <w:bookmarkEnd w:id="7"/>
    <w:p w14:paraId="175A9E2B" w14:textId="77777777" w:rsidR="00F07EF8" w:rsidRPr="00D23835" w:rsidRDefault="00F07EF8" w:rsidP="00F07EF8">
      <w:pPr>
        <w:keepNext/>
        <w:widowControl/>
        <w:spacing w:before="120" w:after="120" w:line="360" w:lineRule="auto"/>
        <w:rPr>
          <w:rFonts w:eastAsia="Calibri"/>
          <w:noProof/>
          <w:color w:val="000000"/>
          <w:szCs w:val="22"/>
          <w:lang w:eastAsia="en-US"/>
        </w:rPr>
      </w:pPr>
      <w:r w:rsidRPr="00D23835">
        <w:rPr>
          <w:rFonts w:eastAsia="Calibri"/>
          <w:noProof/>
          <w:color w:val="000000"/>
          <w:szCs w:val="22"/>
          <w:lang w:eastAsia="en-US"/>
        </w:rPr>
        <w:t>ON VASTU VÕTNUD KÄESOLEVA OTSUSE:</w:t>
      </w:r>
    </w:p>
    <w:p w14:paraId="0A728568" w14:textId="77777777" w:rsidR="00F07EF8" w:rsidRPr="00D23835" w:rsidRDefault="00F07EF8" w:rsidP="00F07EF8">
      <w:pPr>
        <w:widowControl/>
        <w:spacing w:after="200" w:line="360" w:lineRule="auto"/>
        <w:rPr>
          <w:rFonts w:eastAsia="Calibri"/>
          <w:i/>
          <w:noProof/>
          <w:color w:val="000000"/>
          <w:szCs w:val="22"/>
          <w:lang w:eastAsia="en-US"/>
        </w:rPr>
      </w:pPr>
      <w:r w:rsidRPr="00D23835">
        <w:rPr>
          <w:rFonts w:eastAsia="Calibri"/>
          <w:noProof/>
          <w:color w:val="000000"/>
          <w:szCs w:val="22"/>
          <w:lang w:eastAsia="en-US"/>
        </w:rPr>
        <w:br w:type="page"/>
      </w:r>
    </w:p>
    <w:p w14:paraId="66749995" w14:textId="77777777" w:rsidR="00F07EF8" w:rsidRPr="00D23835" w:rsidRDefault="00F07EF8" w:rsidP="00F07EF8">
      <w:pPr>
        <w:keepNext/>
        <w:widowControl/>
        <w:spacing w:before="360" w:after="120" w:line="360" w:lineRule="auto"/>
        <w:jc w:val="center"/>
        <w:rPr>
          <w:rFonts w:eastAsia="Calibri"/>
          <w:iCs/>
          <w:noProof/>
          <w:color w:val="000000"/>
          <w:szCs w:val="22"/>
          <w:lang w:eastAsia="en-US"/>
        </w:rPr>
      </w:pPr>
      <w:r w:rsidRPr="00D23835">
        <w:rPr>
          <w:rFonts w:eastAsia="Calibri"/>
          <w:iCs/>
          <w:noProof/>
          <w:color w:val="000000"/>
          <w:szCs w:val="22"/>
          <w:lang w:eastAsia="en-US"/>
        </w:rPr>
        <w:lastRenderedPageBreak/>
        <w:t>Artikkel 1</w:t>
      </w:r>
    </w:p>
    <w:p w14:paraId="2234C8D1" w14:textId="77777777" w:rsidR="00F07EF8" w:rsidRPr="00D23835" w:rsidRDefault="00F07EF8" w:rsidP="00F07EF8">
      <w:pPr>
        <w:widowControl/>
        <w:spacing w:before="120" w:after="120" w:line="360" w:lineRule="auto"/>
        <w:rPr>
          <w:rFonts w:eastAsia="Calibri"/>
          <w:noProof/>
          <w:color w:val="000000"/>
          <w:szCs w:val="22"/>
          <w:lang w:eastAsia="en-US"/>
        </w:rPr>
      </w:pPr>
      <w:r w:rsidRPr="00D23835">
        <w:rPr>
          <w:rFonts w:eastAsia="Calibri"/>
          <w:noProof/>
          <w:color w:val="000000"/>
          <w:szCs w:val="22"/>
          <w:lang w:eastAsia="en-US"/>
        </w:rPr>
        <w:t xml:space="preserve">Austriale antakse volitus muuta Austria ja Šveitsi vahel 22. oktoobril 1958 sõlmitud kahepoolset maanteetranspordi lepingut (edaspidi „Austria ja Šveitsi leping“), et lubada kabotaažvedusid nimetatud kahe riigi vahel </w:t>
      </w:r>
      <w:r w:rsidRPr="00D23835">
        <w:rPr>
          <w:rFonts w:eastAsia="Calibri"/>
          <w:color w:val="000000"/>
          <w:szCs w:val="22"/>
          <w:lang w:eastAsia="en-US"/>
        </w:rPr>
        <w:t xml:space="preserve">rahvusvaheliste </w:t>
      </w:r>
      <w:r w:rsidRPr="00D23835">
        <w:rPr>
          <w:rFonts w:eastAsia="Calibri"/>
          <w:noProof/>
          <w:color w:val="000000"/>
          <w:szCs w:val="22"/>
          <w:lang w:eastAsia="en-US"/>
        </w:rPr>
        <w:t>bussiveoteenuste osutamisel Austria ja Šveitsi vahelistel piirialadel, tingimusel et liidus asutatud vedajate vahel ei ole diskrimineerimist ega moonutata konkurentsi.</w:t>
      </w:r>
    </w:p>
    <w:p w14:paraId="5E08ABAD" w14:textId="77777777" w:rsidR="00F07EF8" w:rsidRPr="00D23835" w:rsidRDefault="00F07EF8" w:rsidP="00F07EF8">
      <w:pPr>
        <w:widowControl/>
        <w:spacing w:before="120" w:after="120" w:line="360" w:lineRule="auto"/>
        <w:rPr>
          <w:rFonts w:eastAsia="Calibri"/>
          <w:noProof/>
          <w:color w:val="000000"/>
          <w:szCs w:val="22"/>
          <w:lang w:eastAsia="en-US"/>
        </w:rPr>
      </w:pPr>
      <w:r w:rsidRPr="00D23835">
        <w:rPr>
          <w:rFonts w:eastAsia="Calibri"/>
          <w:noProof/>
          <w:color w:val="000000"/>
          <w:szCs w:val="22"/>
          <w:lang w:eastAsia="en-US"/>
        </w:rPr>
        <w:t>Esimese lõigu tähenduses käsitatakse Austria piirialadena Vorarlbergi piirkonna Bludenzi, Bregenzi, Dornbirni ja Feldkirchi haldusüksusi ning Tirooli piirkonna Landecki haldusüksust.</w:t>
      </w:r>
    </w:p>
    <w:p w14:paraId="0DAEFD11" w14:textId="77777777" w:rsidR="00F07EF8" w:rsidRPr="00D23835" w:rsidRDefault="00F07EF8" w:rsidP="00F07EF8">
      <w:pPr>
        <w:widowControl/>
        <w:spacing w:after="200" w:line="360" w:lineRule="auto"/>
        <w:rPr>
          <w:rFonts w:eastAsia="Calibri"/>
          <w:i/>
          <w:noProof/>
          <w:color w:val="000000"/>
          <w:szCs w:val="22"/>
          <w:lang w:eastAsia="en-US"/>
        </w:rPr>
      </w:pPr>
      <w:r w:rsidRPr="00D23835">
        <w:rPr>
          <w:rFonts w:eastAsia="Calibri"/>
          <w:noProof/>
          <w:color w:val="000000"/>
          <w:szCs w:val="22"/>
          <w:lang w:eastAsia="en-US"/>
        </w:rPr>
        <w:br w:type="page"/>
      </w:r>
    </w:p>
    <w:p w14:paraId="0D2F3A43" w14:textId="77777777" w:rsidR="00F07EF8" w:rsidRPr="00D23835" w:rsidRDefault="00F07EF8" w:rsidP="00F07EF8">
      <w:pPr>
        <w:keepNext/>
        <w:widowControl/>
        <w:spacing w:before="360" w:after="120" w:line="360" w:lineRule="auto"/>
        <w:jc w:val="center"/>
        <w:rPr>
          <w:rFonts w:eastAsia="Calibri"/>
          <w:iCs/>
          <w:noProof/>
          <w:color w:val="000000"/>
          <w:szCs w:val="22"/>
          <w:lang w:eastAsia="en-US"/>
        </w:rPr>
      </w:pPr>
      <w:r w:rsidRPr="00D23835">
        <w:rPr>
          <w:rFonts w:eastAsia="Calibri"/>
          <w:iCs/>
          <w:noProof/>
          <w:color w:val="000000"/>
          <w:szCs w:val="22"/>
          <w:lang w:eastAsia="en-US"/>
        </w:rPr>
        <w:lastRenderedPageBreak/>
        <w:t>Artikkel 2</w:t>
      </w:r>
    </w:p>
    <w:p w14:paraId="67DAE1F2" w14:textId="77777777" w:rsidR="00F07EF8" w:rsidRPr="00D23835" w:rsidRDefault="00F07EF8" w:rsidP="00F07EF8">
      <w:pPr>
        <w:keepLines/>
        <w:widowControl/>
        <w:spacing w:before="120" w:after="120" w:line="360" w:lineRule="auto"/>
        <w:rPr>
          <w:rFonts w:eastAsia="Calibri"/>
          <w:noProof/>
          <w:color w:val="000000"/>
          <w:szCs w:val="22"/>
          <w:lang w:eastAsia="en-US"/>
        </w:rPr>
      </w:pPr>
      <w:r w:rsidRPr="00D23835">
        <w:rPr>
          <w:rFonts w:eastAsia="Calibri"/>
          <w:noProof/>
          <w:color w:val="000000"/>
          <w:szCs w:val="22"/>
          <w:lang w:eastAsia="en-US"/>
        </w:rPr>
        <w:t>Austria teavitab komisjoni Austria ja Šveitsi lepingus käesoleva otsuse artikli 1 kohaselt tehtud muudatusest ja teeb komisjonile teatavaks muudetud lepingu teksti.</w:t>
      </w:r>
    </w:p>
    <w:p w14:paraId="531AF74D" w14:textId="77777777" w:rsidR="00F07EF8" w:rsidRPr="00D23835" w:rsidRDefault="00F07EF8" w:rsidP="00F07EF8">
      <w:pPr>
        <w:keepLines/>
        <w:widowControl/>
        <w:spacing w:before="120" w:after="120" w:line="360" w:lineRule="auto"/>
        <w:rPr>
          <w:rFonts w:eastAsia="Calibri"/>
          <w:noProof/>
          <w:color w:val="000000"/>
          <w:szCs w:val="22"/>
          <w:lang w:eastAsia="en-US"/>
        </w:rPr>
      </w:pPr>
      <w:r w:rsidRPr="00D23835">
        <w:rPr>
          <w:rFonts w:eastAsia="Calibri"/>
          <w:noProof/>
          <w:color w:val="000000"/>
          <w:szCs w:val="22"/>
          <w:lang w:eastAsia="en-US"/>
        </w:rPr>
        <w:t>Komisjon teavitab sellest Euroopa Parlamenti ja nõukogu.</w:t>
      </w:r>
    </w:p>
    <w:p w14:paraId="4C8E1E83" w14:textId="77777777" w:rsidR="00F07EF8" w:rsidRPr="00D23835" w:rsidRDefault="00F07EF8" w:rsidP="00F07EF8">
      <w:pPr>
        <w:keepNext/>
        <w:widowControl/>
        <w:spacing w:before="360" w:after="120" w:line="360" w:lineRule="auto"/>
        <w:jc w:val="center"/>
        <w:rPr>
          <w:rFonts w:eastAsia="Calibri"/>
          <w:iCs/>
          <w:noProof/>
          <w:color w:val="000000"/>
          <w:szCs w:val="22"/>
          <w:lang w:eastAsia="en-US"/>
        </w:rPr>
      </w:pPr>
      <w:r w:rsidRPr="00D23835">
        <w:rPr>
          <w:rFonts w:eastAsia="Calibri"/>
          <w:iCs/>
          <w:noProof/>
          <w:color w:val="000000"/>
          <w:szCs w:val="22"/>
          <w:lang w:eastAsia="en-US"/>
        </w:rPr>
        <w:t>Artikkel 3</w:t>
      </w:r>
    </w:p>
    <w:p w14:paraId="033563C1" w14:textId="77777777" w:rsidR="00F07EF8" w:rsidRPr="00D23835" w:rsidRDefault="00F07EF8" w:rsidP="00F07EF8">
      <w:pPr>
        <w:keepNext/>
        <w:keepLines/>
        <w:widowControl/>
        <w:spacing w:before="120" w:after="120" w:line="360" w:lineRule="auto"/>
        <w:rPr>
          <w:rFonts w:eastAsia="Calibri"/>
          <w:noProof/>
          <w:color w:val="000000"/>
          <w:szCs w:val="22"/>
          <w:lang w:eastAsia="en-US"/>
        </w:rPr>
      </w:pPr>
      <w:r w:rsidRPr="00D23835">
        <w:rPr>
          <w:rFonts w:eastAsia="Calibri"/>
          <w:noProof/>
          <w:color w:val="000000"/>
          <w:szCs w:val="22"/>
          <w:lang w:eastAsia="en-US"/>
        </w:rPr>
        <w:t>Käesolev otsus on adresseeritud Austria Vabariigile.</w:t>
      </w:r>
    </w:p>
    <w:p w14:paraId="3240A6A0" w14:textId="77777777" w:rsidR="00F07EF8" w:rsidRPr="00D23835" w:rsidRDefault="00F07EF8" w:rsidP="00F07EF8">
      <w:pPr>
        <w:keepNext/>
        <w:widowControl/>
        <w:spacing w:before="120" w:line="360" w:lineRule="auto"/>
        <w:rPr>
          <w:rFonts w:eastAsia="Calibri"/>
          <w:noProof/>
          <w:color w:val="000000"/>
          <w:szCs w:val="22"/>
          <w:lang w:eastAsia="en-US"/>
        </w:rPr>
      </w:pPr>
      <w:r w:rsidRPr="00D23835">
        <w:rPr>
          <w:rFonts w:eastAsia="Calibri"/>
          <w:noProof/>
          <w:color w:val="000000"/>
          <w:szCs w:val="22"/>
          <w:lang w:eastAsia="en-US"/>
        </w:rPr>
        <w:t>…,</w:t>
      </w:r>
    </w:p>
    <w:p w14:paraId="754514DA" w14:textId="77777777" w:rsidR="00F07EF8" w:rsidRPr="00D23835" w:rsidRDefault="00F07EF8" w:rsidP="00F07EF8">
      <w:pPr>
        <w:keepNext/>
        <w:widowControl/>
        <w:tabs>
          <w:tab w:val="left" w:pos="5670"/>
        </w:tabs>
        <w:spacing w:before="720" w:line="360" w:lineRule="auto"/>
        <w:rPr>
          <w:rFonts w:eastAsia="Calibri"/>
          <w:i/>
          <w:noProof/>
          <w:color w:val="000000"/>
          <w:szCs w:val="22"/>
          <w:lang w:eastAsia="en-US"/>
        </w:rPr>
      </w:pPr>
      <w:r w:rsidRPr="00D23835">
        <w:rPr>
          <w:rFonts w:eastAsia="Calibri"/>
          <w:i/>
          <w:noProof/>
          <w:color w:val="000000"/>
          <w:szCs w:val="22"/>
          <w:lang w:eastAsia="en-US"/>
        </w:rPr>
        <w:t>Euroopa Parlamendi nimel</w:t>
      </w:r>
      <w:r w:rsidRPr="00D23835">
        <w:rPr>
          <w:rFonts w:eastAsia="Calibri"/>
          <w:i/>
          <w:noProof/>
          <w:color w:val="000000"/>
          <w:szCs w:val="22"/>
          <w:lang w:eastAsia="en-US"/>
        </w:rPr>
        <w:tab/>
        <w:t>Nõukogu nimel</w:t>
      </w:r>
    </w:p>
    <w:p w14:paraId="4DEB65E6" w14:textId="09F14CE4" w:rsidR="00F07EF8" w:rsidRPr="00D23835" w:rsidRDefault="00F07EF8" w:rsidP="00F07EF8">
      <w:pPr>
        <w:keepNext/>
        <w:widowControl/>
        <w:tabs>
          <w:tab w:val="left" w:pos="5670"/>
        </w:tabs>
        <w:spacing w:line="360" w:lineRule="auto"/>
      </w:pPr>
      <w:r w:rsidRPr="00D23835">
        <w:rPr>
          <w:rFonts w:eastAsia="Calibri"/>
          <w:i/>
          <w:noProof/>
          <w:color w:val="000000"/>
          <w:szCs w:val="22"/>
          <w:lang w:eastAsia="en-US"/>
        </w:rPr>
        <w:t>president</w:t>
      </w:r>
      <w:r w:rsidRPr="00D23835">
        <w:rPr>
          <w:rFonts w:eastAsia="Calibri"/>
          <w:i/>
          <w:noProof/>
          <w:color w:val="000000"/>
          <w:szCs w:val="22"/>
          <w:lang w:eastAsia="en-US"/>
        </w:rPr>
        <w:tab/>
        <w:t>eesistuja</w:t>
      </w:r>
    </w:p>
    <w:sectPr w:rsidR="00F07EF8" w:rsidRPr="00D23835" w:rsidSect="00604AF2">
      <w:footnotePr>
        <w:numRestart w:val="eachSect"/>
      </w:footnotePr>
      <w:endnotePr>
        <w:numFmt w:val="decimal"/>
      </w:endnotePr>
      <w:pgSz w:w="11906" w:h="16838" w:code="9"/>
      <w:pgMar w:top="1134" w:right="1418" w:bottom="1418" w:left="1418" w:header="1134" w:footer="567"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E23491C" w14:textId="77777777" w:rsidR="007738E2" w:rsidRPr="00604AF2" w:rsidRDefault="007738E2">
      <w:r w:rsidRPr="00604AF2">
        <w:separator/>
      </w:r>
    </w:p>
  </w:endnote>
  <w:endnote w:type="continuationSeparator" w:id="0">
    <w:p w14:paraId="0B377170" w14:textId="77777777" w:rsidR="007738E2" w:rsidRPr="00604AF2" w:rsidRDefault="007738E2">
      <w:r w:rsidRPr="00604AF2">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Calibri">
    <w:panose1 w:val="020F0502020204030204"/>
    <w:charset w:val="00"/>
    <w:family w:val="swiss"/>
    <w:pitch w:val="variable"/>
    <w:sig w:usb0="E4002EFF" w:usb1="C200247B" w:usb2="00000009" w:usb3="00000000" w:csb0="000001FF" w:csb1="00000000"/>
  </w:font>
  <w:font w:name="Yu Gothic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200247B" w:usb2="00000009" w:usb3="00000000" w:csb0="000001FF" w:csb1="00000000"/>
  </w:font>
  <w:font w:name="DokChampa">
    <w:altName w:val="Leelawadee UI"/>
    <w:charset w:val="DE"/>
    <w:family w:val="swiss"/>
    <w:pitch w:val="variable"/>
    <w:sig w:usb0="83000003" w:usb1="00000000" w:usb2="00000000" w:usb3="00000000" w:csb0="00010001" w:csb1="00000000"/>
  </w:font>
  <w:font w:name="Yu Mincho">
    <w:charset w:val="80"/>
    <w:family w:val="roman"/>
    <w:pitch w:val="variable"/>
    <w:sig w:usb0="800002E7" w:usb1="2AC7FCFF" w:usb2="00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BE72383" w14:textId="77777777" w:rsidR="00064002" w:rsidRPr="00604AF2" w:rsidRDefault="00064002"/>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2A895B2" w14:textId="77777777" w:rsidR="00064002" w:rsidRPr="00604AF2" w:rsidRDefault="00064002"/>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E23A8A4" w14:textId="77777777" w:rsidR="00064002" w:rsidRPr="00604AF2" w:rsidRDefault="00064002"/>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4EE13E8" w14:textId="77777777" w:rsidR="007738E2" w:rsidRPr="00604AF2" w:rsidRDefault="007738E2">
      <w:r w:rsidRPr="00604AF2">
        <w:separator/>
      </w:r>
    </w:p>
  </w:footnote>
  <w:footnote w:type="continuationSeparator" w:id="0">
    <w:p w14:paraId="1AC61EF5" w14:textId="77777777" w:rsidR="007738E2" w:rsidRPr="00604AF2" w:rsidRDefault="007738E2">
      <w:r w:rsidRPr="00604AF2">
        <w:continuationSeparator/>
      </w:r>
    </w:p>
  </w:footnote>
  <w:footnote w:id="1">
    <w:p w14:paraId="19FF3FB2" w14:textId="2C536AB0" w:rsidR="001D7C70" w:rsidRPr="00D521FE" w:rsidRDefault="001D7C70" w:rsidP="00604AF2">
      <w:pPr>
        <w:pStyle w:val="FootnoteText"/>
        <w:ind w:left="567" w:hanging="567"/>
        <w:rPr>
          <w:sz w:val="24"/>
          <w:szCs w:val="24"/>
          <w:lang w:val="et-EE"/>
        </w:rPr>
      </w:pPr>
      <w:r w:rsidRPr="00D521FE">
        <w:rPr>
          <w:rStyle w:val="FootnoteReference"/>
          <w:sz w:val="24"/>
          <w:szCs w:val="24"/>
          <w:lang w:val="et-EE"/>
        </w:rPr>
        <w:footnoteRef/>
      </w:r>
      <w:r w:rsidR="00604AF2" w:rsidRPr="00D521FE">
        <w:rPr>
          <w:sz w:val="24"/>
          <w:szCs w:val="24"/>
          <w:lang w:val="et-EE"/>
        </w:rPr>
        <w:t xml:space="preserve"> </w:t>
      </w:r>
      <w:r w:rsidR="00604AF2" w:rsidRPr="00D521FE">
        <w:rPr>
          <w:sz w:val="24"/>
          <w:szCs w:val="24"/>
          <w:lang w:val="et-EE"/>
        </w:rPr>
        <w:tab/>
      </w:r>
      <w:r w:rsidRPr="00D521FE">
        <w:rPr>
          <w:sz w:val="24"/>
          <w:szCs w:val="24"/>
          <w:lang w:val="et-EE"/>
        </w:rPr>
        <w:t xml:space="preserve">ELT C, C/2026/1970, 28.4.2026, ELI: </w:t>
      </w:r>
      <w:hyperlink r:id="rId1" w:history="1">
        <w:r w:rsidRPr="00D521FE">
          <w:rPr>
            <w:rStyle w:val="Hyperlink"/>
            <w:sz w:val="24"/>
            <w:szCs w:val="24"/>
            <w:lang w:val="et-EE"/>
          </w:rPr>
          <w:t>http://data.europa.eu/eli/C/2026/1970/oj</w:t>
        </w:r>
      </w:hyperlink>
      <w:r w:rsidR="00D521FE" w:rsidRPr="00D521FE">
        <w:rPr>
          <w:sz w:val="24"/>
          <w:szCs w:val="24"/>
          <w:lang w:val="et-EE"/>
        </w:rPr>
        <w:t>.</w:t>
      </w:r>
    </w:p>
  </w:footnote>
  <w:footnote w:id="2">
    <w:p w14:paraId="3EC8A863" w14:textId="77777777" w:rsidR="00F07EF8" w:rsidRPr="00D521FE" w:rsidRDefault="00F07EF8" w:rsidP="00F07EF8">
      <w:pPr>
        <w:pStyle w:val="FootnoteText"/>
        <w:ind w:left="850" w:hanging="850"/>
        <w:rPr>
          <w:color w:val="000000"/>
          <w:sz w:val="24"/>
          <w:szCs w:val="24"/>
          <w:lang w:val="et-EE"/>
        </w:rPr>
      </w:pPr>
      <w:r w:rsidRPr="00D521FE">
        <w:rPr>
          <w:rStyle w:val="FootnoteReference"/>
          <w:color w:val="000000"/>
          <w:sz w:val="24"/>
          <w:szCs w:val="24"/>
          <w:lang w:val="et-EE"/>
        </w:rPr>
        <w:footnoteRef/>
      </w:r>
      <w:r w:rsidRPr="00D521FE">
        <w:rPr>
          <w:color w:val="000000"/>
          <w:sz w:val="24"/>
          <w:szCs w:val="24"/>
          <w:lang w:val="et-EE"/>
        </w:rPr>
        <w:tab/>
      </w:r>
      <w:r w:rsidRPr="00D521FE">
        <w:rPr>
          <w:color w:val="000000"/>
          <w:sz w:val="24"/>
          <w:szCs w:val="24"/>
          <w:lang w:val="et-EE"/>
        </w:rPr>
        <w:t xml:space="preserve">ELT C, C/2026/1970, 28.4.2026, ELI: </w:t>
      </w:r>
      <w:hyperlink r:id="rId2" w:history="1">
        <w:r w:rsidRPr="00D521FE">
          <w:rPr>
            <w:rStyle w:val="Hyperlink"/>
            <w:sz w:val="24"/>
            <w:szCs w:val="24"/>
            <w:lang w:val="et-EE"/>
          </w:rPr>
          <w:t>http://data.europa.eu/eli/C/2026/1970/oj</w:t>
        </w:r>
      </w:hyperlink>
      <w:r w:rsidRPr="00D521FE">
        <w:rPr>
          <w:color w:val="000000"/>
          <w:sz w:val="24"/>
          <w:szCs w:val="24"/>
          <w:lang w:val="et-EE"/>
        </w:rPr>
        <w:t>.</w:t>
      </w:r>
    </w:p>
  </w:footnote>
  <w:footnote w:id="3">
    <w:p w14:paraId="32F0C631" w14:textId="05CF11F1" w:rsidR="00F07EF8" w:rsidRPr="00D521FE" w:rsidRDefault="00F07EF8" w:rsidP="00F07EF8">
      <w:pPr>
        <w:pStyle w:val="FootnoteText"/>
        <w:ind w:left="850" w:hanging="850"/>
        <w:rPr>
          <w:color w:val="000000"/>
          <w:sz w:val="24"/>
          <w:szCs w:val="24"/>
          <w:lang w:val="et-EE"/>
        </w:rPr>
      </w:pPr>
      <w:r w:rsidRPr="00D521FE">
        <w:rPr>
          <w:rStyle w:val="FootnoteReference"/>
          <w:color w:val="000000"/>
          <w:sz w:val="24"/>
          <w:szCs w:val="24"/>
          <w:lang w:val="et-EE"/>
        </w:rPr>
        <w:footnoteRef/>
      </w:r>
      <w:r w:rsidRPr="00D521FE">
        <w:rPr>
          <w:color w:val="000000"/>
          <w:sz w:val="24"/>
          <w:szCs w:val="24"/>
          <w:lang w:val="et-EE"/>
        </w:rPr>
        <w:tab/>
        <w:t xml:space="preserve">Euroopa Parlamendi </w:t>
      </w:r>
      <w:r w:rsidR="00D521FE" w:rsidRPr="00D521FE">
        <w:rPr>
          <w:color w:val="000000"/>
          <w:sz w:val="24"/>
          <w:szCs w:val="24"/>
          <w:lang w:val="et-EE"/>
        </w:rPr>
        <w:t>7. juuli 2026. </w:t>
      </w:r>
      <w:r w:rsidR="00D521FE" w:rsidRPr="00D521FE">
        <w:rPr>
          <w:color w:val="000000"/>
          <w:sz w:val="24"/>
          <w:szCs w:val="24"/>
          <w:lang w:val="et-EE"/>
        </w:rPr>
        <w:t>aasta</w:t>
      </w:r>
      <w:r w:rsidRPr="00D521FE">
        <w:rPr>
          <w:color w:val="000000"/>
          <w:sz w:val="24"/>
          <w:szCs w:val="24"/>
          <w:lang w:val="et-EE"/>
        </w:rPr>
        <w:t xml:space="preserve"> seisukoht.</w:t>
      </w:r>
    </w:p>
  </w:footnote>
  <w:footnote w:id="4">
    <w:p w14:paraId="59F012AD" w14:textId="2B5598A8" w:rsidR="00F07EF8" w:rsidRPr="00D521FE" w:rsidRDefault="00F07EF8" w:rsidP="00F07EF8">
      <w:pPr>
        <w:pStyle w:val="FootnoteText"/>
        <w:ind w:left="850" w:hanging="850"/>
        <w:rPr>
          <w:color w:val="000000"/>
          <w:sz w:val="24"/>
          <w:szCs w:val="24"/>
          <w:lang w:val="et-EE"/>
        </w:rPr>
      </w:pPr>
      <w:r w:rsidRPr="00D521FE">
        <w:rPr>
          <w:rStyle w:val="FootnoteReference"/>
          <w:color w:val="000000"/>
          <w:sz w:val="24"/>
          <w:szCs w:val="24"/>
          <w:lang w:val="et-EE"/>
        </w:rPr>
        <w:footnoteRef/>
      </w:r>
      <w:r w:rsidRPr="00D521FE">
        <w:rPr>
          <w:color w:val="000000"/>
          <w:sz w:val="24"/>
          <w:szCs w:val="24"/>
          <w:lang w:val="et-EE"/>
        </w:rPr>
        <w:tab/>
      </w:r>
      <w:r w:rsidRPr="00D521FE">
        <w:rPr>
          <w:color w:val="000000"/>
          <w:sz w:val="24"/>
          <w:szCs w:val="24"/>
          <w:lang w:val="et-EE"/>
        </w:rPr>
        <w:t>EÜT L 114, 30.4.2002, lk 91,</w:t>
      </w:r>
      <w:r w:rsidR="00D521FE">
        <w:rPr>
          <w:color w:val="000000"/>
          <w:sz w:val="24"/>
          <w:szCs w:val="24"/>
          <w:lang w:val="et-EE"/>
        </w:rPr>
        <w:t xml:space="preserve"> </w:t>
      </w:r>
      <w:r w:rsidRPr="00D521FE">
        <w:rPr>
          <w:color w:val="000000"/>
          <w:sz w:val="24"/>
          <w:szCs w:val="24"/>
          <w:lang w:val="et-EE"/>
        </w:rPr>
        <w:t>ELI: </w:t>
      </w:r>
      <w:hyperlink r:id="rId3" w:history="1">
        <w:r w:rsidRPr="00D521FE">
          <w:rPr>
            <w:rStyle w:val="Hyperlink"/>
            <w:sz w:val="24"/>
            <w:szCs w:val="24"/>
            <w:lang w:val="et-EE"/>
          </w:rPr>
          <w:t>http://data.europa.eu/eli/agree_internation/2002/309(3)/oj</w:t>
        </w:r>
      </w:hyperlink>
      <w:r w:rsidRPr="00D521FE">
        <w:rPr>
          <w:color w:val="000000"/>
          <w:sz w:val="24"/>
          <w:szCs w:val="24"/>
          <w:lang w:val="et-EE"/>
        </w:rPr>
        <w:t>.</w:t>
      </w:r>
    </w:p>
  </w:footnote>
  <w:footnote w:id="5">
    <w:p w14:paraId="6A095E9F" w14:textId="77777777" w:rsidR="00F07EF8" w:rsidRPr="00D521FE" w:rsidRDefault="00F07EF8" w:rsidP="00F07EF8">
      <w:pPr>
        <w:pStyle w:val="FootnoteText"/>
        <w:ind w:left="850" w:hanging="850"/>
        <w:rPr>
          <w:color w:val="000000"/>
          <w:sz w:val="24"/>
          <w:szCs w:val="24"/>
          <w:lang w:val="et-EE"/>
        </w:rPr>
      </w:pPr>
      <w:r w:rsidRPr="00D521FE">
        <w:rPr>
          <w:rStyle w:val="FootnoteReference"/>
          <w:color w:val="000000"/>
          <w:sz w:val="24"/>
          <w:szCs w:val="24"/>
          <w:lang w:val="et-EE"/>
        </w:rPr>
        <w:footnoteRef/>
      </w:r>
      <w:r w:rsidRPr="00D521FE">
        <w:rPr>
          <w:color w:val="000000"/>
          <w:sz w:val="24"/>
          <w:szCs w:val="24"/>
          <w:lang w:val="et-EE"/>
        </w:rPr>
        <w:tab/>
      </w:r>
      <w:proofErr w:type="spellStart"/>
      <w:r w:rsidRPr="00D521FE">
        <w:rPr>
          <w:color w:val="000000"/>
          <w:sz w:val="24"/>
          <w:szCs w:val="24"/>
          <w:lang w:val="et-EE"/>
        </w:rPr>
        <w:t>BGBl</w:t>
      </w:r>
      <w:proofErr w:type="spellEnd"/>
      <w:r w:rsidRPr="00D521FE">
        <w:rPr>
          <w:color w:val="000000"/>
          <w:sz w:val="24"/>
          <w:szCs w:val="24"/>
          <w:lang w:val="et-EE"/>
        </w:rPr>
        <w:t>. (Austria) nr 123/1959.</w:t>
      </w:r>
    </w:p>
  </w:footnote>
  <w:footnote w:id="6">
    <w:p w14:paraId="047FE98F" w14:textId="77777777" w:rsidR="00F07EF8" w:rsidRPr="00D521FE" w:rsidRDefault="00F07EF8" w:rsidP="00F07EF8">
      <w:pPr>
        <w:pStyle w:val="FootnoteText"/>
        <w:ind w:left="850" w:hanging="850"/>
        <w:rPr>
          <w:color w:val="000000"/>
          <w:sz w:val="24"/>
          <w:szCs w:val="24"/>
          <w:lang w:val="et-EE"/>
        </w:rPr>
      </w:pPr>
      <w:r w:rsidRPr="00D521FE">
        <w:rPr>
          <w:rStyle w:val="FootnoteReference"/>
          <w:color w:val="000000"/>
          <w:sz w:val="24"/>
          <w:szCs w:val="24"/>
          <w:lang w:val="et-EE"/>
        </w:rPr>
        <w:footnoteRef/>
      </w:r>
      <w:r w:rsidRPr="00D521FE">
        <w:rPr>
          <w:color w:val="000000"/>
          <w:sz w:val="24"/>
          <w:szCs w:val="24"/>
          <w:lang w:val="et-EE"/>
        </w:rPr>
        <w:tab/>
        <w:t>Euroopa Parlamendi ja nõukogu 21. oktoobri 2009. </w:t>
      </w:r>
      <w:r w:rsidRPr="00D521FE">
        <w:rPr>
          <w:color w:val="000000"/>
          <w:sz w:val="24"/>
          <w:szCs w:val="24"/>
          <w:lang w:val="et-EE"/>
        </w:rPr>
        <w:t xml:space="preserve">aasta määrus (EÜ) nr 1073/2009 rahvusvahelisele bussiteenuste turule juurdepääsu käsitlevate </w:t>
      </w:r>
      <w:proofErr w:type="spellStart"/>
      <w:r w:rsidRPr="00D521FE">
        <w:rPr>
          <w:color w:val="000000"/>
          <w:sz w:val="24"/>
          <w:szCs w:val="24"/>
          <w:lang w:val="et-EE"/>
        </w:rPr>
        <w:t>ühiseeskirjade</w:t>
      </w:r>
      <w:proofErr w:type="spellEnd"/>
      <w:r w:rsidRPr="00D521FE">
        <w:rPr>
          <w:color w:val="000000"/>
          <w:sz w:val="24"/>
          <w:szCs w:val="24"/>
          <w:lang w:val="et-EE"/>
        </w:rPr>
        <w:t xml:space="preserve"> kohta ning millega muudetakse määrust (EÜ) nr 561/2006 (ELT L 300, 14.11.2009, lk 88, ELI: </w:t>
      </w:r>
      <w:hyperlink r:id="rId4" w:history="1">
        <w:r w:rsidRPr="00D521FE">
          <w:rPr>
            <w:rStyle w:val="Hyperlink"/>
            <w:sz w:val="24"/>
            <w:szCs w:val="24"/>
            <w:lang w:val="et-EE"/>
          </w:rPr>
          <w:t>http://data.europa.eu/eli/reg/2009/1073/oj</w:t>
        </w:r>
      </w:hyperlink>
      <w:r w:rsidRPr="00D521FE">
        <w:rPr>
          <w:color w:val="000000"/>
          <w:sz w:val="24"/>
          <w:szCs w:val="24"/>
          <w:lang w:val="et-EE"/>
        </w:rPr>
        <w:t>).</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F45D787" w14:textId="77777777" w:rsidR="00064002" w:rsidRPr="00604AF2" w:rsidRDefault="00064002"/>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551678F" w14:textId="77777777" w:rsidR="00064002" w:rsidRPr="00604AF2" w:rsidRDefault="00064002"/>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A2BBAAA" w14:textId="77777777" w:rsidR="00064002" w:rsidRPr="00604AF2" w:rsidRDefault="00064002"/>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5B22A8A2"/>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D0C0EE6C"/>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BFB40F5E"/>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BF525DAA"/>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97309190"/>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8026A280"/>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1CDC9AF0"/>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1E120C2A"/>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D92AAA74"/>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AB4278A6"/>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93C6E60"/>
    <w:multiLevelType w:val="multilevel"/>
    <w:tmpl w:val="BC64E536"/>
    <w:lvl w:ilvl="0">
      <w:start w:val="1"/>
      <w:numFmt w:val="decimal"/>
      <w:lvlText w:val="%1."/>
      <w:lvlJc w:val="left"/>
      <w:pPr>
        <w:tabs>
          <w:tab w:val="num" w:pos="360"/>
        </w:tabs>
        <w:ind w:left="360" w:hanging="360"/>
      </w:pPr>
    </w:lvl>
    <w:lvl w:ilvl="1">
      <w:start w:val="1"/>
      <w:numFmt w:val="decimal"/>
      <w:pStyle w:val="Heading2"/>
      <w:lvlText w:val="%1.%2."/>
      <w:lvlJc w:val="left"/>
      <w:pPr>
        <w:tabs>
          <w:tab w:val="num" w:pos="792"/>
        </w:tabs>
        <w:ind w:left="792" w:hanging="792"/>
      </w:pPr>
    </w:lvl>
    <w:lvl w:ilvl="2">
      <w:start w:val="1"/>
      <w:numFmt w:val="decimal"/>
      <w:pStyle w:val="Heading3"/>
      <w:lvlText w:val="%1.%2.%3."/>
      <w:lvlJc w:val="left"/>
      <w:pPr>
        <w:tabs>
          <w:tab w:val="num" w:pos="1224"/>
        </w:tabs>
        <w:ind w:left="1224" w:hanging="1224"/>
      </w:pPr>
    </w:lvl>
    <w:lvl w:ilvl="3">
      <w:start w:val="1"/>
      <w:numFmt w:val="decimal"/>
      <w:pStyle w:val="Heading4"/>
      <w:lvlText w:val="%1.%2.%3.%4."/>
      <w:lvlJc w:val="left"/>
      <w:pPr>
        <w:tabs>
          <w:tab w:val="num" w:pos="1728"/>
        </w:tabs>
        <w:ind w:left="1728" w:hanging="1728"/>
      </w:pPr>
    </w:lvl>
    <w:lvl w:ilvl="4">
      <w:start w:val="1"/>
      <w:numFmt w:val="decimal"/>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11" w15:restartNumberingAfterBreak="0">
    <w:nsid w:val="39692AE2"/>
    <w:multiLevelType w:val="multilevel"/>
    <w:tmpl w:val="975EA0B4"/>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792"/>
      </w:pPr>
    </w:lvl>
    <w:lvl w:ilvl="2">
      <w:start w:val="1"/>
      <w:numFmt w:val="decimal"/>
      <w:lvlText w:val="%1.%2.%3."/>
      <w:lvlJc w:val="left"/>
      <w:pPr>
        <w:tabs>
          <w:tab w:val="num" w:pos="1224"/>
        </w:tabs>
        <w:ind w:left="1224" w:hanging="1224"/>
      </w:pPr>
    </w:lvl>
    <w:lvl w:ilvl="3">
      <w:start w:val="1"/>
      <w:numFmt w:val="decimal"/>
      <w:lvlText w:val="%1.%2.%3.%4."/>
      <w:lvlJc w:val="left"/>
      <w:pPr>
        <w:tabs>
          <w:tab w:val="num" w:pos="1728"/>
        </w:tabs>
        <w:ind w:left="1728" w:hanging="1728"/>
      </w:pPr>
    </w:lvl>
    <w:lvl w:ilvl="4">
      <w:start w:val="1"/>
      <w:numFmt w:val="decimal"/>
      <w:pStyle w:val="Heading5"/>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num w:numId="1" w16cid:durableId="1909882837">
    <w:abstractNumId w:val="9"/>
  </w:num>
  <w:num w:numId="2" w16cid:durableId="132335825">
    <w:abstractNumId w:val="9"/>
  </w:num>
  <w:num w:numId="3" w16cid:durableId="37827998">
    <w:abstractNumId w:val="7"/>
  </w:num>
  <w:num w:numId="4" w16cid:durableId="929511029">
    <w:abstractNumId w:val="7"/>
  </w:num>
  <w:num w:numId="5" w16cid:durableId="1212116070">
    <w:abstractNumId w:val="6"/>
  </w:num>
  <w:num w:numId="6" w16cid:durableId="450437753">
    <w:abstractNumId w:val="6"/>
  </w:num>
  <w:num w:numId="7" w16cid:durableId="305669143">
    <w:abstractNumId w:val="5"/>
  </w:num>
  <w:num w:numId="8" w16cid:durableId="614215482">
    <w:abstractNumId w:val="5"/>
  </w:num>
  <w:num w:numId="9" w16cid:durableId="1072509332">
    <w:abstractNumId w:val="4"/>
  </w:num>
  <w:num w:numId="10" w16cid:durableId="538203994">
    <w:abstractNumId w:val="4"/>
  </w:num>
  <w:num w:numId="11" w16cid:durableId="630592576">
    <w:abstractNumId w:val="8"/>
  </w:num>
  <w:num w:numId="12" w16cid:durableId="477111546">
    <w:abstractNumId w:val="8"/>
  </w:num>
  <w:num w:numId="13" w16cid:durableId="1352609492">
    <w:abstractNumId w:val="3"/>
  </w:num>
  <w:num w:numId="14" w16cid:durableId="281041402">
    <w:abstractNumId w:val="3"/>
  </w:num>
  <w:num w:numId="15" w16cid:durableId="1888254719">
    <w:abstractNumId w:val="2"/>
  </w:num>
  <w:num w:numId="16" w16cid:durableId="1419521330">
    <w:abstractNumId w:val="2"/>
  </w:num>
  <w:num w:numId="17" w16cid:durableId="564686394">
    <w:abstractNumId w:val="1"/>
  </w:num>
  <w:num w:numId="18" w16cid:durableId="871268108">
    <w:abstractNumId w:val="1"/>
  </w:num>
  <w:num w:numId="19" w16cid:durableId="1813517483">
    <w:abstractNumId w:val="0"/>
  </w:num>
  <w:num w:numId="20" w16cid:durableId="796483428">
    <w:abstractNumId w:val="0"/>
  </w:num>
  <w:num w:numId="21" w16cid:durableId="1735657685">
    <w:abstractNumId w:val="9"/>
  </w:num>
  <w:num w:numId="22" w16cid:durableId="1398354530">
    <w:abstractNumId w:val="7"/>
  </w:num>
  <w:num w:numId="23" w16cid:durableId="24915423">
    <w:abstractNumId w:val="6"/>
  </w:num>
  <w:num w:numId="24" w16cid:durableId="251403917">
    <w:abstractNumId w:val="5"/>
  </w:num>
  <w:num w:numId="25" w16cid:durableId="166798658">
    <w:abstractNumId w:val="4"/>
  </w:num>
  <w:num w:numId="26" w16cid:durableId="737560486">
    <w:abstractNumId w:val="8"/>
  </w:num>
  <w:num w:numId="27" w16cid:durableId="1199004438">
    <w:abstractNumId w:val="3"/>
  </w:num>
  <w:num w:numId="28" w16cid:durableId="1490245617">
    <w:abstractNumId w:val="2"/>
  </w:num>
  <w:num w:numId="29" w16cid:durableId="1733848463">
    <w:abstractNumId w:val="1"/>
  </w:num>
  <w:num w:numId="30" w16cid:durableId="1495411508">
    <w:abstractNumId w:val="0"/>
  </w:num>
  <w:num w:numId="31" w16cid:durableId="521285983">
    <w:abstractNumId w:val="9"/>
  </w:num>
  <w:num w:numId="32" w16cid:durableId="2010139080">
    <w:abstractNumId w:val="7"/>
  </w:num>
  <w:num w:numId="33" w16cid:durableId="269778371">
    <w:abstractNumId w:val="6"/>
  </w:num>
  <w:num w:numId="34" w16cid:durableId="204755623">
    <w:abstractNumId w:val="5"/>
  </w:num>
  <w:num w:numId="35" w16cid:durableId="1642728662">
    <w:abstractNumId w:val="4"/>
  </w:num>
  <w:num w:numId="36" w16cid:durableId="1886209170">
    <w:abstractNumId w:val="8"/>
  </w:num>
  <w:num w:numId="37" w16cid:durableId="113406030">
    <w:abstractNumId w:val="3"/>
  </w:num>
  <w:num w:numId="38" w16cid:durableId="910311601">
    <w:abstractNumId w:val="2"/>
  </w:num>
  <w:num w:numId="39" w16cid:durableId="20281835">
    <w:abstractNumId w:val="1"/>
  </w:num>
  <w:num w:numId="40" w16cid:durableId="239294233">
    <w:abstractNumId w:val="0"/>
  </w:num>
  <w:num w:numId="41" w16cid:durableId="223493831">
    <w:abstractNumId w:val="10"/>
  </w:num>
  <w:num w:numId="42" w16cid:durableId="242229710">
    <w:abstractNumId w:val="10"/>
  </w:num>
  <w:num w:numId="43" w16cid:durableId="1911579341">
    <w:abstractNumId w:val="10"/>
  </w:num>
  <w:num w:numId="44" w16cid:durableId="438336351">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mirrorMargins/>
  <w:bordersDoNotSurroundHeader/>
  <w:bordersDoNotSurroundFooter/>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396"/>
  <w:doNotHyphenateCap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numRestart w:val="eachSect"/>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dvdocse" w:val="A10-0174/2026"/>
    <w:docVar w:name="dvlangue" w:val="ET"/>
    <w:docVar w:name="dvnumam" w:val="2"/>
    <w:docVar w:name="dvpe" w:val="785.404"/>
    <w:docVar w:name="dvrapporteur" w:val="Raportöör: "/>
    <w:docVar w:name="dvstar" w:val="***I"/>
    <w:docVar w:name="dvtitre" w:val="Euroopa Parlamendi .... 2026. aasta seadusandlik resolutsioon ettepaneku kohta võtta vastu Euroopa Parlamendi ja nõukogu otsus, millega antakse Austriale volitused muuta olemasolevat Šveitsiga sõlmitud kahepoolset maanteetranspordi lepingut, et lubada kabotaažvedusid rahvusvaheliste bussiveoteenuste osutamisel kahe riigi vahelistel piirialadel(COM(2025)0773 – C10-0367/2025 – 2025/0407(COD))"/>
  </w:docVars>
  <w:rsids>
    <w:rsidRoot w:val="007738E2"/>
    <w:rsid w:val="00002272"/>
    <w:rsid w:val="00064002"/>
    <w:rsid w:val="000677B9"/>
    <w:rsid w:val="000831BA"/>
    <w:rsid w:val="000A42CC"/>
    <w:rsid w:val="000E7DD9"/>
    <w:rsid w:val="0010095E"/>
    <w:rsid w:val="00125B37"/>
    <w:rsid w:val="00143A0C"/>
    <w:rsid w:val="00187494"/>
    <w:rsid w:val="001D7C70"/>
    <w:rsid w:val="001F32AE"/>
    <w:rsid w:val="002767FF"/>
    <w:rsid w:val="002B18FE"/>
    <w:rsid w:val="002B5493"/>
    <w:rsid w:val="00343214"/>
    <w:rsid w:val="00361C00"/>
    <w:rsid w:val="00395FA1"/>
    <w:rsid w:val="003E15D4"/>
    <w:rsid w:val="00411CCE"/>
    <w:rsid w:val="0041666E"/>
    <w:rsid w:val="00421060"/>
    <w:rsid w:val="00471C19"/>
    <w:rsid w:val="004867E3"/>
    <w:rsid w:val="00494A28"/>
    <w:rsid w:val="004C0004"/>
    <w:rsid w:val="004C5D52"/>
    <w:rsid w:val="0050519A"/>
    <w:rsid w:val="005072A1"/>
    <w:rsid w:val="00514517"/>
    <w:rsid w:val="00545827"/>
    <w:rsid w:val="00560270"/>
    <w:rsid w:val="005C2568"/>
    <w:rsid w:val="005F1B17"/>
    <w:rsid w:val="006037C0"/>
    <w:rsid w:val="00604AF2"/>
    <w:rsid w:val="006631B6"/>
    <w:rsid w:val="00680577"/>
    <w:rsid w:val="006F74FA"/>
    <w:rsid w:val="00731ADD"/>
    <w:rsid w:val="00734777"/>
    <w:rsid w:val="00736A62"/>
    <w:rsid w:val="00747932"/>
    <w:rsid w:val="00751A4A"/>
    <w:rsid w:val="00756632"/>
    <w:rsid w:val="00762C74"/>
    <w:rsid w:val="007738E2"/>
    <w:rsid w:val="00786EC0"/>
    <w:rsid w:val="007C3CE7"/>
    <w:rsid w:val="007D1690"/>
    <w:rsid w:val="007E22AD"/>
    <w:rsid w:val="00817416"/>
    <w:rsid w:val="00842779"/>
    <w:rsid w:val="00865F67"/>
    <w:rsid w:val="00881A7B"/>
    <w:rsid w:val="008840E5"/>
    <w:rsid w:val="00887B3E"/>
    <w:rsid w:val="008A1DA3"/>
    <w:rsid w:val="008C2AC6"/>
    <w:rsid w:val="008E20D0"/>
    <w:rsid w:val="00930C23"/>
    <w:rsid w:val="0093193B"/>
    <w:rsid w:val="009509D8"/>
    <w:rsid w:val="00950B64"/>
    <w:rsid w:val="00954678"/>
    <w:rsid w:val="00981893"/>
    <w:rsid w:val="00A1687D"/>
    <w:rsid w:val="00A43E52"/>
    <w:rsid w:val="00A4678D"/>
    <w:rsid w:val="00A778C7"/>
    <w:rsid w:val="00AB441E"/>
    <w:rsid w:val="00AB6293"/>
    <w:rsid w:val="00AE0928"/>
    <w:rsid w:val="00AF3B82"/>
    <w:rsid w:val="00B12E95"/>
    <w:rsid w:val="00B22876"/>
    <w:rsid w:val="00B558F0"/>
    <w:rsid w:val="00BD48FE"/>
    <w:rsid w:val="00BD7BD8"/>
    <w:rsid w:val="00BE6ADC"/>
    <w:rsid w:val="00C05BFE"/>
    <w:rsid w:val="00C23CD4"/>
    <w:rsid w:val="00C4371B"/>
    <w:rsid w:val="00C61C0C"/>
    <w:rsid w:val="00C941CB"/>
    <w:rsid w:val="00CC2357"/>
    <w:rsid w:val="00CF071A"/>
    <w:rsid w:val="00D058B8"/>
    <w:rsid w:val="00D23835"/>
    <w:rsid w:val="00D521FE"/>
    <w:rsid w:val="00D56C11"/>
    <w:rsid w:val="00D834A0"/>
    <w:rsid w:val="00D872DF"/>
    <w:rsid w:val="00D91E21"/>
    <w:rsid w:val="00DA7FCD"/>
    <w:rsid w:val="00E365E1"/>
    <w:rsid w:val="00E820A4"/>
    <w:rsid w:val="00EB006A"/>
    <w:rsid w:val="00EB4772"/>
    <w:rsid w:val="00ED169E"/>
    <w:rsid w:val="00ED4235"/>
    <w:rsid w:val="00F04346"/>
    <w:rsid w:val="00F075DC"/>
    <w:rsid w:val="00F07EF8"/>
    <w:rsid w:val="00F149E9"/>
    <w:rsid w:val="00F5134D"/>
    <w:rsid w:val="00F74202"/>
    <w:rsid w:val="00F87713"/>
    <w:rsid w:val="00FB4360"/>
    <w:rsid w:val="00FD0C70"/>
  </w:rsids>
  <m:mathPr>
    <m:mathFont m:val="Cambria Math"/>
    <m:brkBin m:val="before"/>
    <m:brkBinSub m:val="--"/>
    <m:smallFrac m:val="0"/>
    <m:dispDef/>
    <m:lMargin m:val="0"/>
    <m:rMargin m:val="0"/>
    <m:defJc m:val="centerGroup"/>
    <m:wrapIndent m:val="1440"/>
    <m:intLim m:val="subSup"/>
    <m:naryLim m:val="undOvr"/>
  </m:mathPr>
  <w:themeFontLang w:val="en-GB" w:eastAsia="ja-JP" w:bidi="lo-L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259F80D8"/>
  <w15:chartTrackingRefBased/>
  <w15:docId w15:val="{B2B9270F-5369-40AB-9DB3-F2B55D30CC8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semiHidden="1" w:unhideWhenUsed="1" w:qFormat="1"/>
    <w:lsdException w:name="Title" w:qFormat="1"/>
    <w:lsdException w:name="Subtitle" w:qFormat="1"/>
    <w:lsdException w:name="Hyperlink" w:uiPriority="99"/>
    <w:lsdException w:name="Strong" w:qFormat="1"/>
    <w:lsdException w:name="Emphasis" w:qFormat="1"/>
    <w:lsdException w:name="Normal Table" w:semiHidden="1" w:unhideWhenUsed="1"/>
    <w:lsdException w:name="No List" w:uiPriority="99"/>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uiPriority="39"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DA7FCD"/>
    <w:pPr>
      <w:widowControl w:val="0"/>
    </w:pPr>
    <w:rPr>
      <w:sz w:val="24"/>
      <w:lang w:val="et-EE"/>
    </w:rPr>
  </w:style>
  <w:style w:type="paragraph" w:styleId="Heading1">
    <w:name w:val="heading 1"/>
    <w:basedOn w:val="Normal"/>
    <w:next w:val="Normal"/>
    <w:semiHidden/>
    <w:qFormat/>
    <w:rsid w:val="00395FA1"/>
    <w:pPr>
      <w:keepNext/>
      <w:keepLines/>
      <w:widowControl/>
      <w:spacing w:after="120"/>
      <w:ind w:left="510" w:hanging="510"/>
      <w:outlineLvl w:val="0"/>
    </w:pPr>
    <w:rPr>
      <w:b/>
      <w:kern w:val="28"/>
      <w:sz w:val="28"/>
      <w:lang w:val="fr-FR" w:eastAsia="fr-FR"/>
    </w:rPr>
  </w:style>
  <w:style w:type="paragraph" w:styleId="Heading2">
    <w:name w:val="heading 2"/>
    <w:basedOn w:val="Normal"/>
    <w:next w:val="Normal"/>
    <w:semiHidden/>
    <w:qFormat/>
    <w:rsid w:val="00395FA1"/>
    <w:pPr>
      <w:keepNext/>
      <w:widowControl/>
      <w:numPr>
        <w:ilvl w:val="1"/>
        <w:numId w:val="43"/>
      </w:numPr>
      <w:spacing w:before="240" w:after="60"/>
      <w:outlineLvl w:val="1"/>
    </w:pPr>
    <w:rPr>
      <w:lang w:val="fr-FR" w:eastAsia="fr-FR"/>
    </w:rPr>
  </w:style>
  <w:style w:type="paragraph" w:styleId="Heading3">
    <w:name w:val="heading 3"/>
    <w:basedOn w:val="Normal"/>
    <w:next w:val="Normal"/>
    <w:semiHidden/>
    <w:qFormat/>
    <w:rsid w:val="00395FA1"/>
    <w:pPr>
      <w:keepNext/>
      <w:widowControl/>
      <w:numPr>
        <w:ilvl w:val="2"/>
        <w:numId w:val="43"/>
      </w:numPr>
      <w:spacing w:before="240" w:after="60"/>
      <w:outlineLvl w:val="2"/>
    </w:pPr>
    <w:rPr>
      <w:rFonts w:ascii="Arial" w:hAnsi="Arial"/>
      <w:lang w:val="fr-FR" w:eastAsia="fr-FR"/>
    </w:rPr>
  </w:style>
  <w:style w:type="paragraph" w:styleId="Heading4">
    <w:name w:val="heading 4"/>
    <w:basedOn w:val="Normal"/>
    <w:next w:val="Normal"/>
    <w:semiHidden/>
    <w:qFormat/>
    <w:rsid w:val="00395FA1"/>
    <w:pPr>
      <w:keepNext/>
      <w:widowControl/>
      <w:numPr>
        <w:ilvl w:val="3"/>
        <w:numId w:val="43"/>
      </w:numPr>
      <w:spacing w:before="240" w:after="60"/>
      <w:outlineLvl w:val="3"/>
    </w:pPr>
    <w:rPr>
      <w:lang w:val="en-US" w:eastAsia="fr-FR"/>
    </w:rPr>
  </w:style>
  <w:style w:type="paragraph" w:styleId="Heading5">
    <w:name w:val="heading 5"/>
    <w:basedOn w:val="Normal"/>
    <w:next w:val="Normal"/>
    <w:semiHidden/>
    <w:qFormat/>
    <w:rsid w:val="00395FA1"/>
    <w:pPr>
      <w:widowControl/>
      <w:numPr>
        <w:ilvl w:val="4"/>
        <w:numId w:val="44"/>
      </w:numPr>
      <w:spacing w:before="240" w:after="60"/>
      <w:outlineLvl w:val="4"/>
    </w:pPr>
    <w:rPr>
      <w:lang w:val="en-US" w:eastAsia="fr-FR"/>
    </w:rPr>
  </w:style>
  <w:style w:type="paragraph" w:styleId="Heading6">
    <w:name w:val="heading 6"/>
    <w:basedOn w:val="Normal"/>
    <w:next w:val="Normal"/>
    <w:semiHidden/>
    <w:qFormat/>
    <w:pPr>
      <w:spacing w:before="240" w:after="60"/>
      <w:outlineLvl w:val="5"/>
    </w:pPr>
    <w:rPr>
      <w:i/>
      <w:sz w:val="22"/>
    </w:rPr>
  </w:style>
  <w:style w:type="paragraph" w:styleId="Heading7">
    <w:name w:val="heading 7"/>
    <w:basedOn w:val="Normal"/>
    <w:next w:val="Normal"/>
    <w:semiHidden/>
    <w:qFormat/>
    <w:pPr>
      <w:spacing w:before="240" w:after="60"/>
      <w:outlineLvl w:val="6"/>
    </w:pPr>
    <w:rPr>
      <w:rFonts w:ascii="Arial" w:hAnsi="Arial"/>
    </w:rPr>
  </w:style>
  <w:style w:type="paragraph" w:styleId="Heading8">
    <w:name w:val="heading 8"/>
    <w:basedOn w:val="Normal"/>
    <w:next w:val="Normal"/>
    <w:semiHidden/>
    <w:qFormat/>
    <w:pPr>
      <w:spacing w:before="240" w:after="60"/>
      <w:outlineLvl w:val="7"/>
    </w:pPr>
    <w:rPr>
      <w:rFonts w:ascii="Arial" w:hAnsi="Arial"/>
      <w:i/>
    </w:rPr>
  </w:style>
  <w:style w:type="paragraph" w:styleId="Heading9">
    <w:name w:val="heading 9"/>
    <w:basedOn w:val="Normal"/>
    <w:next w:val="Normal"/>
    <w:semiHidden/>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rPr>
      <w:rFonts w:ascii="Arial" w:hAnsi="Arial"/>
      <w:noProof/>
      <w:vanish/>
      <w:color w:val="000080"/>
      <w:sz w:val="20"/>
    </w:rPr>
  </w:style>
  <w:style w:type="paragraph" w:styleId="TOC1">
    <w:name w:val="toc 1"/>
    <w:basedOn w:val="Normal"/>
    <w:next w:val="Normal"/>
    <w:autoRedefine/>
    <w:semiHidden/>
    <w:rsid w:val="00395FA1"/>
    <w:pPr>
      <w:keepNext/>
      <w:keepLines/>
      <w:widowControl/>
      <w:spacing w:before="200"/>
    </w:pPr>
    <w:rPr>
      <w:b/>
      <w:noProof/>
      <w:lang w:val="fr-FR" w:eastAsia="fr-FR"/>
    </w:rPr>
  </w:style>
  <w:style w:type="character" w:customStyle="1" w:styleId="HideTWBInt">
    <w:name w:val="HideTWBInt"/>
    <w:rPr>
      <w:rFonts w:ascii="Arial" w:hAnsi="Arial" w:cs="Arial"/>
      <w:vanish/>
      <w:color w:val="808080"/>
      <w:sz w:val="20"/>
    </w:rPr>
  </w:style>
  <w:style w:type="paragraph" w:customStyle="1" w:styleId="EPBodyTA2">
    <w:name w:val="EPBodyTA2"/>
    <w:basedOn w:val="Normal"/>
    <w:rsid w:val="00AE0928"/>
    <w:pPr>
      <w:jc w:val="center"/>
    </w:pPr>
    <w:rPr>
      <w:rFonts w:ascii="Arial" w:hAnsi="Arial"/>
      <w:bCs/>
      <w:i/>
      <w:sz w:val="20"/>
    </w:rPr>
  </w:style>
  <w:style w:type="table" w:styleId="TableGrid">
    <w:name w:val="Table Grid"/>
    <w:basedOn w:val="TableNormal"/>
    <w:rsid w:val="00D058B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TA1">
    <w:name w:val="EPBodyTA1"/>
    <w:basedOn w:val="Normal"/>
    <w:rsid w:val="00AE0928"/>
    <w:pPr>
      <w:jc w:val="center"/>
    </w:pPr>
    <w:rPr>
      <w:rFonts w:ascii="Arial" w:hAnsi="Arial" w:cs="Arial"/>
      <w:b/>
      <w:sz w:val="22"/>
      <w:szCs w:val="22"/>
    </w:rPr>
  </w:style>
  <w:style w:type="paragraph" w:customStyle="1" w:styleId="LineTop">
    <w:name w:val="LineTop"/>
    <w:basedOn w:val="Normal"/>
    <w:next w:val="Normal"/>
    <w:rsid w:val="00D058B8"/>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A1687D"/>
    <w:pPr>
      <w:pBdr>
        <w:bottom w:val="single" w:sz="4" w:space="1" w:color="auto"/>
      </w:pBdr>
      <w:spacing w:after="240"/>
      <w:jc w:val="center"/>
    </w:pPr>
    <w:rPr>
      <w:rFonts w:ascii="Arial" w:hAnsi="Arial" w:cs="Arial"/>
      <w:sz w:val="16"/>
      <w:szCs w:val="16"/>
    </w:rPr>
  </w:style>
  <w:style w:type="paragraph" w:customStyle="1" w:styleId="ATHeading1">
    <w:name w:val="AT Heading 1"/>
    <w:basedOn w:val="Normal"/>
    <w:next w:val="Normal"/>
    <w:rsid w:val="00F5134D"/>
    <w:pPr>
      <w:keepNext/>
      <w:keepLines/>
      <w:widowControl/>
      <w:spacing w:before="480" w:after="120"/>
      <w:outlineLvl w:val="0"/>
    </w:pPr>
    <w:rPr>
      <w:b/>
      <w:sz w:val="28"/>
      <w:lang w:eastAsia="fr-FR"/>
    </w:rPr>
  </w:style>
  <w:style w:type="paragraph" w:customStyle="1" w:styleId="ATHeading2">
    <w:name w:val="AT Heading 2"/>
    <w:basedOn w:val="Normal"/>
    <w:next w:val="Normal"/>
    <w:rsid w:val="00395FA1"/>
    <w:pPr>
      <w:widowControl/>
      <w:spacing w:before="120" w:after="120"/>
      <w:outlineLvl w:val="1"/>
    </w:pPr>
    <w:rPr>
      <w:b/>
      <w:sz w:val="28"/>
      <w:lang w:eastAsia="fr-FR"/>
    </w:rPr>
  </w:style>
  <w:style w:type="paragraph" w:customStyle="1" w:styleId="ATHeading3">
    <w:name w:val="AT Heading 3"/>
    <w:basedOn w:val="Normal"/>
    <w:next w:val="Normal"/>
    <w:rsid w:val="00395FA1"/>
    <w:pPr>
      <w:keepNext/>
      <w:keepLines/>
      <w:widowControl/>
      <w:spacing w:before="120" w:after="120"/>
      <w:outlineLvl w:val="2"/>
    </w:pPr>
    <w:rPr>
      <w:b/>
      <w:lang w:eastAsia="fr-FR"/>
    </w:rPr>
  </w:style>
  <w:style w:type="paragraph" w:customStyle="1" w:styleId="ATHeadingMotiv">
    <w:name w:val="AT Heading Motiv"/>
    <w:basedOn w:val="Normal"/>
    <w:next w:val="Normal"/>
    <w:rsid w:val="00395FA1"/>
    <w:pPr>
      <w:keepNext/>
      <w:widowControl/>
      <w:spacing w:before="60" w:after="60"/>
      <w:jc w:val="center"/>
    </w:pPr>
    <w:rPr>
      <w:i/>
      <w:lang w:eastAsia="fr-FR"/>
    </w:rPr>
  </w:style>
  <w:style w:type="character" w:styleId="FootnoteReference">
    <w:name w:val="footnote reference"/>
    <w:rsid w:val="00395FA1"/>
    <w:rPr>
      <w:b w:val="0"/>
      <w:vertAlign w:val="superscript"/>
    </w:rPr>
  </w:style>
  <w:style w:type="paragraph" w:styleId="FootnoteText">
    <w:name w:val="footnote text"/>
    <w:basedOn w:val="Normal"/>
    <w:link w:val="FootnoteTextChar"/>
    <w:rsid w:val="00395FA1"/>
    <w:pPr>
      <w:keepLines/>
      <w:widowControl/>
      <w:spacing w:line="260" w:lineRule="exact"/>
      <w:ind w:left="425" w:hanging="425"/>
    </w:pPr>
    <w:rPr>
      <w:sz w:val="22"/>
      <w:lang w:val="fr-FR" w:eastAsia="fr-FR"/>
    </w:rPr>
  </w:style>
  <w:style w:type="character" w:customStyle="1" w:styleId="FootnoteTextChar">
    <w:name w:val="Footnote Text Char"/>
    <w:link w:val="FootnoteText"/>
    <w:rsid w:val="00762C74"/>
    <w:rPr>
      <w:sz w:val="22"/>
      <w:lang w:val="fr-FR" w:eastAsia="fr-FR"/>
    </w:rPr>
  </w:style>
  <w:style w:type="character" w:styleId="PageNumber">
    <w:name w:val="page number"/>
    <w:semiHidden/>
    <w:rsid w:val="00395FA1"/>
  </w:style>
  <w:style w:type="paragraph" w:styleId="TOC2">
    <w:name w:val="toc 2"/>
    <w:basedOn w:val="Normal"/>
    <w:next w:val="Normal"/>
    <w:autoRedefine/>
    <w:semiHidden/>
    <w:rsid w:val="00395FA1"/>
    <w:pPr>
      <w:keepNext/>
      <w:keepLines/>
      <w:widowControl/>
    </w:pPr>
    <w:rPr>
      <w:b/>
      <w:noProof/>
      <w:lang w:val="fr-FR" w:eastAsia="fr-FR"/>
    </w:rPr>
  </w:style>
  <w:style w:type="paragraph" w:styleId="TOC3">
    <w:name w:val="toc 3"/>
    <w:basedOn w:val="Normal"/>
    <w:next w:val="Normal"/>
    <w:autoRedefine/>
    <w:semiHidden/>
    <w:rsid w:val="00395FA1"/>
    <w:pPr>
      <w:keepLines/>
      <w:widowControl/>
      <w:ind w:right="510"/>
    </w:pPr>
    <w:rPr>
      <w:noProof/>
      <w:lang w:val="fr-FR" w:eastAsia="fr-FR"/>
    </w:rPr>
  </w:style>
  <w:style w:type="paragraph" w:customStyle="1" w:styleId="EPName">
    <w:name w:val="EPName"/>
    <w:basedOn w:val="Normal"/>
    <w:rsid w:val="00751A4A"/>
    <w:pPr>
      <w:spacing w:before="80" w:after="80"/>
    </w:pPr>
    <w:rPr>
      <w:rFonts w:ascii="Arial Narrow" w:hAnsi="Arial Narrow" w:cs="Arial"/>
      <w:b/>
      <w:sz w:val="32"/>
      <w:szCs w:val="22"/>
    </w:rPr>
  </w:style>
  <w:style w:type="paragraph" w:customStyle="1" w:styleId="EPTerm">
    <w:name w:val="EPTerm"/>
    <w:basedOn w:val="Normal"/>
    <w:next w:val="Normal"/>
    <w:rsid w:val="00751A4A"/>
    <w:pPr>
      <w:spacing w:after="80"/>
    </w:pPr>
    <w:rPr>
      <w:rFonts w:ascii="Arial" w:hAnsi="Arial" w:cs="Arial"/>
      <w:sz w:val="20"/>
      <w:szCs w:val="22"/>
    </w:rPr>
  </w:style>
  <w:style w:type="paragraph" w:customStyle="1" w:styleId="EPLogo">
    <w:name w:val="EPLogo"/>
    <w:basedOn w:val="Normal"/>
    <w:qFormat/>
    <w:rsid w:val="00751A4A"/>
    <w:pPr>
      <w:jc w:val="right"/>
    </w:pPr>
  </w:style>
  <w:style w:type="paragraph" w:customStyle="1" w:styleId="NormalBold">
    <w:name w:val="NormalBold"/>
    <w:basedOn w:val="Normal"/>
    <w:link w:val="NormalBoldChar"/>
    <w:rsid w:val="001D7C70"/>
    <w:rPr>
      <w:b/>
    </w:rPr>
  </w:style>
  <w:style w:type="paragraph" w:customStyle="1" w:styleId="AmJustText">
    <w:name w:val="AmJustText"/>
    <w:basedOn w:val="Normal"/>
    <w:rsid w:val="001D7C70"/>
    <w:pPr>
      <w:spacing w:after="240"/>
    </w:pPr>
    <w:rPr>
      <w:i/>
    </w:rPr>
  </w:style>
  <w:style w:type="paragraph" w:customStyle="1" w:styleId="NormalHanging12a">
    <w:name w:val="NormalHanging12a"/>
    <w:basedOn w:val="Normal"/>
    <w:rsid w:val="001D7C70"/>
    <w:pPr>
      <w:spacing w:after="240"/>
      <w:ind w:left="567" w:hanging="567"/>
    </w:pPr>
  </w:style>
  <w:style w:type="paragraph" w:customStyle="1" w:styleId="AmJustTitle">
    <w:name w:val="AmJustTitle"/>
    <w:basedOn w:val="Normal"/>
    <w:next w:val="AmJustText"/>
    <w:rsid w:val="001D7C70"/>
    <w:pPr>
      <w:keepNext/>
      <w:spacing w:before="240" w:after="240"/>
      <w:jc w:val="center"/>
    </w:pPr>
    <w:rPr>
      <w:i/>
    </w:rPr>
  </w:style>
  <w:style w:type="paragraph" w:customStyle="1" w:styleId="AmNumberTabs">
    <w:name w:val="AmNumberTabs"/>
    <w:basedOn w:val="Normal"/>
    <w:rsid w:val="001D7C70"/>
    <w:pPr>
      <w:tabs>
        <w:tab w:val="left" w:pos="879"/>
        <w:tab w:val="left" w:pos="936"/>
        <w:tab w:val="left" w:pos="1021"/>
        <w:tab w:val="left" w:pos="1077"/>
        <w:tab w:val="left" w:pos="1134"/>
        <w:tab w:val="left" w:pos="1191"/>
        <w:tab w:val="left" w:pos="1247"/>
        <w:tab w:val="left" w:pos="1304"/>
        <w:tab w:val="left" w:pos="1361"/>
        <w:tab w:val="left" w:pos="1418"/>
        <w:tab w:val="left" w:pos="1474"/>
        <w:tab w:val="left" w:pos="1531"/>
        <w:tab w:val="left" w:pos="1588"/>
        <w:tab w:val="left" w:pos="1644"/>
        <w:tab w:val="left" w:pos="1701"/>
        <w:tab w:val="left" w:pos="1758"/>
        <w:tab w:val="left" w:pos="1814"/>
        <w:tab w:val="left" w:pos="1871"/>
        <w:tab w:val="left" w:pos="2070"/>
        <w:tab w:val="left" w:pos="2126"/>
        <w:tab w:val="left" w:pos="3374"/>
        <w:tab w:val="left" w:pos="3430"/>
      </w:tabs>
      <w:spacing w:before="240"/>
    </w:pPr>
    <w:rPr>
      <w:b/>
    </w:rPr>
  </w:style>
  <w:style w:type="paragraph" w:customStyle="1" w:styleId="EPComma">
    <w:name w:val="EPComma"/>
    <w:basedOn w:val="Normal"/>
    <w:rsid w:val="001D7C70"/>
    <w:pPr>
      <w:spacing w:before="480" w:after="240"/>
    </w:pPr>
  </w:style>
  <w:style w:type="character" w:customStyle="1" w:styleId="Normal6Char">
    <w:name w:val="Normal6 Char"/>
    <w:basedOn w:val="DefaultParagraphFont"/>
    <w:link w:val="Normal6"/>
    <w:locked/>
    <w:rsid w:val="001D7C70"/>
    <w:rPr>
      <w:sz w:val="24"/>
      <w:lang w:val="et-EE"/>
    </w:rPr>
  </w:style>
  <w:style w:type="paragraph" w:customStyle="1" w:styleId="Normal6">
    <w:name w:val="Normal6"/>
    <w:basedOn w:val="Normal"/>
    <w:link w:val="Normal6Char"/>
    <w:rsid w:val="001D7C70"/>
    <w:pPr>
      <w:spacing w:after="120"/>
    </w:pPr>
  </w:style>
  <w:style w:type="character" w:customStyle="1" w:styleId="NormalBoldChar">
    <w:name w:val="NormalBold Char"/>
    <w:basedOn w:val="DefaultParagraphFont"/>
    <w:link w:val="NormalBold"/>
    <w:locked/>
    <w:rsid w:val="001D7C70"/>
    <w:rPr>
      <w:b/>
      <w:sz w:val="24"/>
      <w:lang w:val="et-EE"/>
    </w:rPr>
  </w:style>
  <w:style w:type="paragraph" w:customStyle="1" w:styleId="ColumnHeading">
    <w:name w:val="ColumnHeading"/>
    <w:basedOn w:val="Normal"/>
    <w:rsid w:val="001D7C70"/>
    <w:pPr>
      <w:spacing w:after="240"/>
      <w:jc w:val="center"/>
    </w:pPr>
    <w:rPr>
      <w:i/>
    </w:rPr>
  </w:style>
  <w:style w:type="character" w:styleId="Hyperlink">
    <w:name w:val="Hyperlink"/>
    <w:basedOn w:val="DefaultParagraphFont"/>
    <w:uiPriority w:val="99"/>
    <w:rsid w:val="001D7C70"/>
    <w:rPr>
      <w:color w:val="0563C1" w:themeColor="hyperlink"/>
      <w:u w:val="single"/>
    </w:rPr>
  </w:style>
  <w:style w:type="character" w:styleId="PlaceholderText">
    <w:name w:val="Placeholder Text"/>
    <w:basedOn w:val="DefaultParagraphFont"/>
    <w:uiPriority w:val="99"/>
    <w:semiHidden/>
    <w:rsid w:val="00F07EF8"/>
    <w:rPr>
      <w:color w:val="666666"/>
    </w:rPr>
  </w:style>
  <w:style w:type="paragraph" w:styleId="Revision">
    <w:name w:val="Revision"/>
    <w:hidden/>
    <w:uiPriority w:val="99"/>
    <w:semiHidden/>
    <w:rsid w:val="00D521FE"/>
    <w:rPr>
      <w:sz w:val="24"/>
      <w:lang w:val="et-E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2.xm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s>
</file>

<file path=word/_rels/footnotes.xml.rels><?xml version="1.0" encoding="UTF-8" standalone="yes"?>
<Relationships xmlns="http://schemas.openxmlformats.org/package/2006/relationships"><Relationship Id="rId3" Type="http://schemas.openxmlformats.org/officeDocument/2006/relationships/hyperlink" Target="http://data.europa.eu/eli/agree_internation/2002/309(3)/oj" TargetMode="External"/><Relationship Id="rId2" Type="http://schemas.openxmlformats.org/officeDocument/2006/relationships/hyperlink" Target="http://data.europa.eu/eli/C/2026/1970/oj" TargetMode="External"/><Relationship Id="rId1" Type="http://schemas.openxmlformats.org/officeDocument/2006/relationships/hyperlink" Target="http://data.europa.eu/eli/C/2026/1970/oj" TargetMode="External"/><Relationship Id="rId4" Type="http://schemas.openxmlformats.org/officeDocument/2006/relationships/hyperlink" Target="http://data.europa.eu/eli/reg/2009/1073/oj"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0C03638B-3BDB-408A-AEAA-BCE6197A2C3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9</Pages>
  <Words>837</Words>
  <Characters>6355</Characters>
  <Application>Microsoft Office Word</Application>
  <DocSecurity>0</DocSecurity>
  <Lines>132</Lines>
  <Paragraphs>48</Paragraphs>
  <ScaleCrop>false</ScaleCrop>
  <HeadingPairs>
    <vt:vector size="2" baseType="variant">
      <vt:variant>
        <vt:lpstr>Title</vt:lpstr>
      </vt:variant>
      <vt:variant>
        <vt:i4>1</vt:i4>
      </vt:variant>
    </vt:vector>
  </HeadingPairs>
  <TitlesOfParts>
    <vt:vector size="1" baseType="lpstr">
      <vt:lpstr>TA</vt:lpstr>
    </vt:vector>
  </TitlesOfParts>
  <Company/>
  <LinksUpToDate>false</LinksUpToDate>
  <CharactersWithSpaces>7144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TA</dc:title>
  <dc:subject/>
  <dc:creator>LEPLER Laura</dc:creator>
  <cp:keywords/>
  <cp:lastModifiedBy>LEPLER Laura</cp:lastModifiedBy>
  <cp:revision>2</cp:revision>
  <cp:lastPrinted>2004-11-19T15:42:00Z</cp:lastPrinted>
  <dcterms:created xsi:type="dcterms:W3CDTF">2026-07-07T11:22:00Z</dcterms:created>
  <dcterms:modified xsi:type="dcterms:W3CDTF">2026-07-07T11:22:00Z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ET</vt:lpwstr>
  </property>
  <property fmtid="{D5CDD505-2E9C-101B-9397-08002B2CF9AE}" pid="3" name="&lt;FdR&gt;">
    <vt:lpwstr>A10-0174/2026</vt:lpwstr>
  </property>
  <property fmtid="{D5CDD505-2E9C-101B-9397-08002B2CF9AE}" pid="4" name="&lt;Type&gt;">
    <vt:lpwstr>RR</vt:lpwstr>
  </property>
</Properties>
</file>