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05C2" w14:paraId="324C7052" w14:textId="77777777" w:rsidTr="0010095E">
        <w:trPr>
          <w:trHeight w:hRule="exact" w:val="1418"/>
        </w:trPr>
        <w:tc>
          <w:tcPr>
            <w:tcW w:w="6804" w:type="dxa"/>
            <w:shd w:val="clear" w:color="auto" w:fill="auto"/>
            <w:vAlign w:val="center"/>
          </w:tcPr>
          <w:p w14:paraId="314B992F" w14:textId="77777777" w:rsidR="00751A4A" w:rsidRPr="008D05C2" w:rsidRDefault="00BB55AC" w:rsidP="0010095E">
            <w:pPr>
              <w:pStyle w:val="EPName"/>
            </w:pPr>
            <w:r w:rsidRPr="008D05C2">
              <w:t>Euroopan parlamentti</w:t>
            </w:r>
          </w:p>
          <w:p w14:paraId="3C407C29" w14:textId="77777777" w:rsidR="00751A4A" w:rsidRPr="008D05C2" w:rsidRDefault="005F1B17" w:rsidP="005F1B17">
            <w:pPr>
              <w:pStyle w:val="EPTerm"/>
              <w:rPr>
                <w:rStyle w:val="HideTWBExt"/>
                <w:noProof w:val="0"/>
                <w:vanish w:val="0"/>
                <w:color w:val="auto"/>
              </w:rPr>
            </w:pPr>
            <w:r w:rsidRPr="008D05C2">
              <w:t>2024</w:t>
            </w:r>
            <w:r w:rsidR="00817416" w:rsidRPr="008D05C2">
              <w:t>-202</w:t>
            </w:r>
            <w:r w:rsidRPr="008D05C2">
              <w:t>9</w:t>
            </w:r>
          </w:p>
        </w:tc>
        <w:tc>
          <w:tcPr>
            <w:tcW w:w="2268" w:type="dxa"/>
            <w:shd w:val="clear" w:color="auto" w:fill="auto"/>
          </w:tcPr>
          <w:p w14:paraId="10E813CE" w14:textId="77777777" w:rsidR="00751A4A" w:rsidRPr="008D05C2" w:rsidRDefault="00187494" w:rsidP="0010095E">
            <w:pPr>
              <w:pStyle w:val="EPLogo"/>
            </w:pPr>
            <w:r w:rsidRPr="008D05C2">
              <w:rPr>
                <w:noProof/>
                <w:lang w:eastAsia="ja-JP"/>
              </w:rPr>
              <w:drawing>
                <wp:inline distT="0" distB="0" distL="0" distR="0" wp14:anchorId="1FEC2E13" wp14:editId="42B05D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7DD341" w14:textId="77777777" w:rsidR="00D058B8" w:rsidRPr="008D05C2" w:rsidRDefault="00D058B8" w:rsidP="004C5D52">
      <w:pPr>
        <w:pStyle w:val="LineTop"/>
      </w:pPr>
    </w:p>
    <w:p w14:paraId="2B1E39CF" w14:textId="77777777" w:rsidR="00680577" w:rsidRPr="008D05C2" w:rsidRDefault="00BB55AC" w:rsidP="00680577">
      <w:pPr>
        <w:pStyle w:val="EPBodyTA1"/>
      </w:pPr>
      <w:r w:rsidRPr="008D05C2">
        <w:t>HYVÄKSYTYT TEKSTIT</w:t>
      </w:r>
    </w:p>
    <w:p w14:paraId="419C81D5" w14:textId="77777777" w:rsidR="00D058B8" w:rsidRPr="008D05C2" w:rsidRDefault="00D058B8" w:rsidP="00D058B8">
      <w:pPr>
        <w:pStyle w:val="LineBottom"/>
      </w:pPr>
    </w:p>
    <w:p w14:paraId="2C2D94BB" w14:textId="0CC6A143" w:rsidR="00BB55AC" w:rsidRPr="008D05C2" w:rsidRDefault="00BB55AC" w:rsidP="00BB55AC">
      <w:pPr>
        <w:pStyle w:val="ATHeading1"/>
      </w:pPr>
      <w:bookmarkStart w:id="0" w:name="TANumber"/>
      <w:r w:rsidRPr="008D05C2">
        <w:t>P10_TA(2026)0</w:t>
      </w:r>
      <w:r w:rsidR="00055563">
        <w:t>241</w:t>
      </w:r>
      <w:bookmarkEnd w:id="0"/>
    </w:p>
    <w:p w14:paraId="4CB1CE86" w14:textId="29067010" w:rsidR="00BB55AC" w:rsidRPr="008D05C2" w:rsidRDefault="00BB55AC" w:rsidP="00BB55AC">
      <w:pPr>
        <w:pStyle w:val="ATHeading2"/>
      </w:pPr>
      <w:bookmarkStart w:id="1" w:name="title"/>
      <w:r w:rsidRPr="008D05C2">
        <w:t>Linja-autolla harjoitettava maanteiden kansainvälinen henkilöliikenne raja-alueilla: Itävallan ja Sveitsin</w:t>
      </w:r>
      <w:r w:rsidR="0089000B" w:rsidRPr="008D05C2">
        <w:t xml:space="preserve"> </w:t>
      </w:r>
      <w:r w:rsidRPr="008D05C2">
        <w:t>välinen kabotaasiliikenne</w:t>
      </w:r>
      <w:bookmarkEnd w:id="1"/>
    </w:p>
    <w:p w14:paraId="5C4CC245" w14:textId="77777777" w:rsidR="00BB55AC" w:rsidRPr="008D05C2" w:rsidRDefault="00BB55AC" w:rsidP="00BB55AC">
      <w:pPr>
        <w:rPr>
          <w:i/>
          <w:vanish/>
        </w:rPr>
      </w:pPr>
      <w:r w:rsidRPr="008D05C2">
        <w:rPr>
          <w:i/>
        </w:rPr>
        <w:fldChar w:fldCharType="begin"/>
      </w:r>
      <w:r w:rsidRPr="008D05C2">
        <w:rPr>
          <w:i/>
        </w:rPr>
        <w:instrText xml:space="preserve"> TC"(</w:instrText>
      </w:r>
      <w:bookmarkStart w:id="2" w:name="DocNumber"/>
      <w:r w:rsidRPr="008D05C2">
        <w:rPr>
          <w:i/>
        </w:rPr>
        <w:instrText>A10-0174/2026</w:instrText>
      </w:r>
      <w:bookmarkEnd w:id="2"/>
      <w:r w:rsidRPr="008D05C2">
        <w:rPr>
          <w:i/>
        </w:rPr>
        <w:instrText xml:space="preserve"> - Esittelijä: Elissavet Vozemberg-Vrionidi)"\l3 \n&gt; \* MERGEFORMAT </w:instrText>
      </w:r>
      <w:r w:rsidRPr="008D05C2">
        <w:rPr>
          <w:i/>
        </w:rPr>
        <w:fldChar w:fldCharType="end"/>
      </w:r>
    </w:p>
    <w:p w14:paraId="07C5B7DF" w14:textId="77777777" w:rsidR="00BB55AC" w:rsidRPr="008D05C2" w:rsidRDefault="00BB55AC" w:rsidP="00BB55AC">
      <w:pPr>
        <w:rPr>
          <w:vanish/>
        </w:rPr>
      </w:pPr>
      <w:bookmarkStart w:id="3" w:name="Commission"/>
      <w:r w:rsidRPr="008D05C2">
        <w:rPr>
          <w:vanish/>
        </w:rPr>
        <w:t>Liikenne- ja matkailuvaliokunta</w:t>
      </w:r>
      <w:bookmarkEnd w:id="3"/>
    </w:p>
    <w:p w14:paraId="472BA194" w14:textId="77777777" w:rsidR="00BB55AC" w:rsidRPr="008D05C2" w:rsidRDefault="00BB55AC" w:rsidP="00BB55AC">
      <w:pPr>
        <w:rPr>
          <w:vanish/>
        </w:rPr>
      </w:pPr>
      <w:bookmarkStart w:id="4" w:name="PE"/>
      <w:r w:rsidRPr="008D05C2">
        <w:rPr>
          <w:vanish/>
        </w:rPr>
        <w:t>PE785.404</w:t>
      </w:r>
      <w:bookmarkEnd w:id="4"/>
    </w:p>
    <w:p w14:paraId="6FE2941D" w14:textId="730175A6" w:rsidR="00BB55AC" w:rsidRPr="008D05C2" w:rsidRDefault="00BB55AC" w:rsidP="00BB55AC">
      <w:pPr>
        <w:pStyle w:val="ATHeading3"/>
      </w:pPr>
      <w:bookmarkStart w:id="5" w:name="Sujet"/>
      <w:r w:rsidRPr="008D05C2">
        <w:t xml:space="preserve">Euroopan parlamentin lainsäädäntöpäätöslauselma </w:t>
      </w:r>
      <w:r w:rsidR="00BD62FD" w:rsidRPr="008D05C2">
        <w:t>7</w:t>
      </w:r>
      <w:r w:rsidRPr="008D05C2">
        <w:t>. heinäkuuta 2026 ehdotuksesta Euroopan parlamentin ja neuvoston päätökseksi Itävallan valtuuttamisesta muuttamaan Sveitsin kanssa tekemäänsä kahdenvälistä tieliikennesopimusta kabotaasiliikenteen sallimiseksi linja-autolla harjoitettavan maanteiden kansainvälisen henkilöliikenteen yhteydessä näiden kahden maan välisillä raja-alueilla</w:t>
      </w:r>
      <w:bookmarkEnd w:id="5"/>
      <w:r w:rsidRPr="008D05C2">
        <w:t xml:space="preserve"> </w:t>
      </w:r>
      <w:bookmarkStart w:id="6" w:name="References"/>
      <w:r w:rsidRPr="008D05C2">
        <w:t>(COM(2025)0773 – C10-0367/2025 – 2025/0407(COD))</w:t>
      </w:r>
      <w:bookmarkEnd w:id="6"/>
    </w:p>
    <w:p w14:paraId="29806351" w14:textId="77777777" w:rsidR="007F0F1F" w:rsidRPr="008D05C2" w:rsidRDefault="007F0F1F" w:rsidP="007F0F1F">
      <w:pPr>
        <w:pStyle w:val="NormalBold"/>
      </w:pPr>
      <w:r w:rsidRPr="008D05C2">
        <w:t>(Tavallinen lainsäätämisjärjestys: ensimmäinen käsittely)</w:t>
      </w:r>
    </w:p>
    <w:p w14:paraId="3D6ED9F7" w14:textId="77777777" w:rsidR="007F0F1F" w:rsidRPr="008D05C2" w:rsidRDefault="007F0F1F" w:rsidP="00561810">
      <w:pPr>
        <w:pStyle w:val="EPComma"/>
        <w:widowControl/>
      </w:pPr>
      <w:r w:rsidRPr="008D05C2">
        <w:rPr>
          <w:i/>
          <w:iCs/>
        </w:rPr>
        <w:t>Euroopan parlamentti</w:t>
      </w:r>
      <w:r w:rsidRPr="008D05C2">
        <w:t>, joka</w:t>
      </w:r>
    </w:p>
    <w:p w14:paraId="60ACB3C4" w14:textId="77777777" w:rsidR="007F0F1F" w:rsidRPr="008D05C2" w:rsidRDefault="007F0F1F" w:rsidP="00561810">
      <w:pPr>
        <w:pStyle w:val="NormalHanging12a"/>
        <w:widowControl/>
      </w:pPr>
      <w:r w:rsidRPr="008D05C2">
        <w:t>–</w:t>
      </w:r>
      <w:r w:rsidRPr="008D05C2">
        <w:tab/>
        <w:t>ottaa huomioon komission ehdotuksen Euroopan parlamentille ja neuvostolle (COM(2025)0773),</w:t>
      </w:r>
    </w:p>
    <w:p w14:paraId="5C795AA4" w14:textId="77777777" w:rsidR="007F0F1F" w:rsidRPr="008D05C2" w:rsidRDefault="007F0F1F" w:rsidP="00561810">
      <w:pPr>
        <w:pStyle w:val="NormalHanging12a"/>
        <w:widowControl/>
      </w:pPr>
      <w:r w:rsidRPr="008D05C2">
        <w:t>–</w:t>
      </w:r>
      <w:r w:rsidRPr="008D05C2">
        <w:tab/>
        <w:t>ottaa huomioon Euroopan unionin toiminnasta tehdyn sopimuksen 294 artiklan 2 kohdan sekä 2 artiklan 1 kohdan ja 91 artiklan, joiden mukaisesti komissio on antanut ehdotuksen Euroopan parlamentille (C10</w:t>
      </w:r>
      <w:r w:rsidRPr="008D05C2">
        <w:noBreakHyphen/>
        <w:t>0367/2025),</w:t>
      </w:r>
    </w:p>
    <w:p w14:paraId="369729C2" w14:textId="77777777" w:rsidR="007F0F1F" w:rsidRPr="008D05C2" w:rsidRDefault="007F0F1F" w:rsidP="00561810">
      <w:pPr>
        <w:pStyle w:val="NormalHanging12a"/>
        <w:widowControl/>
      </w:pPr>
      <w:r w:rsidRPr="008D05C2">
        <w:t>–</w:t>
      </w:r>
      <w:r w:rsidRPr="008D05C2">
        <w:tab/>
        <w:t>ottaa huomioon Euroopan unionin toiminnasta tehdyn sopimuksen 294 artiklan 3 kohdan,</w:t>
      </w:r>
    </w:p>
    <w:p w14:paraId="44C17516" w14:textId="35DE24B4" w:rsidR="006D6C07" w:rsidRPr="008D05C2" w:rsidRDefault="006D6C07" w:rsidP="006D6C07">
      <w:pPr>
        <w:pStyle w:val="NormalHanging12a"/>
        <w:widowControl/>
      </w:pPr>
      <w:r w:rsidRPr="008D05C2">
        <w:rPr>
          <w:szCs w:val="24"/>
        </w:rPr>
        <w:t>–</w:t>
      </w:r>
      <w:r w:rsidRPr="008D05C2">
        <w:rPr>
          <w:szCs w:val="24"/>
        </w:rPr>
        <w:tab/>
        <w:t>ottaa huomioon neuvoston edustajan 10. kesäkuuta 2026 päivätyllä kirjeellä antaman sitoumuksen hyväksyä Euroopan parlamentin kanta Euroopan unionin toiminnasta tehdyn sopimuksen 294 artiklan 4 kohdan mukaisesti,</w:t>
      </w:r>
    </w:p>
    <w:p w14:paraId="6029CBB2" w14:textId="77777777" w:rsidR="007F0F1F" w:rsidRPr="008D05C2" w:rsidRDefault="007F0F1F" w:rsidP="00561810">
      <w:pPr>
        <w:pStyle w:val="NormalHanging12a"/>
        <w:widowControl/>
      </w:pPr>
      <w:r w:rsidRPr="008D05C2">
        <w:t>–</w:t>
      </w:r>
      <w:r w:rsidRPr="008D05C2">
        <w:tab/>
        <w:t>ottaa huomioon oikeudellisten asioiden valiokunnan lausunnon ehdotetusta oikeusperustasta,</w:t>
      </w:r>
    </w:p>
    <w:p w14:paraId="3E784BCC" w14:textId="77777777" w:rsidR="007F0F1F" w:rsidRPr="008D05C2" w:rsidRDefault="007F0F1F" w:rsidP="00561810">
      <w:pPr>
        <w:pStyle w:val="NormalHanging12a"/>
        <w:widowControl/>
      </w:pPr>
      <w:r w:rsidRPr="008D05C2">
        <w:t>–</w:t>
      </w:r>
      <w:r w:rsidRPr="008D05C2">
        <w:tab/>
        <w:t>ottaa huomioon Euroopan talous- ja sosiaalikomitean 21. tammikuuta 2026 antaman lausunnon</w:t>
      </w:r>
      <w:r w:rsidRPr="008D05C2">
        <w:rPr>
          <w:vertAlign w:val="superscript"/>
        </w:rPr>
        <w:footnoteReference w:id="1"/>
      </w:r>
      <w:r w:rsidRPr="008D05C2">
        <w:t>,</w:t>
      </w:r>
    </w:p>
    <w:p w14:paraId="2800ACAC" w14:textId="77777777" w:rsidR="007F0F1F" w:rsidRPr="008D05C2" w:rsidRDefault="007F0F1F" w:rsidP="00561810">
      <w:pPr>
        <w:pStyle w:val="NormalHanging12a"/>
        <w:widowControl/>
      </w:pPr>
      <w:r w:rsidRPr="008D05C2">
        <w:t>–</w:t>
      </w:r>
      <w:r w:rsidRPr="008D05C2">
        <w:tab/>
        <w:t>on kuullut alueiden komiteaa,</w:t>
      </w:r>
    </w:p>
    <w:p w14:paraId="3CED1AFA" w14:textId="77777777" w:rsidR="007F0F1F" w:rsidRPr="008D05C2" w:rsidRDefault="007F0F1F" w:rsidP="00561810">
      <w:pPr>
        <w:pStyle w:val="NormalHanging12a"/>
        <w:widowControl/>
      </w:pPr>
      <w:r w:rsidRPr="008D05C2">
        <w:t>–</w:t>
      </w:r>
      <w:r w:rsidRPr="008D05C2">
        <w:tab/>
        <w:t>ottaa huomioon työjärjestyksen 60 ja 41 artiklan,</w:t>
      </w:r>
    </w:p>
    <w:p w14:paraId="6F30B026" w14:textId="77777777" w:rsidR="007F0F1F" w:rsidRPr="008D05C2" w:rsidRDefault="007F0F1F" w:rsidP="00561810">
      <w:pPr>
        <w:pStyle w:val="NormalHanging12a"/>
        <w:widowControl/>
      </w:pPr>
      <w:r w:rsidRPr="008D05C2">
        <w:t>–</w:t>
      </w:r>
      <w:r w:rsidRPr="008D05C2">
        <w:tab/>
        <w:t>ottaa huomioon liikenne- ja matkailuvaliokunnan mietinnön (A10-0174/2026),</w:t>
      </w:r>
    </w:p>
    <w:p w14:paraId="39E29F03" w14:textId="77777777" w:rsidR="007F0F1F" w:rsidRPr="008D05C2" w:rsidRDefault="007F0F1F" w:rsidP="00561810">
      <w:pPr>
        <w:pStyle w:val="NormalHanging12a"/>
        <w:widowControl/>
      </w:pPr>
      <w:r w:rsidRPr="008D05C2">
        <w:lastRenderedPageBreak/>
        <w:t>1.</w:t>
      </w:r>
      <w:r w:rsidRPr="008D05C2">
        <w:tab/>
        <w:t>vahvistaa jäljempänä esitetyn ensimmäisen käsittelyn kannan;</w:t>
      </w:r>
    </w:p>
    <w:p w14:paraId="77B847D4" w14:textId="77777777" w:rsidR="00BD62FD" w:rsidRPr="008D05C2" w:rsidRDefault="007F0F1F" w:rsidP="00BD62FD">
      <w:pPr>
        <w:pStyle w:val="NormalHanging12a"/>
        <w:widowControl/>
        <w:sectPr w:rsidR="00BD62FD" w:rsidRPr="008D05C2" w:rsidSect="004C7909">
          <w:footnotePr>
            <w:numRestart w:val="eachSect"/>
          </w:footnotePr>
          <w:endnotePr>
            <w:numFmt w:val="decimal"/>
          </w:endnotePr>
          <w:pgSz w:w="11906" w:h="16838" w:code="9"/>
          <w:pgMar w:top="1134" w:right="1418" w:bottom="1418" w:left="1418" w:header="1134" w:footer="567" w:gutter="0"/>
          <w:cols w:space="720"/>
          <w:noEndnote/>
          <w:docGrid w:linePitch="326"/>
        </w:sectPr>
      </w:pPr>
      <w:r w:rsidRPr="008D05C2">
        <w:t>2.</w:t>
      </w:r>
      <w:r w:rsidRPr="008D05C2">
        <w:tab/>
        <w:t>kehottaa puhemiestä välittämään parlamentin kannan neuvostolle ja komissiolle sekä kansallisille parlamenteille.</w:t>
      </w:r>
    </w:p>
    <w:p w14:paraId="55E5E694" w14:textId="45E2FA44" w:rsidR="006D6C07" w:rsidRPr="008D05C2" w:rsidRDefault="006D6C07" w:rsidP="008E1563">
      <w:pPr>
        <w:pStyle w:val="NormalHanging12a"/>
        <w:widowControl/>
        <w:rPr>
          <w:rFonts w:eastAsia="Calibri"/>
          <w:b/>
          <w:bCs/>
          <w:color w:val="000000"/>
          <w:szCs w:val="24"/>
        </w:rPr>
      </w:pPr>
      <w:r w:rsidRPr="008D05C2">
        <w:rPr>
          <w:rFonts w:eastAsia="Calibri"/>
          <w:b/>
          <w:bCs/>
          <w:color w:val="000000"/>
          <w:szCs w:val="24"/>
        </w:rPr>
        <w:lastRenderedPageBreak/>
        <w:t>P10_TC1-COD(2025)0407</w:t>
      </w:r>
    </w:p>
    <w:p w14:paraId="448DA331" w14:textId="11E6BF6A" w:rsidR="006D6C07" w:rsidRPr="008D05C2" w:rsidRDefault="006D6C07" w:rsidP="006D6C07">
      <w:pPr>
        <w:spacing w:after="240"/>
        <w:rPr>
          <w:rFonts w:eastAsia="Calibri"/>
          <w:b/>
          <w:noProof/>
          <w:szCs w:val="22"/>
          <w:lang w:eastAsia="en-US"/>
        </w:rPr>
      </w:pPr>
      <w:r w:rsidRPr="008D05C2">
        <w:rPr>
          <w:b/>
          <w:szCs w:val="24"/>
        </w:rPr>
        <w:t xml:space="preserve">Euroopan parlamentin kanta, vahvistettu ensimmäisessä käsittelyssä 7. heinäkuuta 2026, Euroopan parlamentin ja neuvoston päätöksen (EU) 2026/… antamiseksi </w:t>
      </w:r>
      <w:r w:rsidRPr="008D05C2">
        <w:rPr>
          <w:rFonts w:eastAsia="Calibri"/>
          <w:b/>
          <w:noProof/>
          <w:szCs w:val="22"/>
          <w:lang w:eastAsia="en-US"/>
        </w:rPr>
        <w:t>Itävallan valtuuttamisesta muuttamaan Sveitsin kanssa tekemäänsä kahdenvälistä maantieliikennesopimusta kabotaasiliikenteen sallimiseksi linja-autolla harjoitettavan kansainvälisen henkilöliikenteen yhteydessä näiden kahden maan välisillä raja-alueilla</w:t>
      </w:r>
    </w:p>
    <w:p w14:paraId="08BA5C21" w14:textId="77777777" w:rsidR="006D6C07" w:rsidRPr="008D05C2" w:rsidRDefault="006D6C07" w:rsidP="006D6C07">
      <w:pPr>
        <w:keepNext/>
        <w:autoSpaceDE w:val="0"/>
        <w:autoSpaceDN w:val="0"/>
        <w:adjustRightInd w:val="0"/>
        <w:spacing w:before="600" w:after="120" w:line="360" w:lineRule="auto"/>
        <w:rPr>
          <w:noProof/>
          <w:szCs w:val="22"/>
        </w:rPr>
      </w:pPr>
      <w:r w:rsidRPr="008D05C2">
        <w:rPr>
          <w:noProof/>
          <w:szCs w:val="22"/>
        </w:rPr>
        <w:t>EUROOPAN PARLAMENTTI JA EUROOPAN UNIONIN NEUVOSTO, jotka</w:t>
      </w:r>
    </w:p>
    <w:p w14:paraId="706D22D8" w14:textId="4943C8DC" w:rsidR="006D6C07" w:rsidRPr="008D05C2" w:rsidRDefault="006D6C07" w:rsidP="006D6C07">
      <w:pPr>
        <w:spacing w:before="120" w:after="120" w:line="360" w:lineRule="auto"/>
        <w:rPr>
          <w:noProof/>
          <w:lang w:eastAsia="fr-BE"/>
        </w:rPr>
      </w:pPr>
      <w:r w:rsidRPr="008D05C2">
        <w:rPr>
          <w:noProof/>
          <w:lang w:eastAsia="fr-BE"/>
        </w:rPr>
        <w:t xml:space="preserve">ottavat huomioon Euroopan unionin toiminnasta tehdyn sopimuksen ja erityisesti sen </w:t>
      </w:r>
      <w:r w:rsidRPr="008D05C2">
        <w:rPr>
          <w:b/>
          <w:bCs/>
          <w:i/>
          <w:iCs/>
          <w:noProof/>
          <w:lang w:eastAsia="fr-BE"/>
        </w:rPr>
        <w:t>91 artiklan</w:t>
      </w:r>
      <w:r w:rsidRPr="008D05C2">
        <w:rPr>
          <w:noProof/>
          <w:lang w:eastAsia="fr-BE"/>
        </w:rPr>
        <w:t>,</w:t>
      </w:r>
    </w:p>
    <w:p w14:paraId="25DEB5E7" w14:textId="77777777" w:rsidR="006D6C07" w:rsidRPr="008D05C2" w:rsidRDefault="006D6C07" w:rsidP="006D6C07">
      <w:pPr>
        <w:spacing w:before="120" w:after="120" w:line="360" w:lineRule="auto"/>
        <w:rPr>
          <w:noProof/>
          <w:lang w:eastAsia="fr-BE"/>
        </w:rPr>
      </w:pPr>
      <w:r w:rsidRPr="008D05C2">
        <w:rPr>
          <w:noProof/>
          <w:lang w:eastAsia="fr-BE"/>
        </w:rPr>
        <w:t>ottavat huomioon Euroopan komission ehdotuksen,</w:t>
      </w:r>
    </w:p>
    <w:p w14:paraId="6BF51517" w14:textId="77777777" w:rsidR="006D6C07" w:rsidRPr="008D05C2" w:rsidRDefault="006D6C07" w:rsidP="006D6C07">
      <w:pPr>
        <w:spacing w:before="120" w:after="120" w:line="360" w:lineRule="auto"/>
        <w:rPr>
          <w:noProof/>
          <w:lang w:eastAsia="fr-BE"/>
        </w:rPr>
      </w:pPr>
      <w:r w:rsidRPr="008D05C2">
        <w:rPr>
          <w:noProof/>
          <w:lang w:eastAsia="fr-BE"/>
        </w:rPr>
        <w:t>sen jälkeen kun esitys lainsäätämisjärjestyksessä hyväksyttäväksi säädökseksi on toimitettu kansallisille parlamenteille,</w:t>
      </w:r>
    </w:p>
    <w:p w14:paraId="3436F9B5" w14:textId="77777777" w:rsidR="006D6C07" w:rsidRPr="008D05C2" w:rsidRDefault="006D6C07" w:rsidP="006D6C07">
      <w:pPr>
        <w:spacing w:before="120" w:after="120" w:line="360" w:lineRule="auto"/>
        <w:rPr>
          <w:noProof/>
          <w:lang w:eastAsia="fr-BE"/>
        </w:rPr>
      </w:pPr>
      <w:r w:rsidRPr="008D05C2">
        <w:rPr>
          <w:noProof/>
          <w:lang w:eastAsia="fr-BE"/>
        </w:rPr>
        <w:t>ottavat huomioon Euroopan talous- ja sosiaalikomitean lausunnon</w:t>
      </w:r>
      <w:r w:rsidRPr="008D05C2">
        <w:rPr>
          <w:b/>
          <w:noProof/>
          <w:vertAlign w:val="superscript"/>
          <w:lang w:eastAsia="fr-BE"/>
        </w:rPr>
        <w:footnoteReference w:id="2"/>
      </w:r>
      <w:r w:rsidRPr="008D05C2">
        <w:rPr>
          <w:noProof/>
          <w:lang w:eastAsia="fr-BE"/>
        </w:rPr>
        <w:t>,</w:t>
      </w:r>
    </w:p>
    <w:p w14:paraId="3C167364" w14:textId="77777777" w:rsidR="006D6C07" w:rsidRPr="008D05C2" w:rsidRDefault="006D6C07" w:rsidP="006D6C07">
      <w:pPr>
        <w:spacing w:before="120" w:after="120" w:line="360" w:lineRule="auto"/>
        <w:rPr>
          <w:noProof/>
          <w:lang w:eastAsia="fr-BE"/>
        </w:rPr>
      </w:pPr>
      <w:r w:rsidRPr="008D05C2">
        <w:rPr>
          <w:noProof/>
          <w:lang w:eastAsia="fr-BE"/>
        </w:rPr>
        <w:t>ovat kuulleet alueiden komiteaa,</w:t>
      </w:r>
    </w:p>
    <w:p w14:paraId="4455869D" w14:textId="77777777" w:rsidR="006D6C07" w:rsidRPr="008D05C2" w:rsidRDefault="006D6C07" w:rsidP="006D6C07">
      <w:pPr>
        <w:spacing w:before="120" w:after="120" w:line="360" w:lineRule="auto"/>
        <w:rPr>
          <w:noProof/>
          <w:lang w:eastAsia="fr-BE"/>
        </w:rPr>
      </w:pPr>
      <w:r w:rsidRPr="008D05C2">
        <w:rPr>
          <w:noProof/>
          <w:lang w:eastAsia="fr-BE"/>
        </w:rPr>
        <w:t>noudattavat tavallista lainsäätämisjärjestystä</w:t>
      </w:r>
      <w:r w:rsidRPr="008D05C2">
        <w:rPr>
          <w:b/>
          <w:noProof/>
          <w:vertAlign w:val="superscript"/>
          <w:lang w:eastAsia="fr-BE"/>
        </w:rPr>
        <w:footnoteReference w:id="3"/>
      </w:r>
      <w:r w:rsidRPr="008D05C2">
        <w:rPr>
          <w:noProof/>
          <w:lang w:eastAsia="fr-BE"/>
        </w:rPr>
        <w:t>,</w:t>
      </w:r>
    </w:p>
    <w:p w14:paraId="201A1339" w14:textId="77777777" w:rsidR="006D6C07" w:rsidRPr="008D05C2" w:rsidRDefault="006D6C07" w:rsidP="006D6C07">
      <w:pPr>
        <w:widowControl/>
        <w:spacing w:before="120" w:after="120" w:line="360" w:lineRule="auto"/>
        <w:rPr>
          <w:rFonts w:eastAsia="Calibri" w:cs="Arial"/>
          <w:szCs w:val="22"/>
          <w:lang w:eastAsia="en-US"/>
        </w:rPr>
      </w:pPr>
      <w:r w:rsidRPr="008D05C2">
        <w:rPr>
          <w:lang w:eastAsia="fr-BE"/>
        </w:rPr>
        <w:br w:type="page"/>
      </w:r>
    </w:p>
    <w:p w14:paraId="2360318C" w14:textId="77777777" w:rsidR="006D6C07" w:rsidRPr="008D05C2" w:rsidRDefault="006D6C07" w:rsidP="006D6C07">
      <w:pPr>
        <w:spacing w:line="360" w:lineRule="auto"/>
        <w:rPr>
          <w:noProof/>
          <w:lang w:eastAsia="fr-BE"/>
        </w:rPr>
      </w:pPr>
      <w:r w:rsidRPr="008D05C2">
        <w:rPr>
          <w:noProof/>
          <w:lang w:eastAsia="fr-BE"/>
        </w:rPr>
        <w:lastRenderedPageBreak/>
        <w:t>sekä katsovat seuraavaa:</w:t>
      </w:r>
    </w:p>
    <w:p w14:paraId="3C599868" w14:textId="77777777" w:rsidR="006D6C07" w:rsidRPr="008D05C2" w:rsidRDefault="006D6C07" w:rsidP="00994736">
      <w:pPr>
        <w:widowControl/>
        <w:spacing w:before="120" w:after="120" w:line="360" w:lineRule="auto"/>
        <w:ind w:left="851" w:hanging="851"/>
        <w:rPr>
          <w:rFonts w:eastAsia="Calibri"/>
          <w:noProof/>
          <w:szCs w:val="22"/>
          <w:lang w:eastAsia="en-US"/>
        </w:rPr>
      </w:pPr>
      <w:r w:rsidRPr="008D05C2">
        <w:rPr>
          <w:rFonts w:eastAsia="Calibri"/>
          <w:noProof/>
          <w:szCs w:val="22"/>
          <w:lang w:eastAsia="en-US"/>
        </w:rPr>
        <w:t>(1)</w:t>
      </w:r>
      <w:r w:rsidRPr="008D05C2">
        <w:rPr>
          <w:rFonts w:eastAsia="Calibri"/>
          <w:noProof/>
          <w:szCs w:val="22"/>
          <w:lang w:eastAsia="en-US"/>
        </w:rPr>
        <w:tab/>
        <w:t>Rautateiden ja maanteiden tavara- ja henkilöliikenteestä tehdyn Euroopan yhteisön ja Sveitsin valaliiton välisen sopimuksen</w:t>
      </w:r>
      <w:r w:rsidRPr="008D05C2">
        <w:rPr>
          <w:rFonts w:eastAsia="Calibri"/>
          <w:b/>
          <w:noProof/>
          <w:szCs w:val="22"/>
          <w:vertAlign w:val="superscript"/>
          <w:lang w:eastAsia="en-US"/>
        </w:rPr>
        <w:footnoteReference w:id="4"/>
      </w:r>
      <w:r w:rsidRPr="008D05C2">
        <w:rPr>
          <w:rFonts w:eastAsia="Calibri"/>
          <w:noProof/>
          <w:szCs w:val="22"/>
          <w:lang w:eastAsia="en-US"/>
        </w:rPr>
        <w:t>, jäljempänä ’EU:n ja Sveitsin välinen sopimus’, 20 artiklan 1 kohdan mukaan yhden EU:n ja Sveitsin välisen sopimuksen sopimuspuolen alueelle sijoittautuneen liikenteenharjoittajan linja-autolla harjoittama henkilöliikenne kahden sellaisen paikan välillä, jotka sijaitsevat toisen sopimuspuolen alueella, eli kabotaasi, ei ole sallittua.</w:t>
      </w:r>
    </w:p>
    <w:p w14:paraId="5438B1BC" w14:textId="77777777" w:rsidR="006D6C07" w:rsidRPr="008D05C2" w:rsidRDefault="006D6C07" w:rsidP="00994736">
      <w:pPr>
        <w:widowControl/>
        <w:spacing w:before="120" w:after="120" w:line="360" w:lineRule="auto"/>
        <w:ind w:left="851" w:hanging="851"/>
        <w:rPr>
          <w:rFonts w:eastAsia="Calibri"/>
          <w:noProof/>
          <w:szCs w:val="22"/>
          <w:lang w:eastAsia="en-US"/>
        </w:rPr>
      </w:pPr>
      <w:r w:rsidRPr="008D05C2">
        <w:rPr>
          <w:rFonts w:eastAsia="Calibri"/>
          <w:noProof/>
          <w:szCs w:val="22"/>
          <w:lang w:eastAsia="en-US"/>
        </w:rPr>
        <w:t>(2)</w:t>
      </w:r>
      <w:r w:rsidRPr="008D05C2">
        <w:rPr>
          <w:rFonts w:eastAsia="Calibri"/>
          <w:noProof/>
          <w:szCs w:val="22"/>
          <w:lang w:eastAsia="en-US"/>
        </w:rPr>
        <w:tab/>
        <w:t>EU:n ja Sveitsin välisen sopimuksen 20 artiklan 2 kohdan mukaan voimassa olevia kabotaasioikeuksia, jotka perustuvat sellaisiin jäsenvaltioiden ja Sveitsin tekemiin kahdenvälisiin sopimuksiin, jotka olivat voimassa EU:n ja Sveitsin välisen sopimuksen tekoajankohtana 21 päivänä kesäkuuta 1999, voidaan edelleen käyttää edellyttäen, että kaikkia unioniin sijoittautuneita liikenteenharjoittajia kohdellaan tasapuolisesti eikä kilpailu vääristy. Itävallan ja Sveitsin vuonna 22 päivänä lokakuuta 1958 tekemässä kahdenvälisessä tieliikennesopimuksessa</w:t>
      </w:r>
      <w:r w:rsidRPr="008D05C2">
        <w:rPr>
          <w:rFonts w:eastAsia="Calibri"/>
          <w:b/>
          <w:noProof/>
          <w:szCs w:val="22"/>
          <w:vertAlign w:val="superscript"/>
          <w:lang w:eastAsia="en-US"/>
        </w:rPr>
        <w:footnoteReference w:id="5"/>
      </w:r>
      <w:r w:rsidRPr="008D05C2">
        <w:rPr>
          <w:rFonts w:eastAsia="Calibri"/>
          <w:noProof/>
          <w:szCs w:val="22"/>
          <w:lang w:eastAsia="en-US"/>
        </w:rPr>
        <w:t>, jäljempänä ’Itävallan ja Sveitsin välinen sopimus’, ei sallita kabotaasiliikennettä linja-autolla harjoitettavan kansainvälisen henkilöliikenteen yhteydessä näiden kahden maan välillä. EU:n ja Sveitsin välisen sopimuksen 20 artiklan 2 kohdan soveltamisalaan kuuluviin oikeuksiin ei näin ollen sisälly oikeutta harjoittaa tällaista liikennettä.</w:t>
      </w:r>
    </w:p>
    <w:p w14:paraId="1E075EFA" w14:textId="77777777" w:rsidR="006D6C07" w:rsidRPr="008D05C2" w:rsidRDefault="006D6C07" w:rsidP="00994736">
      <w:pPr>
        <w:widowControl/>
        <w:spacing w:before="120" w:after="120" w:line="360" w:lineRule="auto"/>
        <w:ind w:left="851" w:hanging="851"/>
        <w:rPr>
          <w:rFonts w:eastAsia="Calibri" w:cs="Arial"/>
          <w:szCs w:val="22"/>
          <w:lang w:eastAsia="en-US"/>
        </w:rPr>
      </w:pPr>
      <w:r w:rsidRPr="008D05C2">
        <w:rPr>
          <w:lang w:eastAsia="fr-BE"/>
        </w:rPr>
        <w:br w:type="page"/>
      </w:r>
    </w:p>
    <w:p w14:paraId="1BD362F5" w14:textId="77777777" w:rsidR="006D6C07" w:rsidRPr="008D05C2" w:rsidRDefault="006D6C07" w:rsidP="00994736">
      <w:pPr>
        <w:widowControl/>
        <w:spacing w:before="120" w:after="120" w:line="360" w:lineRule="auto"/>
        <w:ind w:left="851" w:hanging="851"/>
        <w:rPr>
          <w:rFonts w:eastAsia="Calibri"/>
          <w:noProof/>
          <w:szCs w:val="22"/>
          <w:lang w:eastAsia="en-US"/>
        </w:rPr>
      </w:pPr>
      <w:r w:rsidRPr="008D05C2">
        <w:rPr>
          <w:rFonts w:eastAsia="Calibri"/>
          <w:noProof/>
          <w:szCs w:val="22"/>
          <w:lang w:eastAsia="en-US"/>
        </w:rPr>
        <w:lastRenderedPageBreak/>
        <w:t>(3)</w:t>
      </w:r>
      <w:r w:rsidRPr="008D05C2">
        <w:rPr>
          <w:rFonts w:eastAsia="Calibri"/>
          <w:noProof/>
          <w:szCs w:val="22"/>
          <w:lang w:eastAsia="en-US"/>
        </w:rPr>
        <w:tab/>
        <w:t>Kansainväliset sitoumukset, joiden nojalla Sveitsiin sijoittautuneet liikenteenharjoittajat voivat harjoittaa kabotaasiliikennettä unionissa, saattavat vaikuttaa EU:n ja Sveitsin välisen sopimuksen 20 artiklaan, koska kyseisessä säännöksessä ei sallita tällaista liikennettä.</w:t>
      </w:r>
    </w:p>
    <w:p w14:paraId="17880515" w14:textId="77777777" w:rsidR="006D6C07" w:rsidRPr="008D05C2" w:rsidRDefault="006D6C07" w:rsidP="00994736">
      <w:pPr>
        <w:widowControl/>
        <w:spacing w:before="120" w:after="120" w:line="360" w:lineRule="auto"/>
        <w:ind w:left="851" w:hanging="851"/>
        <w:rPr>
          <w:rFonts w:eastAsia="Calibri"/>
          <w:noProof/>
          <w:szCs w:val="22"/>
          <w:lang w:eastAsia="en-US"/>
        </w:rPr>
      </w:pPr>
      <w:r w:rsidRPr="008D05C2">
        <w:rPr>
          <w:rFonts w:eastAsia="Calibri"/>
          <w:noProof/>
          <w:szCs w:val="22"/>
          <w:lang w:eastAsia="en-US"/>
        </w:rPr>
        <w:t>(4)</w:t>
      </w:r>
      <w:r w:rsidRPr="008D05C2">
        <w:rPr>
          <w:rFonts w:eastAsia="Calibri"/>
          <w:noProof/>
          <w:szCs w:val="22"/>
          <w:lang w:eastAsia="en-US"/>
        </w:rPr>
        <w:tab/>
        <w:t>Lisäksi Euroopan parlamentin ja neuvoston asetuksen (EY) N:o 1073/2009</w:t>
      </w:r>
      <w:r w:rsidRPr="008D05C2">
        <w:rPr>
          <w:rFonts w:eastAsia="Calibri"/>
          <w:b/>
          <w:noProof/>
          <w:szCs w:val="22"/>
          <w:vertAlign w:val="superscript"/>
          <w:lang w:eastAsia="en-US"/>
        </w:rPr>
        <w:footnoteReference w:id="6"/>
      </w:r>
      <w:r w:rsidRPr="008D05C2">
        <w:rPr>
          <w:rFonts w:eastAsia="Calibri"/>
          <w:noProof/>
          <w:szCs w:val="22"/>
          <w:lang w:eastAsia="en-US"/>
        </w:rPr>
        <w:t xml:space="preserve"> mukaan ainoastaan sellaiset liikenteenharjoittajat, joilla on yhteisön liikennelupa, voivat tietyillä edellytyksillä harjoittaa kabotaasiliikennettä unionissa. Kansainväliset sitoumukset, joiden nojalla kolmansista maista olevat liikenteenharjoittajat, joilla ei ole tällaista lupaa, voivat harjoittaa tällaista liikennettä, saattavat vaikuttaa kyseiseen asetukseen.</w:t>
      </w:r>
    </w:p>
    <w:p w14:paraId="5837B352" w14:textId="77777777" w:rsidR="006D6C07" w:rsidRPr="008D05C2" w:rsidRDefault="006D6C07" w:rsidP="00994736">
      <w:pPr>
        <w:widowControl/>
        <w:spacing w:before="120" w:after="120" w:line="360" w:lineRule="auto"/>
        <w:ind w:left="851" w:hanging="851"/>
        <w:rPr>
          <w:rFonts w:eastAsia="Calibri"/>
          <w:noProof/>
          <w:szCs w:val="22"/>
          <w:lang w:eastAsia="en-US"/>
        </w:rPr>
      </w:pPr>
      <w:r w:rsidRPr="008D05C2">
        <w:rPr>
          <w:rFonts w:eastAsia="Calibri"/>
          <w:noProof/>
          <w:szCs w:val="22"/>
          <w:lang w:eastAsia="en-US"/>
        </w:rPr>
        <w:t>(5)</w:t>
      </w:r>
      <w:r w:rsidRPr="008D05C2">
        <w:rPr>
          <w:rFonts w:eastAsia="Calibri"/>
          <w:noProof/>
          <w:szCs w:val="22"/>
          <w:lang w:eastAsia="en-US"/>
        </w:rPr>
        <w:tab/>
        <w:t>Näin ollen tällaiset kansainväliset sitoumukset kuuluvat unionin yksinomaiseen ulkoiseen toimivaltaan. Jäsenvaltiot voivat neuvotella tai tehdä tällaisia sitoumuksia vain, jos unioni valtuuttaa ne siihen Euroopan unionin toiminnasta tehdyn sopimuksen 2 artiklan 1 kohdan mukaisesti.</w:t>
      </w:r>
    </w:p>
    <w:p w14:paraId="6BE72F92" w14:textId="77777777" w:rsidR="006D6C07" w:rsidRPr="008D05C2" w:rsidRDefault="006D6C07" w:rsidP="00994736">
      <w:pPr>
        <w:widowControl/>
        <w:spacing w:before="120" w:after="120" w:line="360" w:lineRule="auto"/>
        <w:ind w:left="851" w:hanging="851"/>
        <w:rPr>
          <w:rFonts w:eastAsia="Calibri" w:cs="Arial"/>
          <w:szCs w:val="22"/>
          <w:lang w:eastAsia="en-US"/>
        </w:rPr>
      </w:pPr>
      <w:r w:rsidRPr="008D05C2">
        <w:rPr>
          <w:lang w:eastAsia="fr-BE"/>
        </w:rPr>
        <w:br w:type="page"/>
      </w:r>
    </w:p>
    <w:p w14:paraId="1F18EBA0" w14:textId="0E9E91DA" w:rsidR="006D6C07" w:rsidRPr="008D05C2" w:rsidRDefault="006D6C07" w:rsidP="00994736">
      <w:pPr>
        <w:widowControl/>
        <w:spacing w:before="120" w:after="120" w:line="360" w:lineRule="auto"/>
        <w:ind w:left="851" w:hanging="851"/>
        <w:rPr>
          <w:rFonts w:eastAsia="Calibri"/>
          <w:noProof/>
          <w:szCs w:val="22"/>
          <w:lang w:eastAsia="en-US"/>
        </w:rPr>
      </w:pPr>
      <w:r w:rsidRPr="008D05C2">
        <w:rPr>
          <w:rFonts w:eastAsia="Calibri"/>
          <w:noProof/>
          <w:szCs w:val="22"/>
          <w:lang w:eastAsia="en-US"/>
        </w:rPr>
        <w:lastRenderedPageBreak/>
        <w:t>(6)</w:t>
      </w:r>
      <w:r w:rsidRPr="008D05C2">
        <w:rPr>
          <w:rFonts w:eastAsia="Calibri"/>
          <w:noProof/>
          <w:szCs w:val="22"/>
          <w:lang w:eastAsia="en-US"/>
        </w:rPr>
        <w:tab/>
        <w:t>Kabotaasiliikenne, jota harjoittavat unionissa sellaiset kolmansien maiden liikenteenharjoittajat, joilla ei ole asetuksessa (EY) N:o 1073/2009 säädettyä yhteisön liikennelupaa, vaikuttaa linja-autoliikenteen sisämarkkinoiden toimintaan, sellaisina kuin nämä markkinat on perustettu kyseisellä asetuksella. Sen vuoksi on tarpeen, että unionin lainsäätäjä antaa Euroopan unionin toiminnasta tehdyn sopimuksen 2 artiklan 1</w:t>
      </w:r>
      <w:r w:rsidR="00BD62FD" w:rsidRPr="008D05C2">
        <w:rPr>
          <w:rFonts w:eastAsia="Calibri"/>
          <w:noProof/>
          <w:szCs w:val="22"/>
          <w:lang w:eastAsia="en-US"/>
        </w:rPr>
        <w:t> </w:t>
      </w:r>
      <w:r w:rsidRPr="008D05C2">
        <w:rPr>
          <w:rFonts w:eastAsia="Calibri"/>
          <w:noProof/>
          <w:szCs w:val="22"/>
          <w:lang w:eastAsia="en-US"/>
        </w:rPr>
        <w:t>kohdan nojalla valtuudet Euroopan unionin toiminnasta tehdyn sopimuksen 91</w:t>
      </w:r>
      <w:r w:rsidR="00BD62FD" w:rsidRPr="008D05C2">
        <w:rPr>
          <w:rFonts w:eastAsia="Calibri"/>
          <w:noProof/>
          <w:szCs w:val="22"/>
          <w:lang w:eastAsia="en-US"/>
        </w:rPr>
        <w:t> </w:t>
      </w:r>
      <w:r w:rsidRPr="008D05C2">
        <w:rPr>
          <w:rFonts w:eastAsia="Calibri"/>
          <w:noProof/>
          <w:szCs w:val="22"/>
          <w:lang w:eastAsia="en-US"/>
        </w:rPr>
        <w:t>artiklassa tarkoitettua lainsäätämisjärjestystä noudattaen.</w:t>
      </w:r>
    </w:p>
    <w:p w14:paraId="1A142F12" w14:textId="77777777" w:rsidR="006D6C07" w:rsidRPr="008D05C2" w:rsidRDefault="006D6C07" w:rsidP="00994736">
      <w:pPr>
        <w:widowControl/>
        <w:spacing w:before="120" w:after="120" w:line="360" w:lineRule="auto"/>
        <w:ind w:left="851" w:hanging="851"/>
        <w:rPr>
          <w:rFonts w:eastAsia="Calibri"/>
          <w:noProof/>
          <w:szCs w:val="22"/>
          <w:lang w:eastAsia="en-US"/>
        </w:rPr>
      </w:pPr>
      <w:r w:rsidRPr="008D05C2">
        <w:rPr>
          <w:rFonts w:eastAsia="Calibri"/>
          <w:noProof/>
          <w:szCs w:val="22"/>
          <w:lang w:eastAsia="en-US"/>
        </w:rPr>
        <w:t>(7)</w:t>
      </w:r>
      <w:r w:rsidRPr="008D05C2">
        <w:rPr>
          <w:rFonts w:eastAsia="Calibri"/>
          <w:noProof/>
          <w:szCs w:val="22"/>
          <w:lang w:eastAsia="en-US"/>
        </w:rPr>
        <w:tab/>
        <w:t>Itävalta pyysi 17 päivänä maaliskuuta 2025 päivätyllä kirjeellä unionilta valtuuksia muuttaa Itävallan ja Sveitsin välistä sopimusta kabotaasiliikenteen sallimiseksi linja-autolla harjoitettavan kansainvälisen henkilöliikenteen yhteydessä Itävallan ja Sveitsin raja-alueilla</w:t>
      </w:r>
      <w:r w:rsidRPr="008D05C2">
        <w:rPr>
          <w:rFonts w:eastAsia="Calibri"/>
          <w:b/>
          <w:bCs/>
          <w:i/>
          <w:iCs/>
          <w:noProof/>
          <w:szCs w:val="22"/>
          <w:lang w:eastAsia="en-US"/>
        </w:rPr>
        <w:t>,</w:t>
      </w:r>
      <w:r w:rsidRPr="008D05C2">
        <w:rPr>
          <w:rFonts w:ascii="Segoe UI" w:hAnsi="Segoe UI" w:cs="Segoe UI"/>
          <w:b/>
          <w:bCs/>
          <w:i/>
          <w:iCs/>
          <w:color w:val="111111"/>
          <w:sz w:val="21"/>
          <w:szCs w:val="21"/>
          <w:lang w:eastAsia="fr-BE"/>
        </w:rPr>
        <w:t xml:space="preserve"> </w:t>
      </w:r>
      <w:r w:rsidRPr="008D05C2">
        <w:rPr>
          <w:rFonts w:eastAsia="Calibri"/>
          <w:b/>
          <w:bCs/>
          <w:i/>
          <w:iCs/>
          <w:noProof/>
          <w:szCs w:val="22"/>
          <w:lang w:eastAsia="en-US"/>
        </w:rPr>
        <w:t>mikä edistäisi alueellista yhteenkuuluvuutta</w:t>
      </w:r>
      <w:r w:rsidRPr="008D05C2">
        <w:rPr>
          <w:rFonts w:eastAsia="Calibri"/>
          <w:noProof/>
          <w:szCs w:val="22"/>
          <w:lang w:eastAsia="en-US"/>
        </w:rPr>
        <w:t>.</w:t>
      </w:r>
    </w:p>
    <w:p w14:paraId="135E8621" w14:textId="77777777" w:rsidR="006D6C07" w:rsidRPr="008D05C2" w:rsidRDefault="006D6C07" w:rsidP="00994736">
      <w:pPr>
        <w:widowControl/>
        <w:spacing w:before="120" w:after="120" w:line="360" w:lineRule="auto"/>
        <w:ind w:left="851" w:hanging="851"/>
        <w:rPr>
          <w:rFonts w:eastAsia="Calibri"/>
          <w:noProof/>
          <w:szCs w:val="22"/>
          <w:lang w:eastAsia="en-US"/>
        </w:rPr>
      </w:pPr>
      <w:r w:rsidRPr="008D05C2">
        <w:rPr>
          <w:rFonts w:eastAsia="Calibri"/>
          <w:noProof/>
          <w:szCs w:val="22"/>
          <w:lang w:eastAsia="en-US"/>
        </w:rPr>
        <w:t>(8)</w:t>
      </w:r>
      <w:r w:rsidRPr="008D05C2">
        <w:rPr>
          <w:rFonts w:eastAsia="Calibri"/>
          <w:noProof/>
          <w:szCs w:val="22"/>
          <w:lang w:eastAsia="en-US"/>
        </w:rPr>
        <w:tab/>
        <w:t>Kabotaasiliikenne antaa mahdollisuuden lisätä ajoneuvojen kuormausastetta, mikä parantaa linja-autoilla harjoitettavan maanteiden kansainvälisen henkilöliikenteen taloudellista tehokkuutta. Sen vuoksi on asianmukaista sallia tällainen liikenne linja-autoilla harjoitettavan kansainvälisen henkilöliikenteen yhteydessä Itävallan ja Sveitsin raja-alueilla. Tämä voisi tehostaa entisestään näiden raja-alueiden läheistä yhdentymistä.</w:t>
      </w:r>
    </w:p>
    <w:p w14:paraId="2C4C697F" w14:textId="77777777" w:rsidR="006D6C07" w:rsidRPr="008D05C2" w:rsidRDefault="006D6C07" w:rsidP="00994736">
      <w:pPr>
        <w:widowControl/>
        <w:spacing w:before="120" w:after="120" w:line="360" w:lineRule="auto"/>
        <w:ind w:left="851" w:hanging="851"/>
        <w:rPr>
          <w:rFonts w:eastAsia="Calibri" w:cs="Arial"/>
          <w:szCs w:val="22"/>
          <w:lang w:eastAsia="en-US"/>
        </w:rPr>
      </w:pPr>
      <w:r w:rsidRPr="008D05C2">
        <w:rPr>
          <w:lang w:eastAsia="fr-BE"/>
        </w:rPr>
        <w:br w:type="page"/>
      </w:r>
    </w:p>
    <w:p w14:paraId="0A77E7E2" w14:textId="74592685" w:rsidR="006D6C07" w:rsidRPr="008D05C2" w:rsidRDefault="006D6C07" w:rsidP="00994736">
      <w:pPr>
        <w:widowControl/>
        <w:spacing w:before="120" w:after="120" w:line="360" w:lineRule="auto"/>
        <w:ind w:left="851" w:hanging="851"/>
        <w:rPr>
          <w:rFonts w:eastAsia="Calibri"/>
          <w:noProof/>
          <w:szCs w:val="22"/>
          <w:lang w:eastAsia="en-US"/>
        </w:rPr>
      </w:pPr>
      <w:r w:rsidRPr="008D05C2">
        <w:rPr>
          <w:rFonts w:eastAsia="Calibri"/>
          <w:noProof/>
          <w:szCs w:val="22"/>
          <w:lang w:eastAsia="en-US"/>
        </w:rPr>
        <w:lastRenderedPageBreak/>
        <w:t>(9)</w:t>
      </w:r>
      <w:r w:rsidRPr="008D05C2">
        <w:rPr>
          <w:rFonts w:eastAsia="Calibri"/>
          <w:noProof/>
          <w:szCs w:val="22"/>
          <w:lang w:eastAsia="en-US"/>
        </w:rPr>
        <w:tab/>
        <w:t>Sen varmistamiseksi, että kyseinen kabotaasiliikenne ei muuta kohtuuttomasti asetuksella (EY) N:o 1073/2009 perustettujen linja-autoliikenteen sisämarkkinoiden toimintaa, tällaisen kabotaasiliikenteen sallimisen edellytyksenä olisi oltava, että kaikkia unionin liikenteenharjoittajia kohdellaan tasapuolisesti eikä kilpailu vääristy.</w:t>
      </w:r>
    </w:p>
    <w:p w14:paraId="35078C2A" w14:textId="77777777" w:rsidR="006D6C07" w:rsidRPr="008D05C2" w:rsidRDefault="006D6C07" w:rsidP="00994736">
      <w:pPr>
        <w:widowControl/>
        <w:spacing w:before="120" w:after="120" w:line="360" w:lineRule="auto"/>
        <w:ind w:left="851" w:hanging="851"/>
        <w:rPr>
          <w:rFonts w:eastAsia="Calibri"/>
          <w:noProof/>
          <w:szCs w:val="22"/>
          <w:lang w:eastAsia="en-US"/>
        </w:rPr>
      </w:pPr>
      <w:r w:rsidRPr="008D05C2">
        <w:rPr>
          <w:rFonts w:eastAsia="Calibri"/>
          <w:noProof/>
          <w:szCs w:val="22"/>
          <w:lang w:eastAsia="en-US"/>
        </w:rPr>
        <w:t>(10)</w:t>
      </w:r>
      <w:r w:rsidRPr="008D05C2">
        <w:rPr>
          <w:rFonts w:eastAsia="Calibri"/>
          <w:noProof/>
          <w:szCs w:val="22"/>
          <w:lang w:eastAsia="en-US"/>
        </w:rPr>
        <w:tab/>
        <w:t>Samasta syystä kabotaasiliikenne olisi sallittava ainoastaan Itävallan raja-alueilla Itävallan ja Sveitsin välisen linja-autolla harjoitettavan kansainvälisen henkilöliikenteen yhteydessä. Tätä varten on tarpeen määritellä tässä päätöksessä tarkoitetut Itävallan raja-alueet siten, että otetaan asianmukaisesti huomioon asetuksen (EY) N:o 1073/2009 toiminta ja mahdollistetaan samalla kyseisen liikenteen tehostuminen,</w:t>
      </w:r>
    </w:p>
    <w:p w14:paraId="7D98F089" w14:textId="77777777" w:rsidR="006D6C07" w:rsidRPr="008D05C2" w:rsidRDefault="006D6C07" w:rsidP="006D6C07">
      <w:pPr>
        <w:keepNext/>
        <w:widowControl/>
        <w:spacing w:before="120" w:after="120" w:line="360" w:lineRule="auto"/>
        <w:rPr>
          <w:rFonts w:eastAsia="Calibri"/>
          <w:noProof/>
          <w:szCs w:val="22"/>
          <w:lang w:eastAsia="en-US"/>
        </w:rPr>
      </w:pPr>
      <w:r w:rsidRPr="008D05C2">
        <w:rPr>
          <w:rFonts w:eastAsia="Calibri"/>
          <w:noProof/>
          <w:szCs w:val="22"/>
          <w:lang w:eastAsia="en-US"/>
        </w:rPr>
        <w:t>OVAT HYVÄKSYNEET TÄMÄN PÄÄTÖKSEN:</w:t>
      </w:r>
    </w:p>
    <w:p w14:paraId="6F50AA55" w14:textId="77777777" w:rsidR="006D6C07" w:rsidRPr="008D05C2" w:rsidRDefault="006D6C07" w:rsidP="006D6C07">
      <w:pPr>
        <w:widowControl/>
        <w:spacing w:before="120" w:after="120" w:line="360" w:lineRule="auto"/>
        <w:rPr>
          <w:rFonts w:eastAsia="Calibri" w:cs="Arial"/>
          <w:szCs w:val="22"/>
          <w:lang w:eastAsia="en-US"/>
        </w:rPr>
      </w:pPr>
      <w:r w:rsidRPr="008D05C2">
        <w:rPr>
          <w:lang w:eastAsia="fr-BE"/>
        </w:rPr>
        <w:br w:type="page"/>
      </w:r>
    </w:p>
    <w:p w14:paraId="04A374BF" w14:textId="77777777" w:rsidR="006D6C07" w:rsidRPr="008D05C2" w:rsidRDefault="006D6C07" w:rsidP="006D6C07">
      <w:pPr>
        <w:keepNext/>
        <w:widowControl/>
        <w:spacing w:before="360" w:after="120" w:line="360" w:lineRule="auto"/>
        <w:jc w:val="center"/>
        <w:rPr>
          <w:rFonts w:eastAsia="Calibri"/>
          <w:i/>
          <w:noProof/>
          <w:szCs w:val="22"/>
          <w:lang w:eastAsia="en-US"/>
        </w:rPr>
      </w:pPr>
      <w:r w:rsidRPr="008D05C2">
        <w:rPr>
          <w:rFonts w:eastAsia="Calibri"/>
          <w:i/>
          <w:noProof/>
          <w:szCs w:val="22"/>
          <w:lang w:eastAsia="en-US"/>
        </w:rPr>
        <w:lastRenderedPageBreak/>
        <w:t>1 artikla</w:t>
      </w:r>
    </w:p>
    <w:p w14:paraId="0DC26C3A" w14:textId="77777777" w:rsidR="006D6C07" w:rsidRPr="008D05C2" w:rsidRDefault="006D6C07" w:rsidP="00BD62FD">
      <w:pPr>
        <w:spacing w:before="120" w:after="120" w:line="360" w:lineRule="auto"/>
        <w:rPr>
          <w:noProof/>
          <w:lang w:eastAsia="fr-BE"/>
        </w:rPr>
      </w:pPr>
      <w:r w:rsidRPr="008D05C2">
        <w:rPr>
          <w:noProof/>
          <w:lang w:eastAsia="fr-BE"/>
        </w:rPr>
        <w:t>Valtuutetaan Itävalta muuttamaan Sveitsin kanssa 22 päivänä lokakuuta 1958 tekemäänsä kahdenvälistä maantieliikennesopimusta, jäljempänä ’Itävallan ja Sveitsin välinen sopimus’, kabotaasiliikenteen sallimiseksi Itävallan ja Sveitsin raja-alueilla näiden kahden maan välisen linja-autolla harjoitettavan kansainvälisen henkilöliikenteen yhteydessä edellyttäen, että kaikkia unioniin sijoittautuneita liikenteenharjoittajia kohdellaan tasapuolisesti eikä kilpailu vääristy.</w:t>
      </w:r>
    </w:p>
    <w:p w14:paraId="0A194CEC" w14:textId="77777777" w:rsidR="006D6C07" w:rsidRPr="008D05C2" w:rsidRDefault="006D6C07" w:rsidP="00BD62FD">
      <w:pPr>
        <w:spacing w:before="120" w:after="120" w:line="360" w:lineRule="auto"/>
        <w:rPr>
          <w:noProof/>
          <w:lang w:eastAsia="fr-BE"/>
        </w:rPr>
      </w:pPr>
      <w:r w:rsidRPr="008D05C2">
        <w:rPr>
          <w:noProof/>
          <w:lang w:eastAsia="fr-BE"/>
        </w:rPr>
        <w:t>Ensimmäisessä alakohdassa tarkoitettuja Itävallan raja-alueita ovat Bludenzin, Bregenzin, Dornbirnin ja Feldkirchin piirikunnat Vorarlbergin alueella ja Landeckin piirikunta Tirolin alueella.</w:t>
      </w:r>
    </w:p>
    <w:p w14:paraId="07A8B934" w14:textId="77777777" w:rsidR="006D6C07" w:rsidRPr="008D05C2" w:rsidRDefault="006D6C07" w:rsidP="006D6C07">
      <w:pPr>
        <w:widowControl/>
        <w:spacing w:before="120" w:after="120" w:line="360" w:lineRule="auto"/>
        <w:rPr>
          <w:rFonts w:eastAsia="Calibri" w:cs="Arial"/>
          <w:noProof/>
          <w:szCs w:val="22"/>
          <w:lang w:eastAsia="en-US"/>
        </w:rPr>
      </w:pPr>
      <w:r w:rsidRPr="008D05C2">
        <w:rPr>
          <w:noProof/>
          <w:lang w:eastAsia="fr-BE"/>
        </w:rPr>
        <w:br w:type="page"/>
      </w:r>
    </w:p>
    <w:p w14:paraId="6ED5AD98" w14:textId="77777777" w:rsidR="006D6C07" w:rsidRPr="008D05C2" w:rsidRDefault="006D6C07" w:rsidP="006D6C07">
      <w:pPr>
        <w:keepNext/>
        <w:widowControl/>
        <w:spacing w:before="360" w:after="120" w:line="360" w:lineRule="auto"/>
        <w:jc w:val="center"/>
        <w:rPr>
          <w:rFonts w:eastAsia="Calibri"/>
          <w:i/>
          <w:noProof/>
          <w:szCs w:val="22"/>
          <w:lang w:eastAsia="en-US"/>
        </w:rPr>
      </w:pPr>
      <w:r w:rsidRPr="008D05C2">
        <w:rPr>
          <w:rFonts w:eastAsia="Calibri"/>
          <w:i/>
          <w:noProof/>
          <w:szCs w:val="22"/>
          <w:lang w:eastAsia="en-US"/>
        </w:rPr>
        <w:lastRenderedPageBreak/>
        <w:t>2 artikla</w:t>
      </w:r>
    </w:p>
    <w:p w14:paraId="167198C8" w14:textId="15C20489" w:rsidR="006D6C07" w:rsidRPr="008D05C2" w:rsidRDefault="006D6C07" w:rsidP="00BD62FD">
      <w:pPr>
        <w:spacing w:before="120" w:after="120" w:line="360" w:lineRule="auto"/>
        <w:rPr>
          <w:noProof/>
          <w:lang w:eastAsia="fr-BE"/>
        </w:rPr>
      </w:pPr>
      <w:r w:rsidRPr="008D05C2">
        <w:rPr>
          <w:lang w:eastAsia="fr-BE"/>
        </w:rPr>
        <w:t>Itävallan on ilmoitettava komissiolle tämän</w:t>
      </w:r>
      <w:r w:rsidRPr="008D05C2">
        <w:rPr>
          <w:noProof/>
          <w:lang w:eastAsia="fr-BE"/>
        </w:rPr>
        <w:t xml:space="preserve"> päätöksen 1 artiklan mukaisesta Itävallan ja Sveitsin välisen sopimuksen muutoksesta ja annettava muutetun sopimuksen teksti tiedoksi komissiolle.</w:t>
      </w:r>
    </w:p>
    <w:p w14:paraId="3503ECB2" w14:textId="77777777" w:rsidR="006D6C07" w:rsidRPr="008D05C2" w:rsidRDefault="006D6C07" w:rsidP="00BD62FD">
      <w:pPr>
        <w:spacing w:before="120" w:after="120" w:line="360" w:lineRule="auto"/>
        <w:rPr>
          <w:noProof/>
          <w:lang w:eastAsia="fr-BE"/>
        </w:rPr>
      </w:pPr>
      <w:r w:rsidRPr="008D05C2">
        <w:rPr>
          <w:noProof/>
          <w:lang w:eastAsia="fr-BE"/>
        </w:rPr>
        <w:t>Komissio ilmoittaa asiasta Euroopan parlamentille ja neuvostolle.</w:t>
      </w:r>
    </w:p>
    <w:p w14:paraId="729C32EA" w14:textId="77777777" w:rsidR="006D6C07" w:rsidRPr="008D05C2" w:rsidRDefault="006D6C07" w:rsidP="006D6C07">
      <w:pPr>
        <w:keepNext/>
        <w:widowControl/>
        <w:spacing w:before="360" w:after="120" w:line="360" w:lineRule="auto"/>
        <w:jc w:val="center"/>
        <w:rPr>
          <w:rFonts w:eastAsia="Calibri"/>
          <w:i/>
          <w:noProof/>
          <w:szCs w:val="22"/>
          <w:lang w:eastAsia="en-US"/>
        </w:rPr>
      </w:pPr>
      <w:r w:rsidRPr="008D05C2">
        <w:rPr>
          <w:rFonts w:eastAsia="Calibri"/>
          <w:i/>
          <w:noProof/>
          <w:szCs w:val="22"/>
          <w:lang w:eastAsia="en-US"/>
        </w:rPr>
        <w:t>3 artikla</w:t>
      </w:r>
    </w:p>
    <w:p w14:paraId="6D5A3B6F" w14:textId="77777777" w:rsidR="006D6C07" w:rsidRPr="008D05C2" w:rsidRDefault="006D6C07" w:rsidP="00BD62FD">
      <w:pPr>
        <w:keepNext/>
        <w:keepLines/>
        <w:spacing w:before="120" w:after="120" w:line="360" w:lineRule="auto"/>
        <w:rPr>
          <w:noProof/>
          <w:lang w:eastAsia="fr-BE"/>
        </w:rPr>
      </w:pPr>
      <w:r w:rsidRPr="008D05C2">
        <w:rPr>
          <w:noProof/>
          <w:lang w:eastAsia="fr-BE"/>
        </w:rPr>
        <w:t>Tämä päätös on osoitettu Itävallan tasavallalle.</w:t>
      </w:r>
    </w:p>
    <w:p w14:paraId="39A6F80D" w14:textId="77777777" w:rsidR="006D6C07" w:rsidRPr="008D05C2" w:rsidRDefault="006D6C07" w:rsidP="006D6C07">
      <w:pPr>
        <w:keepNext/>
        <w:widowControl/>
        <w:spacing w:before="120" w:line="360" w:lineRule="auto"/>
        <w:rPr>
          <w:rFonts w:eastAsia="Calibri"/>
          <w:noProof/>
          <w:szCs w:val="22"/>
          <w:lang w:eastAsia="en-US"/>
        </w:rPr>
      </w:pPr>
      <w:r w:rsidRPr="008D05C2">
        <w:rPr>
          <w:rFonts w:eastAsia="Calibri"/>
          <w:noProof/>
          <w:szCs w:val="22"/>
          <w:lang w:eastAsia="en-US"/>
        </w:rPr>
        <w:t>Tehty … päivänä …kuuta …</w:t>
      </w:r>
    </w:p>
    <w:p w14:paraId="5586E5C2" w14:textId="77777777" w:rsidR="006D6C07" w:rsidRPr="008D05C2" w:rsidRDefault="006D6C07" w:rsidP="006D6C07">
      <w:pPr>
        <w:keepNext/>
        <w:widowControl/>
        <w:tabs>
          <w:tab w:val="left" w:pos="5669"/>
        </w:tabs>
        <w:spacing w:before="720" w:line="360" w:lineRule="auto"/>
        <w:rPr>
          <w:rFonts w:eastAsia="Calibri"/>
          <w:i/>
          <w:noProof/>
          <w:szCs w:val="22"/>
          <w:lang w:eastAsia="en-US"/>
        </w:rPr>
      </w:pPr>
      <w:r w:rsidRPr="008D05C2">
        <w:rPr>
          <w:rFonts w:eastAsia="Calibri"/>
          <w:i/>
          <w:noProof/>
          <w:szCs w:val="22"/>
          <w:lang w:eastAsia="en-US"/>
        </w:rPr>
        <w:t>Euroopan parlamentin puolesta</w:t>
      </w:r>
      <w:r w:rsidRPr="008D05C2">
        <w:rPr>
          <w:rFonts w:eastAsia="Calibri"/>
          <w:i/>
          <w:noProof/>
          <w:szCs w:val="22"/>
          <w:lang w:eastAsia="en-US"/>
        </w:rPr>
        <w:tab/>
        <w:t>Neuvoston puolesta</w:t>
      </w:r>
    </w:p>
    <w:p w14:paraId="332937EB" w14:textId="77777777" w:rsidR="006D6C07" w:rsidRPr="006D6C07" w:rsidRDefault="006D6C07" w:rsidP="006D6C07">
      <w:pPr>
        <w:spacing w:line="360" w:lineRule="auto"/>
        <w:ind w:left="5670" w:hanging="5670"/>
        <w:rPr>
          <w:i/>
          <w:iCs/>
          <w:lang w:eastAsia="fr-BE"/>
        </w:rPr>
      </w:pPr>
      <w:r w:rsidRPr="008D05C2">
        <w:rPr>
          <w:i/>
          <w:iCs/>
          <w:noProof/>
          <w:lang w:eastAsia="fr-BE"/>
        </w:rPr>
        <w:t>Puhemies</w:t>
      </w:r>
      <w:r w:rsidRPr="008D05C2">
        <w:rPr>
          <w:i/>
          <w:iCs/>
          <w:noProof/>
          <w:lang w:eastAsia="fr-BE"/>
        </w:rPr>
        <w:tab/>
        <w:t>Puheenjohtaja</w:t>
      </w:r>
    </w:p>
    <w:p w14:paraId="48E18EB0" w14:textId="1F7AD2DC" w:rsidR="007F0F1F" w:rsidRPr="004C7909" w:rsidRDefault="007F0F1F" w:rsidP="006D6C07"/>
    <w:sectPr w:rsidR="007F0F1F" w:rsidRPr="004C7909" w:rsidSect="004C790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98724" w14:textId="77777777" w:rsidR="00BB55AC" w:rsidRPr="004C7909" w:rsidRDefault="00BB55AC">
      <w:r w:rsidRPr="004C7909">
        <w:separator/>
      </w:r>
    </w:p>
  </w:endnote>
  <w:endnote w:type="continuationSeparator" w:id="0">
    <w:p w14:paraId="3DB131BD" w14:textId="77777777" w:rsidR="00BB55AC" w:rsidRPr="004C7909" w:rsidRDefault="00BB55AC">
      <w:r w:rsidRPr="004C79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4891D" w14:textId="77777777" w:rsidR="00BB55AC" w:rsidRPr="004C7909" w:rsidRDefault="00BB55AC">
      <w:r w:rsidRPr="004C7909">
        <w:separator/>
      </w:r>
    </w:p>
  </w:footnote>
  <w:footnote w:type="continuationSeparator" w:id="0">
    <w:p w14:paraId="493B1D41" w14:textId="77777777" w:rsidR="00BB55AC" w:rsidRPr="004C7909" w:rsidRDefault="00BB55AC">
      <w:r w:rsidRPr="004C7909">
        <w:continuationSeparator/>
      </w:r>
    </w:p>
  </w:footnote>
  <w:footnote w:id="1">
    <w:p w14:paraId="4A871EBE" w14:textId="6E6B2441" w:rsidR="007F0F1F" w:rsidRPr="00BD62FD" w:rsidRDefault="007F0F1F" w:rsidP="006D6C07">
      <w:pPr>
        <w:pStyle w:val="FootnoteText"/>
        <w:keepLines w:val="0"/>
        <w:ind w:left="567" w:hanging="567"/>
        <w:rPr>
          <w:sz w:val="24"/>
          <w:szCs w:val="24"/>
          <w:lang w:val="fi-FI"/>
        </w:rPr>
      </w:pPr>
      <w:r w:rsidRPr="00BD62FD">
        <w:rPr>
          <w:rStyle w:val="FootnoteReference"/>
          <w:sz w:val="24"/>
          <w:szCs w:val="24"/>
          <w:lang w:val="fi-FI"/>
        </w:rPr>
        <w:footnoteRef/>
      </w:r>
      <w:r w:rsidR="004C7909" w:rsidRPr="00BD62FD">
        <w:rPr>
          <w:sz w:val="24"/>
          <w:szCs w:val="24"/>
          <w:lang w:val="fi-FI"/>
        </w:rPr>
        <w:t xml:space="preserve"> </w:t>
      </w:r>
      <w:r w:rsidR="004C7909" w:rsidRPr="00BD62FD">
        <w:rPr>
          <w:sz w:val="24"/>
          <w:szCs w:val="24"/>
          <w:lang w:val="fi-FI"/>
        </w:rPr>
        <w:tab/>
      </w:r>
      <w:r w:rsidRPr="00BD62FD">
        <w:rPr>
          <w:sz w:val="24"/>
          <w:szCs w:val="24"/>
          <w:lang w:val="fi-FI"/>
        </w:rPr>
        <w:t xml:space="preserve">EUVL C, C/2026/1970, 28.4.2026, ELI: </w:t>
      </w:r>
      <w:r>
        <w:fldChar w:fldCharType="begin"/>
      </w:r>
      <w:r w:rsidRPr="00055563">
        <w:rPr>
          <w:lang w:val="fi-FI"/>
        </w:rPr>
        <w:instrText>HYPERLINK "http://data.europa.eu/eli/C/2026/1970/oj"</w:instrText>
      </w:r>
      <w:r>
        <w:fldChar w:fldCharType="separate"/>
      </w:r>
      <w:r w:rsidRPr="00BD62FD">
        <w:rPr>
          <w:rStyle w:val="Hyperlink"/>
          <w:sz w:val="24"/>
          <w:szCs w:val="24"/>
          <w:lang w:val="fi-FI"/>
        </w:rPr>
        <w:t>http://data.europa.eu/eli/C/2026/1970/oj</w:t>
      </w:r>
      <w:r>
        <w:fldChar w:fldCharType="end"/>
      </w:r>
      <w:r w:rsidR="006D6C07" w:rsidRPr="00BD62FD">
        <w:rPr>
          <w:sz w:val="24"/>
          <w:szCs w:val="24"/>
          <w:lang w:val="fi-FI"/>
        </w:rPr>
        <w:t>.</w:t>
      </w:r>
    </w:p>
  </w:footnote>
  <w:footnote w:id="2">
    <w:p w14:paraId="4F52F030" w14:textId="77777777" w:rsidR="006D6C07" w:rsidRPr="00BD62FD" w:rsidRDefault="006D6C07" w:rsidP="006D6C07">
      <w:pPr>
        <w:pStyle w:val="FootnoteText"/>
        <w:keepLines w:val="0"/>
        <w:ind w:left="851" w:hanging="851"/>
        <w:rPr>
          <w:color w:val="000000"/>
          <w:sz w:val="24"/>
          <w:szCs w:val="24"/>
          <w:lang w:val="fi-FI"/>
        </w:rPr>
      </w:pPr>
      <w:r w:rsidRPr="00BD62FD">
        <w:rPr>
          <w:rStyle w:val="FootnoteReference"/>
          <w:sz w:val="24"/>
          <w:szCs w:val="24"/>
        </w:rPr>
        <w:footnoteRef/>
      </w:r>
      <w:r w:rsidRPr="00BD62FD">
        <w:rPr>
          <w:sz w:val="24"/>
          <w:szCs w:val="24"/>
          <w:lang w:val="fi-FI"/>
        </w:rPr>
        <w:tab/>
        <w:t>EUVL C, C/2026/1970, 28.4.2026, ELI: http://data.europa.eu/eli/C/2026/1970/oj</w:t>
      </w:r>
      <w:r w:rsidRPr="00BD62FD">
        <w:rPr>
          <w:color w:val="000000"/>
          <w:sz w:val="24"/>
          <w:szCs w:val="24"/>
          <w:lang w:val="fi-FI"/>
        </w:rPr>
        <w:t>.</w:t>
      </w:r>
    </w:p>
  </w:footnote>
  <w:footnote w:id="3">
    <w:p w14:paraId="3BD535A8" w14:textId="65DA8046" w:rsidR="006D6C07" w:rsidRPr="00BD62FD" w:rsidRDefault="006D6C07" w:rsidP="006D6C07">
      <w:pPr>
        <w:pStyle w:val="FootnoteText"/>
        <w:keepLines w:val="0"/>
        <w:ind w:left="851" w:hanging="851"/>
        <w:rPr>
          <w:sz w:val="24"/>
          <w:szCs w:val="24"/>
          <w:lang w:val="fi-FI"/>
        </w:rPr>
      </w:pPr>
      <w:r w:rsidRPr="00BD62FD">
        <w:rPr>
          <w:rStyle w:val="FootnoteReference"/>
          <w:sz w:val="24"/>
          <w:szCs w:val="24"/>
        </w:rPr>
        <w:footnoteRef/>
      </w:r>
      <w:r w:rsidRPr="00BD62FD">
        <w:rPr>
          <w:sz w:val="24"/>
          <w:szCs w:val="24"/>
          <w:lang w:val="fi-FI"/>
        </w:rPr>
        <w:tab/>
      </w:r>
      <w:r w:rsidRPr="00BD62FD">
        <w:rPr>
          <w:color w:val="000000"/>
          <w:sz w:val="24"/>
          <w:szCs w:val="24"/>
          <w:lang w:val="fi-FI"/>
        </w:rPr>
        <w:t xml:space="preserve">Euroopan parlamentin kanta, vahvistettu </w:t>
      </w:r>
      <w:r w:rsidR="00BD62FD" w:rsidRPr="00BD62FD">
        <w:rPr>
          <w:color w:val="000000"/>
          <w:sz w:val="24"/>
          <w:szCs w:val="24"/>
          <w:lang w:val="fi-FI"/>
        </w:rPr>
        <w:t>7. heinäkuuta 2026</w:t>
      </w:r>
      <w:r w:rsidRPr="00BD62FD">
        <w:rPr>
          <w:color w:val="000000"/>
          <w:sz w:val="24"/>
          <w:szCs w:val="24"/>
          <w:lang w:val="fi-FI"/>
        </w:rPr>
        <w:t>.</w:t>
      </w:r>
    </w:p>
  </w:footnote>
  <w:footnote w:id="4">
    <w:p w14:paraId="7D784E29" w14:textId="77777777" w:rsidR="006D6C07" w:rsidRPr="00BD62FD" w:rsidRDefault="006D6C07" w:rsidP="006D6C07">
      <w:pPr>
        <w:pStyle w:val="FootnoteText"/>
        <w:keepLines w:val="0"/>
        <w:ind w:left="851" w:hanging="851"/>
        <w:rPr>
          <w:sz w:val="24"/>
          <w:szCs w:val="24"/>
          <w:lang w:val="da-DK"/>
        </w:rPr>
      </w:pPr>
      <w:r w:rsidRPr="00BD62FD">
        <w:rPr>
          <w:rStyle w:val="FootnoteReference"/>
          <w:sz w:val="24"/>
          <w:szCs w:val="24"/>
        </w:rPr>
        <w:footnoteRef/>
      </w:r>
      <w:r w:rsidRPr="00BD62FD">
        <w:rPr>
          <w:sz w:val="24"/>
          <w:szCs w:val="24"/>
          <w:lang w:val="da-DK"/>
        </w:rPr>
        <w:tab/>
        <w:t>EYVL L 114, 30.4.2002, s. 91, ELI: </w:t>
      </w:r>
      <w:bookmarkStart w:id="7" w:name="_cp_change_3"/>
      <w:r w:rsidRPr="00BD62FD">
        <w:rPr>
          <w:bCs/>
          <w:iCs/>
          <w:sz w:val="24"/>
          <w:szCs w:val="24"/>
          <w:u w:color="008000"/>
        </w:rPr>
        <w:fldChar w:fldCharType="begin"/>
      </w:r>
      <w:r w:rsidRPr="00BD62FD">
        <w:rPr>
          <w:bCs/>
          <w:iCs/>
          <w:sz w:val="24"/>
          <w:szCs w:val="24"/>
          <w:u w:color="008000"/>
          <w:lang w:val="da-DK"/>
        </w:rPr>
        <w:instrText>HYPERLINK "http://data.europa.eu/eli/agree_internation/2002/309(3)/oj"</w:instrText>
      </w:r>
      <w:r w:rsidRPr="00BD62FD">
        <w:rPr>
          <w:bCs/>
          <w:iCs/>
          <w:sz w:val="24"/>
          <w:szCs w:val="24"/>
          <w:u w:color="008000"/>
        </w:rPr>
      </w:r>
      <w:r w:rsidRPr="00BD62FD">
        <w:rPr>
          <w:bCs/>
          <w:iCs/>
          <w:sz w:val="24"/>
          <w:szCs w:val="24"/>
          <w:u w:color="008000"/>
        </w:rPr>
        <w:fldChar w:fldCharType="separate"/>
      </w:r>
      <w:r w:rsidRPr="00BD62FD">
        <w:rPr>
          <w:rStyle w:val="Hyperlink"/>
          <w:bCs/>
          <w:iCs/>
          <w:sz w:val="24"/>
          <w:szCs w:val="24"/>
          <w:lang w:val="da-DK"/>
        </w:rPr>
        <w:t>http://data.europa.eu/eli/agree_internation/2002/309(3)/oj</w:t>
      </w:r>
      <w:r w:rsidRPr="00BD62FD">
        <w:rPr>
          <w:bCs/>
          <w:iCs/>
          <w:sz w:val="24"/>
          <w:szCs w:val="24"/>
          <w:u w:color="008000"/>
        </w:rPr>
        <w:fldChar w:fldCharType="end"/>
      </w:r>
      <w:bookmarkEnd w:id="7"/>
      <w:r w:rsidRPr="00BD62FD">
        <w:rPr>
          <w:bCs/>
          <w:iCs/>
          <w:sz w:val="24"/>
          <w:szCs w:val="24"/>
          <w:lang w:val="da-DK"/>
        </w:rPr>
        <w:t>.</w:t>
      </w:r>
    </w:p>
  </w:footnote>
  <w:footnote w:id="5">
    <w:p w14:paraId="0B5B7CD3" w14:textId="77777777" w:rsidR="006D6C07" w:rsidRPr="00BD62FD" w:rsidRDefault="006D6C07" w:rsidP="006D6C07">
      <w:pPr>
        <w:pStyle w:val="FootnoteText"/>
        <w:keepLines w:val="0"/>
        <w:ind w:left="851" w:hanging="851"/>
        <w:rPr>
          <w:sz w:val="24"/>
          <w:szCs w:val="24"/>
          <w:lang w:val="fi-FI"/>
        </w:rPr>
      </w:pPr>
      <w:r w:rsidRPr="00BD62FD">
        <w:rPr>
          <w:rStyle w:val="FootnoteReference"/>
          <w:sz w:val="24"/>
          <w:szCs w:val="24"/>
        </w:rPr>
        <w:footnoteRef/>
      </w:r>
      <w:r w:rsidRPr="00BD62FD">
        <w:rPr>
          <w:sz w:val="24"/>
          <w:szCs w:val="24"/>
          <w:lang w:val="fi-FI"/>
        </w:rPr>
        <w:tab/>
      </w:r>
      <w:proofErr w:type="spellStart"/>
      <w:r w:rsidRPr="00BD62FD">
        <w:rPr>
          <w:sz w:val="24"/>
          <w:szCs w:val="24"/>
          <w:lang w:val="fi-FI"/>
        </w:rPr>
        <w:t>BGBl</w:t>
      </w:r>
      <w:proofErr w:type="spellEnd"/>
      <w:r w:rsidRPr="00BD62FD">
        <w:rPr>
          <w:sz w:val="24"/>
          <w:szCs w:val="24"/>
          <w:lang w:val="fi-FI"/>
        </w:rPr>
        <w:t>. (Itävalta) nro 123/1959.</w:t>
      </w:r>
    </w:p>
  </w:footnote>
  <w:footnote w:id="6">
    <w:p w14:paraId="4FD05CEE" w14:textId="77777777" w:rsidR="006D6C07" w:rsidRPr="00BD62FD" w:rsidRDefault="006D6C07" w:rsidP="006D6C07">
      <w:pPr>
        <w:pStyle w:val="FootnoteText"/>
        <w:keepLines w:val="0"/>
        <w:ind w:left="851" w:hanging="851"/>
        <w:rPr>
          <w:sz w:val="24"/>
          <w:szCs w:val="24"/>
          <w:lang w:val="fi-FI"/>
        </w:rPr>
      </w:pPr>
      <w:r w:rsidRPr="00BD62FD">
        <w:rPr>
          <w:rStyle w:val="FootnoteReference"/>
          <w:sz w:val="24"/>
          <w:szCs w:val="24"/>
        </w:rPr>
        <w:footnoteRef/>
      </w:r>
      <w:r w:rsidRPr="00BD62FD">
        <w:rPr>
          <w:sz w:val="24"/>
          <w:szCs w:val="24"/>
          <w:lang w:val="fi-FI"/>
        </w:rPr>
        <w:tab/>
        <w:t>Euroopan parlamentin ja neuvoston asetus (EY) N:o 1073/2009, annettu 21 päivänä lokakuuta 2009, kansainvälisen linja-autoliikenteen markkinoille pääsyä koskevista yhteisistä säännöistä ja asetuksen (EY) N:o 561/2006 muuttamisesta (EUVL L 300, 14.11.2009, s. 88, ELI: </w:t>
      </w:r>
      <w:bookmarkStart w:id="8" w:name="_cp_change_13"/>
      <w:r w:rsidRPr="00BD62FD">
        <w:rPr>
          <w:bCs/>
          <w:iCs/>
          <w:sz w:val="24"/>
          <w:szCs w:val="24"/>
          <w:u w:color="008000"/>
        </w:rPr>
        <w:fldChar w:fldCharType="begin"/>
      </w:r>
      <w:r w:rsidRPr="00BD62FD">
        <w:rPr>
          <w:bCs/>
          <w:iCs/>
          <w:sz w:val="24"/>
          <w:szCs w:val="24"/>
          <w:u w:color="008000"/>
          <w:lang w:val="fi-FI"/>
        </w:rPr>
        <w:instrText>HYPERLINK "http://data.europa.eu/eli/reg/2009/1073/oj"</w:instrText>
      </w:r>
      <w:r w:rsidRPr="00BD62FD">
        <w:rPr>
          <w:bCs/>
          <w:iCs/>
          <w:sz w:val="24"/>
          <w:szCs w:val="24"/>
          <w:u w:color="008000"/>
        </w:rPr>
      </w:r>
      <w:r w:rsidRPr="00BD62FD">
        <w:rPr>
          <w:bCs/>
          <w:iCs/>
          <w:sz w:val="24"/>
          <w:szCs w:val="24"/>
          <w:u w:color="008000"/>
        </w:rPr>
        <w:fldChar w:fldCharType="separate"/>
      </w:r>
      <w:r w:rsidRPr="00BD62FD">
        <w:rPr>
          <w:rStyle w:val="Hyperlink"/>
          <w:bCs/>
          <w:iCs/>
          <w:sz w:val="24"/>
          <w:szCs w:val="24"/>
          <w:lang w:val="fi-FI"/>
        </w:rPr>
        <w:t>http://data.europa.eu/eli/reg/2009/1073/oj</w:t>
      </w:r>
      <w:bookmarkEnd w:id="8"/>
      <w:r w:rsidRPr="00BD62FD">
        <w:rPr>
          <w:bCs/>
          <w:iCs/>
          <w:sz w:val="24"/>
          <w:szCs w:val="24"/>
          <w:u w:color="008000"/>
        </w:rPr>
        <w:fldChar w:fldCharType="end"/>
      </w:r>
      <w:r w:rsidRPr="00BD62FD">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9577682">
    <w:abstractNumId w:val="9"/>
  </w:num>
  <w:num w:numId="2" w16cid:durableId="293948797">
    <w:abstractNumId w:val="9"/>
  </w:num>
  <w:num w:numId="3" w16cid:durableId="485513758">
    <w:abstractNumId w:val="7"/>
  </w:num>
  <w:num w:numId="4" w16cid:durableId="1663698889">
    <w:abstractNumId w:val="7"/>
  </w:num>
  <w:num w:numId="5" w16cid:durableId="558128892">
    <w:abstractNumId w:val="6"/>
  </w:num>
  <w:num w:numId="6" w16cid:durableId="435446211">
    <w:abstractNumId w:val="6"/>
  </w:num>
  <w:num w:numId="7" w16cid:durableId="1270433577">
    <w:abstractNumId w:val="5"/>
  </w:num>
  <w:num w:numId="8" w16cid:durableId="1040857484">
    <w:abstractNumId w:val="5"/>
  </w:num>
  <w:num w:numId="9" w16cid:durableId="1669939733">
    <w:abstractNumId w:val="4"/>
  </w:num>
  <w:num w:numId="10" w16cid:durableId="1699356144">
    <w:abstractNumId w:val="4"/>
  </w:num>
  <w:num w:numId="11" w16cid:durableId="1944193343">
    <w:abstractNumId w:val="8"/>
  </w:num>
  <w:num w:numId="12" w16cid:durableId="968052242">
    <w:abstractNumId w:val="8"/>
  </w:num>
  <w:num w:numId="13" w16cid:durableId="1494226240">
    <w:abstractNumId w:val="3"/>
  </w:num>
  <w:num w:numId="14" w16cid:durableId="1791702368">
    <w:abstractNumId w:val="3"/>
  </w:num>
  <w:num w:numId="15" w16cid:durableId="423696328">
    <w:abstractNumId w:val="2"/>
  </w:num>
  <w:num w:numId="16" w16cid:durableId="1086879599">
    <w:abstractNumId w:val="2"/>
  </w:num>
  <w:num w:numId="17" w16cid:durableId="1198272899">
    <w:abstractNumId w:val="1"/>
  </w:num>
  <w:num w:numId="18" w16cid:durableId="1074936828">
    <w:abstractNumId w:val="1"/>
  </w:num>
  <w:num w:numId="19" w16cid:durableId="1025904888">
    <w:abstractNumId w:val="0"/>
  </w:num>
  <w:num w:numId="20" w16cid:durableId="447362231">
    <w:abstractNumId w:val="0"/>
  </w:num>
  <w:num w:numId="21" w16cid:durableId="902761749">
    <w:abstractNumId w:val="9"/>
  </w:num>
  <w:num w:numId="22" w16cid:durableId="1581481534">
    <w:abstractNumId w:val="7"/>
  </w:num>
  <w:num w:numId="23" w16cid:durableId="1314869240">
    <w:abstractNumId w:val="6"/>
  </w:num>
  <w:num w:numId="24" w16cid:durableId="1657687844">
    <w:abstractNumId w:val="5"/>
  </w:num>
  <w:num w:numId="25" w16cid:durableId="73430486">
    <w:abstractNumId w:val="4"/>
  </w:num>
  <w:num w:numId="26" w16cid:durableId="1714764295">
    <w:abstractNumId w:val="8"/>
  </w:num>
  <w:num w:numId="27" w16cid:durableId="386685571">
    <w:abstractNumId w:val="3"/>
  </w:num>
  <w:num w:numId="28" w16cid:durableId="889731545">
    <w:abstractNumId w:val="2"/>
  </w:num>
  <w:num w:numId="29" w16cid:durableId="1047147542">
    <w:abstractNumId w:val="1"/>
  </w:num>
  <w:num w:numId="30" w16cid:durableId="1023629190">
    <w:abstractNumId w:val="0"/>
  </w:num>
  <w:num w:numId="31" w16cid:durableId="2106268517">
    <w:abstractNumId w:val="9"/>
  </w:num>
  <w:num w:numId="32" w16cid:durableId="1269239863">
    <w:abstractNumId w:val="7"/>
  </w:num>
  <w:num w:numId="33" w16cid:durableId="1812671483">
    <w:abstractNumId w:val="6"/>
  </w:num>
  <w:num w:numId="34" w16cid:durableId="1275138798">
    <w:abstractNumId w:val="5"/>
  </w:num>
  <w:num w:numId="35" w16cid:durableId="1115827633">
    <w:abstractNumId w:val="4"/>
  </w:num>
  <w:num w:numId="36" w16cid:durableId="720638801">
    <w:abstractNumId w:val="8"/>
  </w:num>
  <w:num w:numId="37" w16cid:durableId="554244096">
    <w:abstractNumId w:val="3"/>
  </w:num>
  <w:num w:numId="38" w16cid:durableId="1372850526">
    <w:abstractNumId w:val="2"/>
  </w:num>
  <w:num w:numId="39" w16cid:durableId="1136070084">
    <w:abstractNumId w:val="1"/>
  </w:num>
  <w:num w:numId="40" w16cid:durableId="1844590385">
    <w:abstractNumId w:val="0"/>
  </w:num>
  <w:num w:numId="41" w16cid:durableId="203374481">
    <w:abstractNumId w:val="10"/>
  </w:num>
  <w:num w:numId="42" w16cid:durableId="1637833263">
    <w:abstractNumId w:val="10"/>
  </w:num>
  <w:num w:numId="43" w16cid:durableId="1839615507">
    <w:abstractNumId w:val="10"/>
  </w:num>
  <w:num w:numId="44" w16cid:durableId="8462925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FI"/>
    <w:docVar w:name="dvnumam" w:val="0"/>
    <w:docVar w:name="dvpe" w:val="785.404"/>
    <w:docVar w:name="dvrapporteur" w:val="Esittelijä: "/>
    <w:docVar w:name="dvstar" w:val="***I"/>
    <w:docVar w:name="dvtitre" w:val="Euroopan parlamentin lainsäädäntöpäätöslauselma xx. heinäkuuta 2026 ehdotuksesta Euroopan parlamentin ja neuvoston päätökseksi Itävallan valtuuttamisesta muuttamaan Sveitsin kanssa tekemäänsä kahdenvälistä tieliikennesopimusta kabotaasiliikenteen sallimiseksi linja-autolla harjoitettavan maanteiden kansainvälisen henkilöliikenteen yhteydessä näiden kahden maan välisillä raja-alueilla(COM(2025)0773 – C10-0367/2025 – 2025/0407(COD))"/>
  </w:docVars>
  <w:rsids>
    <w:rsidRoot w:val="00BB55AC"/>
    <w:rsid w:val="00002272"/>
    <w:rsid w:val="00055563"/>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7909"/>
    <w:rsid w:val="0050519A"/>
    <w:rsid w:val="005072A1"/>
    <w:rsid w:val="00514517"/>
    <w:rsid w:val="00545827"/>
    <w:rsid w:val="00560270"/>
    <w:rsid w:val="00561810"/>
    <w:rsid w:val="005C2568"/>
    <w:rsid w:val="005F1B17"/>
    <w:rsid w:val="006037C0"/>
    <w:rsid w:val="006631B6"/>
    <w:rsid w:val="00680577"/>
    <w:rsid w:val="006D6C07"/>
    <w:rsid w:val="006F74FA"/>
    <w:rsid w:val="00731ADD"/>
    <w:rsid w:val="00734777"/>
    <w:rsid w:val="00747932"/>
    <w:rsid w:val="00751A4A"/>
    <w:rsid w:val="00756632"/>
    <w:rsid w:val="00762C74"/>
    <w:rsid w:val="00786EC0"/>
    <w:rsid w:val="007C0586"/>
    <w:rsid w:val="007D1690"/>
    <w:rsid w:val="007E22AD"/>
    <w:rsid w:val="007F0F1F"/>
    <w:rsid w:val="00817416"/>
    <w:rsid w:val="00842779"/>
    <w:rsid w:val="00865F67"/>
    <w:rsid w:val="00881A7B"/>
    <w:rsid w:val="008840E5"/>
    <w:rsid w:val="00887B3E"/>
    <w:rsid w:val="0089000B"/>
    <w:rsid w:val="008C2AC6"/>
    <w:rsid w:val="008D05C2"/>
    <w:rsid w:val="008E1563"/>
    <w:rsid w:val="00930C23"/>
    <w:rsid w:val="0093193B"/>
    <w:rsid w:val="009509D8"/>
    <w:rsid w:val="00950B64"/>
    <w:rsid w:val="0097438A"/>
    <w:rsid w:val="00981893"/>
    <w:rsid w:val="00994736"/>
    <w:rsid w:val="009C1D2E"/>
    <w:rsid w:val="00A1687D"/>
    <w:rsid w:val="00A43E52"/>
    <w:rsid w:val="00A4678D"/>
    <w:rsid w:val="00A778C7"/>
    <w:rsid w:val="00AB441E"/>
    <w:rsid w:val="00AB6293"/>
    <w:rsid w:val="00AE0928"/>
    <w:rsid w:val="00AF3B82"/>
    <w:rsid w:val="00B12E95"/>
    <w:rsid w:val="00B22876"/>
    <w:rsid w:val="00B558F0"/>
    <w:rsid w:val="00BB55AC"/>
    <w:rsid w:val="00BD48FE"/>
    <w:rsid w:val="00BD62FD"/>
    <w:rsid w:val="00BD7BD8"/>
    <w:rsid w:val="00BE6ADC"/>
    <w:rsid w:val="00C05BFE"/>
    <w:rsid w:val="00C23CD4"/>
    <w:rsid w:val="00C61C0C"/>
    <w:rsid w:val="00C941CB"/>
    <w:rsid w:val="00CC2357"/>
    <w:rsid w:val="00CC518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8D5"/>
    <w:rsid w:val="00F5134D"/>
    <w:rsid w:val="00F72D46"/>
    <w:rsid w:val="00F74202"/>
    <w:rsid w:val="00F87713"/>
    <w:rsid w:val="00FB4360"/>
    <w:rsid w:val="00FD0C70"/>
    <w:rsid w:val="00FE413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D85BD"/>
  <w15:chartTrackingRefBased/>
  <w15:docId w15:val="{776CFAB6-8CE7-4957-A9B0-F2BF9ECDC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7F0F1F"/>
    <w:rPr>
      <w:b/>
    </w:rPr>
  </w:style>
  <w:style w:type="paragraph" w:customStyle="1" w:styleId="AmJustText">
    <w:name w:val="AmJustText"/>
    <w:basedOn w:val="Normal"/>
    <w:rsid w:val="007F0F1F"/>
    <w:pPr>
      <w:spacing w:after="240"/>
    </w:pPr>
    <w:rPr>
      <w:i/>
    </w:rPr>
  </w:style>
  <w:style w:type="paragraph" w:customStyle="1" w:styleId="NormalHanging12a">
    <w:name w:val="NormalHanging12a"/>
    <w:basedOn w:val="Normal"/>
    <w:rsid w:val="007F0F1F"/>
    <w:pPr>
      <w:spacing w:after="240"/>
      <w:ind w:left="567" w:hanging="567"/>
    </w:pPr>
  </w:style>
  <w:style w:type="paragraph" w:customStyle="1" w:styleId="AmJustTitle">
    <w:name w:val="AmJustTitle"/>
    <w:basedOn w:val="Normal"/>
    <w:next w:val="AmJustText"/>
    <w:rsid w:val="007F0F1F"/>
    <w:pPr>
      <w:keepNext/>
      <w:spacing w:before="240" w:after="240"/>
      <w:jc w:val="center"/>
    </w:pPr>
    <w:rPr>
      <w:i/>
    </w:rPr>
  </w:style>
  <w:style w:type="paragraph" w:customStyle="1" w:styleId="AmNumberTabs">
    <w:name w:val="AmNumberTabs"/>
    <w:basedOn w:val="Normal"/>
    <w:rsid w:val="007F0F1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F0F1F"/>
    <w:pPr>
      <w:spacing w:before="480" w:after="240"/>
    </w:pPr>
  </w:style>
  <w:style w:type="character" w:customStyle="1" w:styleId="Normal6Char">
    <w:name w:val="Normal6 Char"/>
    <w:basedOn w:val="DefaultParagraphFont"/>
    <w:link w:val="Normal6"/>
    <w:locked/>
    <w:rsid w:val="007F0F1F"/>
    <w:rPr>
      <w:sz w:val="24"/>
    </w:rPr>
  </w:style>
  <w:style w:type="paragraph" w:customStyle="1" w:styleId="Normal6">
    <w:name w:val="Normal6"/>
    <w:basedOn w:val="Normal"/>
    <w:link w:val="Normal6Char"/>
    <w:rsid w:val="007F0F1F"/>
    <w:pPr>
      <w:spacing w:after="120"/>
    </w:pPr>
    <w:rPr>
      <w:lang w:val="en-GB"/>
    </w:rPr>
  </w:style>
  <w:style w:type="character" w:customStyle="1" w:styleId="NormalBoldChar">
    <w:name w:val="NormalBold Char"/>
    <w:basedOn w:val="DefaultParagraphFont"/>
    <w:link w:val="NormalBold"/>
    <w:locked/>
    <w:rsid w:val="007F0F1F"/>
    <w:rPr>
      <w:b/>
      <w:sz w:val="24"/>
      <w:lang w:val="fi-FI"/>
    </w:rPr>
  </w:style>
  <w:style w:type="paragraph" w:customStyle="1" w:styleId="ColumnHeading">
    <w:name w:val="ColumnHeading"/>
    <w:basedOn w:val="Normal"/>
    <w:rsid w:val="007F0F1F"/>
    <w:pPr>
      <w:spacing w:after="240"/>
      <w:jc w:val="center"/>
    </w:pPr>
    <w:rPr>
      <w:i/>
    </w:rPr>
  </w:style>
  <w:style w:type="character" w:styleId="Hyperlink">
    <w:name w:val="Hyperlink"/>
    <w:basedOn w:val="DefaultParagraphFont"/>
    <w:rsid w:val="007F0F1F"/>
    <w:rPr>
      <w:color w:val="0563C1" w:themeColor="hyperlink"/>
      <w:u w:val="single"/>
    </w:rPr>
  </w:style>
  <w:style w:type="paragraph" w:styleId="Footer">
    <w:name w:val="footer"/>
    <w:basedOn w:val="Normal"/>
    <w:link w:val="FooterChar"/>
    <w:rsid w:val="00561810"/>
    <w:pPr>
      <w:tabs>
        <w:tab w:val="center" w:pos="4513"/>
        <w:tab w:val="right" w:pos="9026"/>
      </w:tabs>
    </w:pPr>
  </w:style>
  <w:style w:type="character" w:customStyle="1" w:styleId="FooterChar">
    <w:name w:val="Footer Char"/>
    <w:basedOn w:val="DefaultParagraphFont"/>
    <w:link w:val="Footer"/>
    <w:rsid w:val="00561810"/>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9C1D2E"/>
    <w:pPr>
      <w:widowControl/>
      <w:spacing w:after="160" w:line="240" w:lineRule="exact"/>
    </w:pPr>
    <w:rPr>
      <w:sz w:val="20"/>
      <w:vertAlign w:val="superscript"/>
      <w:lang w:val="en-GB"/>
    </w:rPr>
  </w:style>
  <w:style w:type="paragraph" w:styleId="Revision">
    <w:name w:val="Revision"/>
    <w:hidden/>
    <w:uiPriority w:val="99"/>
    <w:semiHidden/>
    <w:rsid w:val="006D6C07"/>
    <w:rPr>
      <w:sz w:val="24"/>
      <w:lang w:val="fi-FI"/>
    </w:rPr>
  </w:style>
  <w:style w:type="character" w:styleId="CommentReference">
    <w:name w:val="annotation reference"/>
    <w:basedOn w:val="DefaultParagraphFont"/>
    <w:rsid w:val="00BD62FD"/>
    <w:rPr>
      <w:sz w:val="16"/>
      <w:szCs w:val="16"/>
    </w:rPr>
  </w:style>
  <w:style w:type="paragraph" w:styleId="CommentText">
    <w:name w:val="annotation text"/>
    <w:basedOn w:val="Normal"/>
    <w:link w:val="CommentTextChar"/>
    <w:rsid w:val="00BD62FD"/>
    <w:rPr>
      <w:sz w:val="20"/>
    </w:rPr>
  </w:style>
  <w:style w:type="character" w:customStyle="1" w:styleId="CommentTextChar">
    <w:name w:val="Comment Text Char"/>
    <w:basedOn w:val="DefaultParagraphFont"/>
    <w:link w:val="CommentText"/>
    <w:rsid w:val="00BD62FD"/>
    <w:rPr>
      <w:lang w:val="fi-FI"/>
    </w:rPr>
  </w:style>
  <w:style w:type="paragraph" w:styleId="CommentSubject">
    <w:name w:val="annotation subject"/>
    <w:basedOn w:val="CommentText"/>
    <w:next w:val="CommentText"/>
    <w:link w:val="CommentSubjectChar"/>
    <w:rsid w:val="00BD62FD"/>
    <w:rPr>
      <w:b/>
      <w:bCs/>
    </w:rPr>
  </w:style>
  <w:style w:type="character" w:customStyle="1" w:styleId="CommentSubjectChar">
    <w:name w:val="Comment Subject Char"/>
    <w:basedOn w:val="CommentTextChar"/>
    <w:link w:val="CommentSubject"/>
    <w:rsid w:val="00BD62FD"/>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871</Words>
  <Characters>7651</Characters>
  <Application>Microsoft Office Word</Application>
  <DocSecurity>0</DocSecurity>
  <Lines>115</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2026-07-07T10:48:00Z</dcterms:created>
  <dcterms:modified xsi:type="dcterms:W3CDTF">2026-07-07T10:48:00Z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A10-0174/2026</vt:lpwstr>
  </property>
  <property fmtid="{D5CDD505-2E9C-101B-9397-08002B2CF9AE}" pid="4" name="&lt;Type&gt;">
    <vt:lpwstr>RR</vt:lpwstr>
  </property>
</Properties>
</file>