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A6DDF" w14:paraId="217176D0" w14:textId="77777777" w:rsidTr="0010095E">
        <w:trPr>
          <w:trHeight w:hRule="exact" w:val="1418"/>
        </w:trPr>
        <w:tc>
          <w:tcPr>
            <w:tcW w:w="6804" w:type="dxa"/>
            <w:shd w:val="clear" w:color="auto" w:fill="auto"/>
            <w:vAlign w:val="center"/>
          </w:tcPr>
          <w:p w14:paraId="1F7A18D7" w14:textId="77777777" w:rsidR="00751A4A" w:rsidRPr="006A6DDF" w:rsidRDefault="00F32D8C" w:rsidP="0010095E">
            <w:pPr>
              <w:pStyle w:val="EPName"/>
            </w:pPr>
            <w:r w:rsidRPr="006A6DDF">
              <w:t>Parlement européen</w:t>
            </w:r>
          </w:p>
          <w:p w14:paraId="2A17B8DD" w14:textId="77777777" w:rsidR="00751A4A" w:rsidRPr="006A6DDF" w:rsidRDefault="005F1B17" w:rsidP="005F1B17">
            <w:pPr>
              <w:pStyle w:val="EPTerm"/>
              <w:rPr>
                <w:rStyle w:val="HideTWBExt"/>
                <w:noProof w:val="0"/>
                <w:vanish w:val="0"/>
                <w:color w:val="auto"/>
              </w:rPr>
            </w:pPr>
            <w:r w:rsidRPr="006A6DDF">
              <w:t>2024</w:t>
            </w:r>
            <w:r w:rsidR="00817416" w:rsidRPr="006A6DDF">
              <w:t>-202</w:t>
            </w:r>
            <w:r w:rsidRPr="006A6DDF">
              <w:t>9</w:t>
            </w:r>
          </w:p>
        </w:tc>
        <w:tc>
          <w:tcPr>
            <w:tcW w:w="2268" w:type="dxa"/>
            <w:shd w:val="clear" w:color="auto" w:fill="auto"/>
          </w:tcPr>
          <w:p w14:paraId="6B1BB812" w14:textId="77777777" w:rsidR="00751A4A" w:rsidRPr="006A6DDF" w:rsidRDefault="00187494" w:rsidP="0010095E">
            <w:pPr>
              <w:pStyle w:val="EPLogo"/>
            </w:pPr>
            <w:r w:rsidRPr="006A6DDF">
              <w:rPr>
                <w:noProof/>
                <w:lang w:eastAsia="ja-JP"/>
              </w:rPr>
              <w:drawing>
                <wp:inline distT="0" distB="0" distL="0" distR="0" wp14:anchorId="108C0839" wp14:editId="6724321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8E7CF2C" w14:textId="77777777" w:rsidR="00D058B8" w:rsidRPr="006A6DDF" w:rsidRDefault="00D058B8" w:rsidP="004C5D52">
      <w:pPr>
        <w:pStyle w:val="LineTop"/>
      </w:pPr>
    </w:p>
    <w:p w14:paraId="10039B03" w14:textId="77777777" w:rsidR="00680577" w:rsidRPr="006A6DDF" w:rsidRDefault="00F32D8C" w:rsidP="00680577">
      <w:pPr>
        <w:pStyle w:val="EPBodyTA1"/>
      </w:pPr>
      <w:r w:rsidRPr="006A6DDF">
        <w:t>TEXTES ADOPTÉS</w:t>
      </w:r>
    </w:p>
    <w:p w14:paraId="755E7543" w14:textId="77777777" w:rsidR="00D058B8" w:rsidRPr="006A6DDF" w:rsidRDefault="00D058B8" w:rsidP="00D058B8">
      <w:pPr>
        <w:pStyle w:val="LineBottom"/>
      </w:pPr>
    </w:p>
    <w:p w14:paraId="43C58DDD" w14:textId="44A434F0" w:rsidR="00F32D8C" w:rsidRPr="006A6DDF" w:rsidRDefault="00F32D8C" w:rsidP="00F32D8C">
      <w:pPr>
        <w:pStyle w:val="ATHeading1"/>
      </w:pPr>
      <w:bookmarkStart w:id="0" w:name="TANumber"/>
      <w:r w:rsidRPr="006A6DDF">
        <w:t>P10_</w:t>
      </w:r>
      <w:proofErr w:type="gramStart"/>
      <w:r w:rsidRPr="006A6DDF">
        <w:t>TA(</w:t>
      </w:r>
      <w:proofErr w:type="gramEnd"/>
      <w:r w:rsidRPr="006A6DDF">
        <w:t>2026)0</w:t>
      </w:r>
      <w:bookmarkEnd w:id="0"/>
      <w:r w:rsidR="00225FD7">
        <w:t>241</w:t>
      </w:r>
    </w:p>
    <w:p w14:paraId="0CE04150" w14:textId="3C1EDAE6" w:rsidR="00F32D8C" w:rsidRPr="006A6DDF" w:rsidRDefault="00F32D8C" w:rsidP="00F32D8C">
      <w:pPr>
        <w:pStyle w:val="ATHeading2"/>
      </w:pPr>
      <w:bookmarkStart w:id="1" w:name="title"/>
      <w:r w:rsidRPr="006A6DDF">
        <w:t xml:space="preserve">Prestation de services de transport international de voyageurs par autocars et autobus dans les régions </w:t>
      </w:r>
      <w:proofErr w:type="gramStart"/>
      <w:r w:rsidRPr="006A6DDF">
        <w:t>frontalières:</w:t>
      </w:r>
      <w:proofErr w:type="gramEnd"/>
      <w:r w:rsidRPr="006A6DDF">
        <w:t xml:space="preserve"> transports de cabotage entre l'Autriche et la Suisse</w:t>
      </w:r>
    </w:p>
    <w:p w14:paraId="12364E5E" w14:textId="77777777" w:rsidR="00F32D8C" w:rsidRPr="006A6DDF" w:rsidRDefault="00F32D8C" w:rsidP="00F32D8C">
      <w:pPr>
        <w:rPr>
          <w:i/>
          <w:vanish/>
        </w:rPr>
      </w:pPr>
      <w:r w:rsidRPr="006A6DDF">
        <w:rPr>
          <w:i/>
        </w:rPr>
        <w:fldChar w:fldCharType="begin"/>
      </w:r>
      <w:r w:rsidRPr="006A6DDF">
        <w:rPr>
          <w:i/>
        </w:rPr>
        <w:instrText xml:space="preserve"> TC"(</w:instrText>
      </w:r>
      <w:bookmarkStart w:id="2" w:name="DocNumber"/>
      <w:r w:rsidRPr="006A6DDF">
        <w:rPr>
          <w:i/>
        </w:rPr>
        <w:instrText>A10-0174/2026</w:instrText>
      </w:r>
      <w:bookmarkEnd w:id="2"/>
      <w:r w:rsidRPr="006A6DDF">
        <w:rPr>
          <w:i/>
        </w:rPr>
        <w:instrText xml:space="preserve"> - Rapporteure: Elissavet Vozemberg-Vrionidi)"\l3 \n&gt; \* MERGEFORMAT </w:instrText>
      </w:r>
      <w:r w:rsidRPr="006A6DDF">
        <w:rPr>
          <w:i/>
        </w:rPr>
        <w:fldChar w:fldCharType="end"/>
      </w:r>
    </w:p>
    <w:p w14:paraId="48691762" w14:textId="77777777" w:rsidR="00F32D8C" w:rsidRPr="006A6DDF" w:rsidRDefault="00F32D8C" w:rsidP="00F32D8C">
      <w:pPr>
        <w:rPr>
          <w:vanish/>
        </w:rPr>
      </w:pPr>
      <w:bookmarkStart w:id="3" w:name="Commission"/>
      <w:r w:rsidRPr="006A6DDF">
        <w:rPr>
          <w:vanish/>
        </w:rPr>
        <w:t>Commission des transports et du tourisme</w:t>
      </w:r>
      <w:bookmarkEnd w:id="3"/>
    </w:p>
    <w:p w14:paraId="02B2DD07" w14:textId="77777777" w:rsidR="00F32D8C" w:rsidRPr="006A6DDF" w:rsidRDefault="00F32D8C" w:rsidP="00F32D8C">
      <w:pPr>
        <w:rPr>
          <w:vanish/>
        </w:rPr>
      </w:pPr>
      <w:bookmarkStart w:id="4" w:name="PE"/>
      <w:r w:rsidRPr="006A6DDF">
        <w:rPr>
          <w:vanish/>
        </w:rPr>
        <w:t>PE785.404</w:t>
      </w:r>
      <w:bookmarkEnd w:id="4"/>
    </w:p>
    <w:p w14:paraId="22D60187" w14:textId="6A1FB934" w:rsidR="00F32D8C" w:rsidRPr="006A6DDF" w:rsidRDefault="00F32D8C" w:rsidP="00F32D8C">
      <w:pPr>
        <w:pStyle w:val="ATHeading3"/>
      </w:pPr>
      <w:bookmarkStart w:id="5" w:name="Sujet"/>
      <w:r w:rsidRPr="006A6DDF">
        <w:t xml:space="preserve">Résolution législative du Parlement européen du </w:t>
      </w:r>
      <w:r w:rsidR="00932013">
        <w:t>7 juillet</w:t>
      </w:r>
      <w:r w:rsidRPr="006A6DDF">
        <w:t xml:space="preserve"> 2026 sur la proposition de décision du Parlement européen et du Conseil habilitant l’Autriche à modifier son accord bilatéral existant de transport routier avec la Suisse en vue d’autoriser les transports de cabotage lors de la prestation de services de transport international routier de voyageurs par autocars et autobus dans les régions frontalières entre les deux pays</w:t>
      </w:r>
      <w:bookmarkEnd w:id="5"/>
      <w:r w:rsidRPr="006A6DDF">
        <w:t xml:space="preserve"> </w:t>
      </w:r>
      <w:bookmarkStart w:id="6" w:name="References"/>
      <w:r w:rsidRPr="006A6DDF">
        <w:t>(</w:t>
      </w:r>
      <w:proofErr w:type="gramStart"/>
      <w:r w:rsidRPr="006A6DDF">
        <w:t>COM(</w:t>
      </w:r>
      <w:proofErr w:type="gramEnd"/>
      <w:r w:rsidRPr="006A6DDF">
        <w:t>2025)0773 – C10-0367/2025 – 2025/0407(COD))</w:t>
      </w:r>
      <w:bookmarkEnd w:id="6"/>
    </w:p>
    <w:p w14:paraId="58DC8F6C" w14:textId="77777777" w:rsidR="00FC01C5" w:rsidRPr="006A6DDF" w:rsidRDefault="00FC01C5" w:rsidP="00FC01C5">
      <w:pPr>
        <w:pStyle w:val="NormalBold"/>
        <w:widowControl/>
      </w:pPr>
      <w:r w:rsidRPr="006A6DDF">
        <w:t xml:space="preserve">(Procédure législative </w:t>
      </w:r>
      <w:proofErr w:type="gramStart"/>
      <w:r w:rsidRPr="006A6DDF">
        <w:t>ordinaire:</w:t>
      </w:r>
      <w:proofErr w:type="gramEnd"/>
      <w:r w:rsidRPr="006A6DDF">
        <w:t xml:space="preserve"> première lecture)</w:t>
      </w:r>
    </w:p>
    <w:p w14:paraId="2076F615" w14:textId="77777777" w:rsidR="00FC01C5" w:rsidRPr="006A6DDF" w:rsidRDefault="00FC01C5" w:rsidP="00FC01C5">
      <w:pPr>
        <w:pStyle w:val="EPComma"/>
        <w:widowControl/>
      </w:pPr>
      <w:r w:rsidRPr="006A6DDF">
        <w:rPr>
          <w:i/>
        </w:rPr>
        <w:t>Le Parlement européen</w:t>
      </w:r>
      <w:r w:rsidRPr="006A6DDF">
        <w:t>,</w:t>
      </w:r>
    </w:p>
    <w:p w14:paraId="0ECB40EC" w14:textId="77777777" w:rsidR="00FC01C5" w:rsidRPr="006A6DDF" w:rsidRDefault="00FC01C5" w:rsidP="00FC01C5">
      <w:pPr>
        <w:pStyle w:val="NormalHanging12a"/>
      </w:pPr>
      <w:r w:rsidRPr="006A6DDF">
        <w:t>–</w:t>
      </w:r>
      <w:r w:rsidRPr="006A6DDF">
        <w:tab/>
        <w:t>vu la proposition de la Commission au Parlement européen et au Conseil (</w:t>
      </w:r>
      <w:proofErr w:type="gramStart"/>
      <w:r w:rsidRPr="006A6DDF">
        <w:t>COM(</w:t>
      </w:r>
      <w:proofErr w:type="gramEnd"/>
      <w:r w:rsidRPr="006A6DDF">
        <w:t>2025)0773),</w:t>
      </w:r>
    </w:p>
    <w:p w14:paraId="2686678A" w14:textId="7B3264C9" w:rsidR="00FC01C5" w:rsidRPr="006A6DDF" w:rsidRDefault="00FC01C5" w:rsidP="00FC01C5">
      <w:pPr>
        <w:pStyle w:val="NormalHanging12a"/>
      </w:pPr>
      <w:r w:rsidRPr="006A6DDF">
        <w:t>–</w:t>
      </w:r>
      <w:r w:rsidRPr="006A6DDF">
        <w:tab/>
        <w:t xml:space="preserve">vu l’article 294, paragraphe 2, </w:t>
      </w:r>
      <w:r w:rsidR="00572525">
        <w:t xml:space="preserve">ainsi que </w:t>
      </w:r>
      <w:r w:rsidRPr="006A6DDF">
        <w:t>l’article 2, paragraphe 1, et l’article 91 du traité sur le fonctionnement de l’Union européenne, conformément auxquels la proposition lui a été présentée par la Commission (C10</w:t>
      </w:r>
      <w:r w:rsidRPr="006A6DDF">
        <w:noBreakHyphen/>
        <w:t>0367/2025),</w:t>
      </w:r>
    </w:p>
    <w:p w14:paraId="0D3EEFC1" w14:textId="77777777" w:rsidR="00FC01C5" w:rsidRDefault="00FC01C5" w:rsidP="00FC01C5">
      <w:pPr>
        <w:pStyle w:val="NormalHanging12a"/>
      </w:pPr>
      <w:r w:rsidRPr="006A6DDF">
        <w:t>–</w:t>
      </w:r>
      <w:r w:rsidRPr="006A6DDF">
        <w:tab/>
        <w:t>vu l’article 294, paragraphe 3, du traité sur le fonctionnement de l’Union européenne,</w:t>
      </w:r>
    </w:p>
    <w:p w14:paraId="5F6ED3EB" w14:textId="4FC8FD05" w:rsidR="005D3FF7" w:rsidRPr="006A6DDF" w:rsidRDefault="005D3FF7" w:rsidP="00FC01C5">
      <w:pPr>
        <w:pStyle w:val="NormalHanging12a"/>
      </w:pPr>
      <w:r w:rsidRPr="006A6DDF">
        <w:t>–</w:t>
      </w:r>
      <w:r w:rsidRPr="006A6DDF">
        <w:tab/>
      </w:r>
      <w:r w:rsidRPr="007A743B">
        <w:t>vu l’engagement pris par le représentant du Conseil, par lettre du 1</w:t>
      </w:r>
      <w:r>
        <w:t>0</w:t>
      </w:r>
      <w:r w:rsidRPr="007A743B">
        <w:t> jui</w:t>
      </w:r>
      <w:r>
        <w:t>n</w:t>
      </w:r>
      <w:r w:rsidRPr="007A743B">
        <w:t> 20</w:t>
      </w:r>
      <w:r>
        <w:t>26</w:t>
      </w:r>
      <w:r w:rsidRPr="007A743B">
        <w:t>, d’approuver la position du Parlement européen, conformément à l’article 294, paragraphe 4, du traité sur le fonctionnement de l’Union européenne</w:t>
      </w:r>
      <w:r>
        <w:t>,</w:t>
      </w:r>
    </w:p>
    <w:p w14:paraId="428071B1" w14:textId="77777777" w:rsidR="00FC01C5" w:rsidRPr="006A6DDF" w:rsidRDefault="00FC01C5" w:rsidP="00FC01C5">
      <w:pPr>
        <w:pStyle w:val="NormalHanging12a"/>
      </w:pPr>
      <w:r w:rsidRPr="006A6DDF">
        <w:t>–</w:t>
      </w:r>
      <w:r w:rsidRPr="006A6DDF">
        <w:tab/>
        <w:t>vu l’avis de la commission des affaires juridiques sur la base juridique proposée,</w:t>
      </w:r>
    </w:p>
    <w:p w14:paraId="54965E14" w14:textId="77777777" w:rsidR="00FC01C5" w:rsidRPr="006A6DDF" w:rsidRDefault="00FC01C5" w:rsidP="00FC01C5">
      <w:pPr>
        <w:pStyle w:val="NormalHanging12a"/>
      </w:pPr>
      <w:r w:rsidRPr="006A6DDF">
        <w:t>–</w:t>
      </w:r>
      <w:r w:rsidRPr="006A6DDF">
        <w:tab/>
        <w:t>vu l’avis du Comité économique et social européen du 21 janvier 2026</w:t>
      </w:r>
      <w:r w:rsidRPr="006A6DDF">
        <w:rPr>
          <w:vertAlign w:val="superscript"/>
        </w:rPr>
        <w:footnoteReference w:id="1"/>
      </w:r>
      <w:r w:rsidRPr="006A6DDF">
        <w:t>,</w:t>
      </w:r>
    </w:p>
    <w:p w14:paraId="27A409BF" w14:textId="77777777" w:rsidR="00FC01C5" w:rsidRPr="006A6DDF" w:rsidRDefault="00FC01C5" w:rsidP="00FC01C5">
      <w:pPr>
        <w:pStyle w:val="NormalHanging12a"/>
      </w:pPr>
      <w:r w:rsidRPr="006A6DDF">
        <w:t>–</w:t>
      </w:r>
      <w:r w:rsidRPr="006A6DDF">
        <w:tab/>
        <w:t>après consultation du Comité des régions,</w:t>
      </w:r>
    </w:p>
    <w:p w14:paraId="5B16AE1D" w14:textId="77777777" w:rsidR="00FC01C5" w:rsidRPr="006A6DDF" w:rsidRDefault="00FC01C5" w:rsidP="00FC01C5">
      <w:pPr>
        <w:pStyle w:val="NormalHanging12a"/>
      </w:pPr>
      <w:r w:rsidRPr="006A6DDF">
        <w:t>–</w:t>
      </w:r>
      <w:r w:rsidRPr="006A6DDF">
        <w:tab/>
        <w:t>vu les articles 60 et 41 de son règlement intérieur,</w:t>
      </w:r>
    </w:p>
    <w:p w14:paraId="1022848D" w14:textId="77777777" w:rsidR="00FC01C5" w:rsidRPr="006A6DDF" w:rsidRDefault="00FC01C5" w:rsidP="00FC01C5">
      <w:pPr>
        <w:pStyle w:val="NormalHanging12a"/>
      </w:pPr>
      <w:r w:rsidRPr="006A6DDF">
        <w:t>–</w:t>
      </w:r>
      <w:r w:rsidRPr="006A6DDF">
        <w:tab/>
        <w:t>vu le rapport de la commission des transports et du tourisme (A10-0174/2026),</w:t>
      </w:r>
    </w:p>
    <w:p w14:paraId="1743CBEC" w14:textId="77777777" w:rsidR="00FC01C5" w:rsidRPr="006A6DDF" w:rsidRDefault="00FC01C5" w:rsidP="00FC01C5">
      <w:pPr>
        <w:pStyle w:val="NormalHanging12a"/>
      </w:pPr>
      <w:r w:rsidRPr="006A6DDF">
        <w:lastRenderedPageBreak/>
        <w:t>1.</w:t>
      </w:r>
      <w:r w:rsidRPr="006A6DDF">
        <w:tab/>
        <w:t>arrête la position en première lecture figurant ci-</w:t>
      </w:r>
      <w:proofErr w:type="gramStart"/>
      <w:r w:rsidRPr="006A6DDF">
        <w:t>après;</w:t>
      </w:r>
      <w:proofErr w:type="gramEnd"/>
    </w:p>
    <w:p w14:paraId="1EF2E724" w14:textId="77777777" w:rsidR="00FC01C5" w:rsidRPr="006A6DDF" w:rsidRDefault="00FC01C5" w:rsidP="00FC01C5">
      <w:pPr>
        <w:pStyle w:val="NormalHanging12a"/>
      </w:pPr>
      <w:r w:rsidRPr="006A6DDF">
        <w:t>2.</w:t>
      </w:r>
      <w:r w:rsidRPr="006A6DDF">
        <w:tab/>
        <w:t>charge sa Présidente de transmettre la position du Parlement au Conseil et à la Commission ainsi qu’aux parlements nationaux.</w:t>
      </w:r>
    </w:p>
    <w:p w14:paraId="49551765" w14:textId="77777777" w:rsidR="00932013" w:rsidRDefault="00932013">
      <w:pPr>
        <w:widowControl/>
      </w:pPr>
      <w:r>
        <w:rPr>
          <w:b/>
        </w:rPr>
        <w:br w:type="page"/>
      </w:r>
    </w:p>
    <w:p w14:paraId="004E82BB" w14:textId="272761EB" w:rsidR="005D3FF7" w:rsidRDefault="005D3FF7" w:rsidP="005D3FF7">
      <w:pPr>
        <w:autoSpaceDE w:val="0"/>
        <w:autoSpaceDN w:val="0"/>
        <w:adjustRightInd w:val="0"/>
        <w:spacing w:after="240"/>
        <w:rPr>
          <w:rFonts w:eastAsia="Calibri"/>
          <w:b/>
          <w:bCs/>
          <w:color w:val="000000"/>
          <w:szCs w:val="24"/>
        </w:rPr>
      </w:pPr>
      <w:bookmarkStart w:id="7" w:name="_Hlk233882391"/>
      <w:bookmarkEnd w:id="1"/>
      <w:r w:rsidRPr="00BA3700">
        <w:rPr>
          <w:rFonts w:eastAsia="Calibri"/>
          <w:b/>
          <w:bCs/>
          <w:color w:val="000000"/>
          <w:szCs w:val="24"/>
        </w:rPr>
        <w:lastRenderedPageBreak/>
        <w:t>P</w:t>
      </w:r>
      <w:r>
        <w:rPr>
          <w:rFonts w:eastAsia="Calibri"/>
          <w:b/>
          <w:bCs/>
          <w:color w:val="000000"/>
          <w:szCs w:val="24"/>
        </w:rPr>
        <w:t>10</w:t>
      </w:r>
      <w:r w:rsidRPr="00BA3700">
        <w:rPr>
          <w:rFonts w:eastAsia="Calibri"/>
          <w:b/>
          <w:bCs/>
          <w:color w:val="000000"/>
          <w:szCs w:val="24"/>
        </w:rPr>
        <w:t>_TC1-</w:t>
      </w:r>
      <w:proofErr w:type="gramStart"/>
      <w:r w:rsidRPr="00BA3700">
        <w:rPr>
          <w:rFonts w:eastAsia="Calibri"/>
          <w:b/>
          <w:bCs/>
          <w:color w:val="000000"/>
          <w:szCs w:val="24"/>
        </w:rPr>
        <w:t>COD(</w:t>
      </w:r>
      <w:proofErr w:type="gramEnd"/>
      <w:r w:rsidRPr="00BA3700">
        <w:rPr>
          <w:rFonts w:eastAsia="Calibri"/>
          <w:b/>
          <w:bCs/>
          <w:color w:val="000000"/>
          <w:szCs w:val="24"/>
        </w:rPr>
        <w:t>202</w:t>
      </w:r>
      <w:r>
        <w:rPr>
          <w:rFonts w:eastAsia="Calibri"/>
          <w:b/>
          <w:bCs/>
          <w:color w:val="000000"/>
          <w:szCs w:val="24"/>
        </w:rPr>
        <w:t>5</w:t>
      </w:r>
      <w:r w:rsidRPr="00BA3700">
        <w:rPr>
          <w:rFonts w:eastAsia="Calibri"/>
          <w:b/>
          <w:bCs/>
          <w:color w:val="000000"/>
          <w:szCs w:val="24"/>
        </w:rPr>
        <w:t>)0</w:t>
      </w:r>
      <w:r>
        <w:rPr>
          <w:rFonts w:eastAsia="Calibri"/>
          <w:b/>
          <w:bCs/>
          <w:color w:val="000000"/>
          <w:szCs w:val="24"/>
        </w:rPr>
        <w:t>407</w:t>
      </w:r>
    </w:p>
    <w:p w14:paraId="187E58DE" w14:textId="6324DB0A" w:rsidR="000D7FD8" w:rsidRPr="005D3FF7" w:rsidRDefault="005D3FF7" w:rsidP="005D3FF7">
      <w:pPr>
        <w:spacing w:after="240"/>
        <w:rPr>
          <w:b/>
        </w:rPr>
      </w:pPr>
      <w:bookmarkStart w:id="8" w:name="_Hlk223945093"/>
      <w:r w:rsidRPr="005D3FF7">
        <w:rPr>
          <w:b/>
        </w:rPr>
        <w:t>Position du Parlement européen arrêtée en première lecture le 7 juillet 2026 en vue de l’adoption d</w:t>
      </w:r>
      <w:r w:rsidR="003470F9">
        <w:rPr>
          <w:b/>
        </w:rPr>
        <w:t>e la</w:t>
      </w:r>
      <w:r w:rsidRPr="005D3FF7">
        <w:rPr>
          <w:b/>
        </w:rPr>
        <w:t xml:space="preserve"> décision (UE)</w:t>
      </w:r>
      <w:r w:rsidR="003470F9">
        <w:rPr>
          <w:b/>
        </w:rPr>
        <w:t xml:space="preserve"> </w:t>
      </w:r>
      <w:r w:rsidRPr="005D3FF7">
        <w:rPr>
          <w:b/>
        </w:rPr>
        <w:t xml:space="preserve">2026/... du Parlement européen et du Conseil </w:t>
      </w:r>
      <w:bookmarkEnd w:id="8"/>
      <w:r w:rsidR="000D7FD8" w:rsidRPr="000D7FD8">
        <w:rPr>
          <w:rFonts w:eastAsia="Calibri"/>
          <w:b/>
          <w:bCs/>
          <w:noProof/>
          <w:color w:val="000000"/>
          <w:szCs w:val="22"/>
          <w:lang w:eastAsia="en-US"/>
        </w:rPr>
        <w:t>habilitant l'Autriche à modifier son accord bilatéral</w:t>
      </w:r>
      <w:r>
        <w:rPr>
          <w:rFonts w:eastAsia="Calibri"/>
          <w:b/>
          <w:bCs/>
          <w:noProof/>
          <w:color w:val="000000"/>
          <w:szCs w:val="22"/>
          <w:lang w:eastAsia="en-US"/>
        </w:rPr>
        <w:t xml:space="preserve"> </w:t>
      </w:r>
      <w:r w:rsidR="000D7FD8" w:rsidRPr="000D7FD8">
        <w:rPr>
          <w:rFonts w:eastAsia="Calibri"/>
          <w:b/>
          <w:bCs/>
          <w:noProof/>
          <w:color w:val="000000"/>
          <w:szCs w:val="22"/>
          <w:lang w:eastAsia="en-US"/>
        </w:rPr>
        <w:t>de transport routier avec la Suisse en vue d'autoriser les transports de cabotag</w:t>
      </w:r>
      <w:r>
        <w:rPr>
          <w:rFonts w:eastAsia="Calibri"/>
          <w:b/>
          <w:bCs/>
          <w:noProof/>
          <w:color w:val="000000"/>
          <w:szCs w:val="22"/>
          <w:lang w:eastAsia="en-US"/>
        </w:rPr>
        <w:t xml:space="preserve">e </w:t>
      </w:r>
      <w:r w:rsidR="000D7FD8" w:rsidRPr="000D7FD8">
        <w:rPr>
          <w:rFonts w:eastAsia="Calibri"/>
          <w:b/>
          <w:bCs/>
          <w:noProof/>
          <w:color w:val="000000"/>
          <w:szCs w:val="22"/>
          <w:lang w:eastAsia="en-US"/>
        </w:rPr>
        <w:t>lors de la prestation de services de transport international de voyageurs</w:t>
      </w:r>
      <w:r>
        <w:rPr>
          <w:rFonts w:eastAsia="Calibri"/>
          <w:b/>
          <w:bCs/>
          <w:noProof/>
          <w:color w:val="000000"/>
          <w:szCs w:val="22"/>
          <w:lang w:eastAsia="en-US"/>
        </w:rPr>
        <w:t xml:space="preserve"> </w:t>
      </w:r>
      <w:r w:rsidR="000D7FD8" w:rsidRPr="000D7FD8">
        <w:rPr>
          <w:rFonts w:eastAsia="Calibri"/>
          <w:b/>
          <w:bCs/>
          <w:noProof/>
          <w:color w:val="000000"/>
          <w:szCs w:val="22"/>
          <w:lang w:eastAsia="en-US"/>
        </w:rPr>
        <w:t>par autocars et autobus dans les régions frontalières entre les deux pays</w:t>
      </w:r>
    </w:p>
    <w:p w14:paraId="422403E8" w14:textId="77777777" w:rsidR="000D7FD8" w:rsidRPr="000D7FD8" w:rsidRDefault="000D7FD8" w:rsidP="000D7FD8">
      <w:pPr>
        <w:widowControl/>
        <w:spacing w:before="600" w:after="120" w:line="360" w:lineRule="auto"/>
        <w:rPr>
          <w:rFonts w:eastAsia="Calibri"/>
          <w:color w:val="000000"/>
          <w:szCs w:val="22"/>
          <w:lang w:eastAsia="en-US"/>
        </w:rPr>
      </w:pPr>
      <w:r w:rsidRPr="000D7FD8">
        <w:rPr>
          <w:rFonts w:eastAsia="Calibri"/>
          <w:color w:val="000000"/>
          <w:szCs w:val="22"/>
          <w:lang w:eastAsia="en-US"/>
        </w:rPr>
        <w:t>LE PARLEMENT EUROPÉEN ET LE CONSEIL DE L'UNION EUROPÉENNE,</w:t>
      </w:r>
    </w:p>
    <w:p w14:paraId="7AB6AB27" w14:textId="77777777" w:rsidR="000D7FD8" w:rsidRPr="000D7FD8" w:rsidRDefault="000D7FD8" w:rsidP="000D7FD8">
      <w:pPr>
        <w:widowControl/>
        <w:spacing w:before="120" w:after="120" w:line="360" w:lineRule="auto"/>
        <w:rPr>
          <w:rFonts w:eastAsia="Calibri"/>
          <w:noProof/>
          <w:color w:val="000000"/>
          <w:szCs w:val="22"/>
          <w:lang w:eastAsia="en-US"/>
        </w:rPr>
      </w:pPr>
      <w:r w:rsidRPr="000D7FD8">
        <w:rPr>
          <w:rFonts w:eastAsia="Calibri"/>
          <w:noProof/>
          <w:color w:val="000000"/>
          <w:szCs w:val="22"/>
          <w:lang w:eastAsia="en-US"/>
        </w:rPr>
        <w:t xml:space="preserve">vu le traité sur le fonctionnement de l'Union européenne, et notamment son </w:t>
      </w:r>
      <w:r w:rsidRPr="000D7FD8">
        <w:rPr>
          <w:rFonts w:eastAsia="Calibri"/>
          <w:b/>
          <w:bCs/>
          <w:i/>
          <w:iCs/>
          <w:noProof/>
          <w:color w:val="000000"/>
          <w:szCs w:val="22"/>
          <w:lang w:eastAsia="en-US"/>
        </w:rPr>
        <w:t>article</w:t>
      </w:r>
      <w:r w:rsidRPr="000D7FD8">
        <w:rPr>
          <w:rFonts w:eastAsia="Calibri"/>
          <w:noProof/>
          <w:color w:val="000000"/>
          <w:szCs w:val="22"/>
          <w:lang w:eastAsia="en-US"/>
        </w:rPr>
        <w:t xml:space="preserve"> 91,</w:t>
      </w:r>
    </w:p>
    <w:p w14:paraId="4CD0E922" w14:textId="77777777" w:rsidR="000D7FD8" w:rsidRPr="000D7FD8" w:rsidRDefault="000D7FD8" w:rsidP="000D7FD8">
      <w:pPr>
        <w:widowControl/>
        <w:spacing w:before="120" w:after="120" w:line="360" w:lineRule="auto"/>
        <w:rPr>
          <w:rFonts w:eastAsia="Calibri"/>
          <w:noProof/>
          <w:color w:val="000000"/>
          <w:szCs w:val="22"/>
          <w:lang w:eastAsia="en-US"/>
        </w:rPr>
      </w:pPr>
      <w:r w:rsidRPr="000D7FD8">
        <w:rPr>
          <w:rFonts w:eastAsia="Calibri"/>
          <w:noProof/>
          <w:color w:val="000000"/>
          <w:szCs w:val="22"/>
          <w:lang w:eastAsia="en-US"/>
        </w:rPr>
        <w:t>vu la proposition de la Commission européenne,</w:t>
      </w:r>
    </w:p>
    <w:p w14:paraId="058CA1D6" w14:textId="77777777" w:rsidR="000D7FD8" w:rsidRPr="000D7FD8" w:rsidRDefault="000D7FD8" w:rsidP="000D7FD8">
      <w:pPr>
        <w:widowControl/>
        <w:spacing w:before="120" w:after="120" w:line="360" w:lineRule="auto"/>
        <w:rPr>
          <w:rFonts w:eastAsia="Calibri"/>
          <w:noProof/>
          <w:color w:val="000000"/>
          <w:szCs w:val="22"/>
          <w:lang w:eastAsia="en-US"/>
        </w:rPr>
      </w:pPr>
      <w:r w:rsidRPr="000D7FD8">
        <w:rPr>
          <w:rFonts w:eastAsia="Calibri"/>
          <w:noProof/>
          <w:color w:val="000000"/>
          <w:szCs w:val="22"/>
          <w:lang w:eastAsia="en-US"/>
        </w:rPr>
        <w:t>après transmission du projet d'acte législatif aux parlements nationaux,</w:t>
      </w:r>
    </w:p>
    <w:p w14:paraId="7F29321B" w14:textId="77777777" w:rsidR="000D7FD8" w:rsidRPr="000D7FD8" w:rsidRDefault="000D7FD8" w:rsidP="000D7FD8">
      <w:pPr>
        <w:widowControl/>
        <w:spacing w:before="120" w:after="120" w:line="360" w:lineRule="auto"/>
        <w:rPr>
          <w:rFonts w:eastAsia="Calibri"/>
          <w:noProof/>
          <w:color w:val="000000"/>
          <w:szCs w:val="22"/>
          <w:lang w:eastAsia="en-US"/>
        </w:rPr>
      </w:pPr>
      <w:r w:rsidRPr="000D7FD8">
        <w:rPr>
          <w:rFonts w:eastAsia="Calibri"/>
          <w:noProof/>
          <w:color w:val="000000"/>
          <w:szCs w:val="22"/>
          <w:lang w:eastAsia="en-US"/>
        </w:rPr>
        <w:t>vu l'avis du Comité économique et social européen</w:t>
      </w:r>
      <w:r w:rsidRPr="000D7FD8">
        <w:rPr>
          <w:rFonts w:eastAsia="Calibri"/>
          <w:b/>
          <w:bCs/>
          <w:noProof/>
          <w:color w:val="000000"/>
          <w:szCs w:val="22"/>
          <w:vertAlign w:val="superscript"/>
          <w:lang w:eastAsia="en-US"/>
        </w:rPr>
        <w:footnoteReference w:id="2"/>
      </w:r>
      <w:r w:rsidRPr="000D7FD8">
        <w:rPr>
          <w:rFonts w:eastAsia="Calibri"/>
          <w:noProof/>
          <w:color w:val="000000"/>
          <w:szCs w:val="22"/>
          <w:lang w:eastAsia="en-US"/>
        </w:rPr>
        <w:t>,</w:t>
      </w:r>
    </w:p>
    <w:p w14:paraId="6A742BD2" w14:textId="77777777" w:rsidR="000D7FD8" w:rsidRPr="000D7FD8" w:rsidRDefault="000D7FD8" w:rsidP="000D7FD8">
      <w:pPr>
        <w:widowControl/>
        <w:spacing w:before="120" w:after="120" w:line="360" w:lineRule="auto"/>
        <w:rPr>
          <w:rFonts w:eastAsia="Calibri"/>
          <w:noProof/>
          <w:color w:val="000000"/>
          <w:szCs w:val="22"/>
          <w:lang w:eastAsia="en-US"/>
        </w:rPr>
      </w:pPr>
      <w:r w:rsidRPr="000D7FD8">
        <w:rPr>
          <w:rFonts w:eastAsia="Calibri"/>
          <w:noProof/>
          <w:color w:val="000000"/>
          <w:szCs w:val="22"/>
          <w:lang w:eastAsia="en-US"/>
        </w:rPr>
        <w:t>après consultation du Comité des régions,</w:t>
      </w:r>
    </w:p>
    <w:p w14:paraId="05C1F46E" w14:textId="77777777" w:rsidR="000D7FD8" w:rsidRPr="000D7FD8" w:rsidRDefault="000D7FD8" w:rsidP="000D7FD8">
      <w:pPr>
        <w:widowControl/>
        <w:spacing w:before="120" w:after="120" w:line="360" w:lineRule="auto"/>
        <w:rPr>
          <w:rFonts w:eastAsia="Calibri"/>
          <w:noProof/>
          <w:color w:val="000000"/>
          <w:szCs w:val="22"/>
          <w:lang w:eastAsia="en-US"/>
        </w:rPr>
      </w:pPr>
      <w:r w:rsidRPr="000D7FD8">
        <w:rPr>
          <w:rFonts w:eastAsia="Calibri"/>
          <w:noProof/>
          <w:color w:val="000000"/>
          <w:szCs w:val="22"/>
          <w:lang w:eastAsia="en-US"/>
        </w:rPr>
        <w:t>statuant conformément à la procédure législative ordinaire</w:t>
      </w:r>
      <w:r w:rsidRPr="000D7FD8">
        <w:rPr>
          <w:rFonts w:eastAsia="Calibri"/>
          <w:b/>
          <w:bCs/>
          <w:noProof/>
          <w:color w:val="000000"/>
          <w:szCs w:val="22"/>
          <w:vertAlign w:val="superscript"/>
          <w:lang w:eastAsia="en-US"/>
        </w:rPr>
        <w:footnoteReference w:id="3"/>
      </w:r>
      <w:r w:rsidRPr="000D7FD8">
        <w:rPr>
          <w:rFonts w:eastAsia="Calibri"/>
          <w:noProof/>
          <w:color w:val="000000"/>
          <w:szCs w:val="22"/>
          <w:lang w:eastAsia="en-US"/>
        </w:rPr>
        <w:t>,</w:t>
      </w:r>
    </w:p>
    <w:p w14:paraId="7CCACAF7" w14:textId="77777777" w:rsidR="000D7FD8" w:rsidRPr="000D7FD8" w:rsidRDefault="000D7FD8" w:rsidP="000D7FD8">
      <w:pPr>
        <w:widowControl/>
        <w:spacing w:after="160" w:line="259" w:lineRule="auto"/>
        <w:rPr>
          <w:rFonts w:eastAsia="Calibri"/>
          <w:noProof/>
          <w:color w:val="000000"/>
          <w:szCs w:val="22"/>
          <w:lang w:eastAsia="en-US"/>
        </w:rPr>
      </w:pPr>
      <w:r w:rsidRPr="000D7FD8">
        <w:rPr>
          <w:rFonts w:eastAsia="Calibri"/>
          <w:noProof/>
          <w:color w:val="000000"/>
          <w:szCs w:val="22"/>
          <w:lang w:eastAsia="en-US"/>
        </w:rPr>
        <w:br w:type="page"/>
      </w:r>
    </w:p>
    <w:p w14:paraId="0AD96FFA" w14:textId="77777777" w:rsidR="000D7FD8" w:rsidRPr="000D7FD8" w:rsidRDefault="000D7FD8" w:rsidP="000D7FD8">
      <w:pPr>
        <w:widowControl/>
        <w:spacing w:before="120" w:after="120" w:line="360" w:lineRule="auto"/>
        <w:rPr>
          <w:rFonts w:eastAsia="Calibri"/>
          <w:noProof/>
          <w:color w:val="000000"/>
          <w:szCs w:val="22"/>
          <w:lang w:eastAsia="en-US"/>
        </w:rPr>
      </w:pPr>
      <w:r w:rsidRPr="000D7FD8">
        <w:rPr>
          <w:rFonts w:eastAsia="Calibri"/>
          <w:noProof/>
          <w:color w:val="000000"/>
          <w:szCs w:val="22"/>
          <w:lang w:eastAsia="en-US"/>
        </w:rPr>
        <w:lastRenderedPageBreak/>
        <w:t>considérant ce qui suit:</w:t>
      </w:r>
    </w:p>
    <w:p w14:paraId="52A9823E" w14:textId="77777777" w:rsidR="000D7FD8" w:rsidRPr="000D7FD8" w:rsidRDefault="000D7FD8" w:rsidP="000D7FD8">
      <w:pPr>
        <w:widowControl/>
        <w:spacing w:before="120" w:after="120" w:line="360" w:lineRule="auto"/>
        <w:ind w:left="851" w:hanging="851"/>
        <w:rPr>
          <w:rFonts w:eastAsia="Calibri"/>
          <w:noProof/>
          <w:color w:val="000000"/>
          <w:szCs w:val="22"/>
          <w:lang w:eastAsia="en-US"/>
        </w:rPr>
      </w:pPr>
      <w:bookmarkStart w:id="9" w:name="_Hlk211264391"/>
      <w:r w:rsidRPr="000D7FD8">
        <w:rPr>
          <w:rFonts w:eastAsia="Calibri"/>
          <w:noProof/>
          <w:color w:val="000000"/>
          <w:szCs w:val="22"/>
          <w:lang w:eastAsia="en-US"/>
        </w:rPr>
        <w:t>(1)</w:t>
      </w:r>
      <w:r w:rsidRPr="000D7FD8">
        <w:rPr>
          <w:rFonts w:eastAsia="Calibri"/>
          <w:noProof/>
          <w:color w:val="000000"/>
          <w:szCs w:val="22"/>
          <w:lang w:eastAsia="en-US"/>
        </w:rPr>
        <w:tab/>
        <w:t>Conformément à l'article 20, paragraphe 1, de l'accord entre la Communauté européenne et la Confédération suisse sur le transport de marchandises et de voyageurs par rail et par route</w:t>
      </w:r>
      <w:r w:rsidRPr="000D7FD8">
        <w:rPr>
          <w:rFonts w:eastAsia="Calibri"/>
          <w:b/>
          <w:bCs/>
          <w:noProof/>
          <w:color w:val="000000"/>
          <w:szCs w:val="22"/>
          <w:vertAlign w:val="superscript"/>
          <w:lang w:eastAsia="en-US"/>
        </w:rPr>
        <w:footnoteReference w:id="4"/>
      </w:r>
      <w:r w:rsidRPr="000D7FD8">
        <w:rPr>
          <w:rFonts w:eastAsia="Calibri"/>
          <w:noProof/>
          <w:color w:val="000000"/>
          <w:szCs w:val="22"/>
          <w:lang w:eastAsia="en-US"/>
        </w:rPr>
        <w:t xml:space="preserve"> (ci-après dénommé "accord UE-Suisse"), le transport de voyageurs par autocars et autobus entre deux points situés sur le territoire d'une même partie contractante à l’accord UE-Suisse, effectué par des transporteurs établis sur le territoire de l'autre partie contractante, appelé "cabotage", n'est pas autorisé.</w:t>
      </w:r>
    </w:p>
    <w:p w14:paraId="4BF655BF" w14:textId="77777777" w:rsidR="000D7FD8" w:rsidRPr="000D7FD8" w:rsidRDefault="000D7FD8" w:rsidP="000D7FD8">
      <w:pPr>
        <w:widowControl/>
        <w:spacing w:before="120" w:after="120" w:line="360" w:lineRule="auto"/>
        <w:ind w:left="851" w:hanging="851"/>
        <w:rPr>
          <w:rFonts w:eastAsia="Calibri"/>
          <w:noProof/>
          <w:color w:val="000000"/>
          <w:szCs w:val="22"/>
          <w:lang w:eastAsia="en-US"/>
        </w:rPr>
      </w:pPr>
      <w:r w:rsidRPr="000D7FD8">
        <w:rPr>
          <w:rFonts w:eastAsia="Calibri"/>
          <w:noProof/>
          <w:color w:val="000000"/>
          <w:szCs w:val="22"/>
          <w:lang w:eastAsia="en-US"/>
        </w:rPr>
        <w:t>(2)</w:t>
      </w:r>
      <w:r w:rsidRPr="000D7FD8">
        <w:rPr>
          <w:rFonts w:eastAsia="Calibri"/>
          <w:noProof/>
          <w:color w:val="000000"/>
          <w:szCs w:val="22"/>
          <w:lang w:eastAsia="en-US"/>
        </w:rPr>
        <w:tab/>
        <w:t>Conformément à l'article 20, paragraphe 2, de l'accord UE-Suisse, les droits existants de cabotage prévus dans les accords bilatéraux conclus entre des États membres et la Suisse et en vigueur au moment de la conclusion de l'accord UE-Suisse, le 21 juin 1999, peuvent continuer d'être exercés, à condition qu'il n'y ait aucune discrimination entre des transporteurs établis dans l'Union et qu'il n'y ait pas de distorsion de concurrence. L'accord bilatéral de transport routier entre l'Autriche et la Suisse du 22 octobre 1958</w:t>
      </w:r>
      <w:r w:rsidRPr="000D7FD8">
        <w:rPr>
          <w:rFonts w:eastAsia="Calibri"/>
          <w:b/>
          <w:bCs/>
          <w:noProof/>
          <w:color w:val="000000"/>
          <w:szCs w:val="22"/>
          <w:vertAlign w:val="superscript"/>
          <w:lang w:eastAsia="en-US"/>
        </w:rPr>
        <w:footnoteReference w:id="5"/>
      </w:r>
      <w:r w:rsidRPr="000D7FD8">
        <w:rPr>
          <w:rFonts w:eastAsia="Calibri"/>
          <w:noProof/>
          <w:color w:val="000000"/>
          <w:szCs w:val="22"/>
          <w:lang w:eastAsia="en-US"/>
        </w:rPr>
        <w:t xml:space="preserve"> (ci-après dénommé "accord Autriche-Suisse") n'autorise pas les transports de cabotage lors de la prestation de services de transport international de voyageurs par autocars et autobus entre les deux pays. Par conséquent, le droit d'effectuer ces transports ne figure pas parmi les droits énoncés à l'article 20, paragraphe 2, de l'accord UE-Suisse.</w:t>
      </w:r>
    </w:p>
    <w:p w14:paraId="44445654" w14:textId="77777777" w:rsidR="000D7FD8" w:rsidRPr="000D7FD8" w:rsidRDefault="000D7FD8" w:rsidP="000D7FD8">
      <w:pPr>
        <w:widowControl/>
        <w:spacing w:after="160" w:line="259" w:lineRule="auto"/>
        <w:rPr>
          <w:rFonts w:eastAsia="Calibri"/>
          <w:noProof/>
          <w:color w:val="000000"/>
          <w:szCs w:val="22"/>
          <w:lang w:eastAsia="en-US"/>
        </w:rPr>
      </w:pPr>
      <w:r w:rsidRPr="000D7FD8">
        <w:rPr>
          <w:rFonts w:eastAsia="Calibri"/>
          <w:noProof/>
          <w:color w:val="000000"/>
          <w:szCs w:val="22"/>
          <w:lang w:eastAsia="en-US"/>
        </w:rPr>
        <w:br w:type="page"/>
      </w:r>
    </w:p>
    <w:p w14:paraId="0CB0BB78" w14:textId="77777777" w:rsidR="000D7FD8" w:rsidRPr="000D7FD8" w:rsidRDefault="000D7FD8" w:rsidP="000D7FD8">
      <w:pPr>
        <w:widowControl/>
        <w:spacing w:before="120" w:after="120" w:line="360" w:lineRule="auto"/>
        <w:ind w:left="851" w:hanging="851"/>
        <w:rPr>
          <w:rFonts w:eastAsia="Calibri"/>
          <w:noProof/>
          <w:color w:val="000000"/>
          <w:szCs w:val="22"/>
          <w:lang w:eastAsia="en-US"/>
        </w:rPr>
      </w:pPr>
      <w:r w:rsidRPr="000D7FD8">
        <w:rPr>
          <w:rFonts w:eastAsia="Calibri"/>
          <w:noProof/>
          <w:color w:val="000000"/>
          <w:szCs w:val="22"/>
          <w:lang w:eastAsia="en-US"/>
        </w:rPr>
        <w:lastRenderedPageBreak/>
        <w:t>(3)</w:t>
      </w:r>
      <w:r w:rsidRPr="000D7FD8">
        <w:rPr>
          <w:rFonts w:eastAsia="Calibri"/>
          <w:noProof/>
          <w:color w:val="000000"/>
          <w:szCs w:val="22"/>
          <w:lang w:eastAsia="en-US"/>
        </w:rPr>
        <w:tab/>
        <w:t>Les engagements internationaux permettant aux transporteurs établis en Suisse d'effectuer des transports de cabotage au sein de l'Union sont susceptibles d'affecter l'article 20 de l'accord UE-Suisse, étant donné que ledit article n'autorise pas de tels transports.</w:t>
      </w:r>
    </w:p>
    <w:p w14:paraId="7314B418" w14:textId="77777777" w:rsidR="000D7FD8" w:rsidRPr="000D7FD8" w:rsidRDefault="000D7FD8" w:rsidP="000D7FD8">
      <w:pPr>
        <w:widowControl/>
        <w:spacing w:before="120" w:after="120" w:line="360" w:lineRule="auto"/>
        <w:ind w:left="851" w:hanging="851"/>
        <w:rPr>
          <w:rFonts w:eastAsia="Calibri"/>
          <w:noProof/>
          <w:color w:val="000000"/>
          <w:szCs w:val="22"/>
          <w:lang w:eastAsia="en-US"/>
        </w:rPr>
      </w:pPr>
      <w:r w:rsidRPr="000D7FD8">
        <w:rPr>
          <w:rFonts w:eastAsia="Calibri"/>
          <w:noProof/>
          <w:color w:val="000000"/>
          <w:szCs w:val="22"/>
          <w:lang w:eastAsia="en-US"/>
        </w:rPr>
        <w:t>(4)</w:t>
      </w:r>
      <w:r w:rsidRPr="000D7FD8">
        <w:rPr>
          <w:rFonts w:eastAsia="Calibri"/>
          <w:noProof/>
          <w:color w:val="000000"/>
          <w:szCs w:val="22"/>
          <w:lang w:eastAsia="en-US"/>
        </w:rPr>
        <w:tab/>
        <w:t>De plus, le règlement (CE) n° 1073/2009 du Parlement européen et du Conseil</w:t>
      </w:r>
      <w:r w:rsidRPr="000D7FD8">
        <w:rPr>
          <w:rFonts w:eastAsia="Calibri"/>
          <w:b/>
          <w:bCs/>
          <w:noProof/>
          <w:color w:val="000000"/>
          <w:szCs w:val="22"/>
          <w:vertAlign w:val="superscript"/>
          <w:lang w:eastAsia="en-US"/>
        </w:rPr>
        <w:footnoteReference w:id="6"/>
      </w:r>
      <w:r w:rsidRPr="000D7FD8">
        <w:rPr>
          <w:rFonts w:eastAsia="Calibri"/>
          <w:noProof/>
          <w:color w:val="000000"/>
          <w:szCs w:val="22"/>
          <w:lang w:eastAsia="en-US"/>
        </w:rPr>
        <w:t xml:space="preserve"> permet que les transports de cabotage dans l'Union soient effectués, sous certaines conditions, exclusivement par des transporteurs titulaires d'une licence communautaire. Les engagements internationaux permettant aux transporteurs de pays tiers, non titulaires de ladite licence, d'effectuer des transports de ce type sont susceptibles d'affecter ce règlement.</w:t>
      </w:r>
    </w:p>
    <w:p w14:paraId="7C4E0430" w14:textId="77777777" w:rsidR="000D7FD8" w:rsidRPr="000D7FD8" w:rsidRDefault="000D7FD8" w:rsidP="000D7FD8">
      <w:pPr>
        <w:widowControl/>
        <w:spacing w:before="120" w:after="120" w:line="360" w:lineRule="auto"/>
        <w:ind w:left="851" w:hanging="851"/>
        <w:rPr>
          <w:rFonts w:eastAsia="Calibri"/>
          <w:noProof/>
          <w:color w:val="000000"/>
          <w:szCs w:val="22"/>
          <w:lang w:eastAsia="en-US"/>
        </w:rPr>
      </w:pPr>
      <w:r w:rsidRPr="000D7FD8">
        <w:rPr>
          <w:rFonts w:eastAsia="Calibri"/>
          <w:noProof/>
          <w:color w:val="000000"/>
          <w:szCs w:val="22"/>
          <w:lang w:eastAsia="en-US"/>
        </w:rPr>
        <w:t>(5)</w:t>
      </w:r>
      <w:r w:rsidRPr="000D7FD8">
        <w:rPr>
          <w:rFonts w:eastAsia="Calibri"/>
          <w:noProof/>
          <w:color w:val="000000"/>
          <w:szCs w:val="22"/>
          <w:lang w:eastAsia="en-US"/>
        </w:rPr>
        <w:tab/>
        <w:t>Par conséquent, ces engagements internationaux relèvent de la compétence externe exclusive de l'Union. Les États membres peuvent négocier ou conclure de tels engagements uniquement s'ils sont habilités à le faire par l'Union, conformément à l'article 2, paragraphe 1, du traité sur le fonctionnement de l’Union européenne.</w:t>
      </w:r>
    </w:p>
    <w:p w14:paraId="58038EDC" w14:textId="77777777" w:rsidR="000D7FD8" w:rsidRPr="000D7FD8" w:rsidRDefault="000D7FD8" w:rsidP="000D7FD8">
      <w:pPr>
        <w:widowControl/>
        <w:spacing w:after="160" w:line="259" w:lineRule="auto"/>
        <w:rPr>
          <w:rFonts w:eastAsia="Calibri"/>
          <w:noProof/>
          <w:color w:val="000000"/>
          <w:szCs w:val="22"/>
          <w:lang w:eastAsia="en-US"/>
        </w:rPr>
      </w:pPr>
      <w:r w:rsidRPr="000D7FD8">
        <w:rPr>
          <w:rFonts w:eastAsia="Calibri"/>
          <w:noProof/>
          <w:color w:val="000000"/>
          <w:szCs w:val="22"/>
          <w:lang w:eastAsia="en-US"/>
        </w:rPr>
        <w:br w:type="page"/>
      </w:r>
    </w:p>
    <w:p w14:paraId="1B8C7DA4" w14:textId="77777777" w:rsidR="000D7FD8" w:rsidRPr="000D7FD8" w:rsidRDefault="000D7FD8" w:rsidP="000D7FD8">
      <w:pPr>
        <w:widowControl/>
        <w:spacing w:before="120" w:after="120" w:line="360" w:lineRule="auto"/>
        <w:ind w:left="851" w:hanging="851"/>
        <w:rPr>
          <w:rFonts w:eastAsia="Calibri"/>
          <w:noProof/>
          <w:color w:val="000000"/>
          <w:szCs w:val="22"/>
          <w:lang w:eastAsia="en-US"/>
        </w:rPr>
      </w:pPr>
      <w:r w:rsidRPr="000D7FD8">
        <w:rPr>
          <w:rFonts w:eastAsia="Calibri"/>
          <w:noProof/>
          <w:color w:val="000000"/>
          <w:szCs w:val="22"/>
          <w:lang w:eastAsia="en-US"/>
        </w:rPr>
        <w:lastRenderedPageBreak/>
        <w:t>(6)</w:t>
      </w:r>
      <w:r w:rsidRPr="000D7FD8">
        <w:rPr>
          <w:rFonts w:eastAsia="Calibri"/>
          <w:noProof/>
          <w:color w:val="000000"/>
          <w:szCs w:val="22"/>
          <w:lang w:eastAsia="en-US"/>
        </w:rPr>
        <w:tab/>
        <w:t>Les transports de cabotage effectués au sein de l'Union par des transporteurs de pays tiers qui ne sont pas titulaires d'une licence communautaire comme le prévoit règlement (CE) n° 1073/2009 affectent le fonctionnement du marché intérieur des services de transport par autocars et autobus établis par ledit règlement. Il est donc nécessaire qu’une habilitation au titre de l'article 2, paragraphe 1, du traité sur le fonctionnement de l’Union européenne soit octroyée par le législateur de l'Union, conformément à la procédure législative visée à l'article 91 du traité sur le fonctionnement de l’Union européenne.</w:t>
      </w:r>
    </w:p>
    <w:p w14:paraId="77BCCFBF" w14:textId="77777777" w:rsidR="000D7FD8" w:rsidRPr="000D7FD8" w:rsidRDefault="000D7FD8" w:rsidP="000D7FD8">
      <w:pPr>
        <w:widowControl/>
        <w:spacing w:before="120" w:after="120" w:line="360" w:lineRule="auto"/>
        <w:ind w:left="851" w:hanging="851"/>
        <w:rPr>
          <w:rFonts w:eastAsia="Calibri"/>
          <w:noProof/>
          <w:color w:val="000000"/>
          <w:szCs w:val="22"/>
          <w:lang w:eastAsia="en-US"/>
        </w:rPr>
      </w:pPr>
      <w:r w:rsidRPr="000D7FD8">
        <w:rPr>
          <w:rFonts w:eastAsia="Calibri"/>
          <w:noProof/>
          <w:color w:val="000000"/>
          <w:szCs w:val="22"/>
          <w:lang w:eastAsia="en-US"/>
        </w:rPr>
        <w:t>(7)</w:t>
      </w:r>
      <w:r w:rsidRPr="000D7FD8">
        <w:rPr>
          <w:rFonts w:eastAsia="Calibri"/>
          <w:noProof/>
          <w:color w:val="000000"/>
          <w:szCs w:val="22"/>
          <w:lang w:eastAsia="en-US"/>
        </w:rPr>
        <w:tab/>
        <w:t xml:space="preserve">Par lettre du 17 mars 2025, l'Autriche a demandé une habilitation de l'Union afin de modifier l’accord Autriche-Suisse en vue d'autoriser les transports de cabotage lors de la prestation de services de transport international de voyageurs par autocars et autobus dans les régions frontalières de l’Autriche et de la Suisse, </w:t>
      </w:r>
      <w:r w:rsidRPr="000D7FD8">
        <w:rPr>
          <w:rFonts w:eastAsia="Calibri"/>
          <w:b/>
          <w:bCs/>
          <w:i/>
          <w:iCs/>
          <w:noProof/>
          <w:color w:val="000000"/>
          <w:szCs w:val="22"/>
          <w:lang w:eastAsia="en-US"/>
        </w:rPr>
        <w:t>favorisant ainsi une plus grande cohésion territoriale</w:t>
      </w:r>
      <w:r w:rsidRPr="000D7FD8">
        <w:rPr>
          <w:rFonts w:eastAsia="Calibri"/>
          <w:noProof/>
          <w:color w:val="000000"/>
          <w:szCs w:val="22"/>
          <w:lang w:eastAsia="en-US"/>
        </w:rPr>
        <w:t>.</w:t>
      </w:r>
    </w:p>
    <w:p w14:paraId="217AC40E" w14:textId="77777777" w:rsidR="000D7FD8" w:rsidRPr="000D7FD8" w:rsidRDefault="000D7FD8" w:rsidP="000D7FD8">
      <w:pPr>
        <w:widowControl/>
        <w:spacing w:before="120" w:after="120" w:line="360" w:lineRule="auto"/>
        <w:ind w:left="851" w:hanging="851"/>
        <w:rPr>
          <w:rFonts w:eastAsia="Calibri"/>
          <w:noProof/>
          <w:color w:val="000000"/>
          <w:szCs w:val="22"/>
          <w:lang w:eastAsia="en-US"/>
        </w:rPr>
      </w:pPr>
      <w:r w:rsidRPr="000D7FD8">
        <w:rPr>
          <w:rFonts w:eastAsia="Calibri"/>
          <w:noProof/>
          <w:color w:val="000000"/>
          <w:szCs w:val="22"/>
          <w:lang w:eastAsia="en-US"/>
        </w:rPr>
        <w:t>(8)</w:t>
      </w:r>
      <w:r w:rsidRPr="000D7FD8">
        <w:rPr>
          <w:rFonts w:eastAsia="Calibri"/>
          <w:noProof/>
          <w:color w:val="000000"/>
          <w:szCs w:val="22"/>
          <w:lang w:eastAsia="en-US"/>
        </w:rPr>
        <w:tab/>
        <w:t>Les transports de cabotage permettent d'augmenter le facteur de charge des véhicules, ce qui renforce l'efficacité économique des services de transport international de voyageurs par autocars et autobus. Il convient dès lors d'autoriser ces transports lors de la prestation de services de transport international de voyageurs par autocars et autobus dans les régions frontalières de l'Autriche et de la Suisse. Cette étroite intégration de ces régions frontalières pourrait en être encore renforcée.</w:t>
      </w:r>
    </w:p>
    <w:p w14:paraId="7DC015B0" w14:textId="77777777" w:rsidR="000D7FD8" w:rsidRPr="000D7FD8" w:rsidRDefault="000D7FD8" w:rsidP="000D7FD8">
      <w:pPr>
        <w:widowControl/>
        <w:spacing w:after="160" w:line="259" w:lineRule="auto"/>
        <w:rPr>
          <w:rFonts w:eastAsia="Calibri"/>
          <w:noProof/>
          <w:color w:val="000000"/>
          <w:szCs w:val="22"/>
          <w:lang w:eastAsia="en-US"/>
        </w:rPr>
      </w:pPr>
      <w:r w:rsidRPr="000D7FD8">
        <w:rPr>
          <w:rFonts w:eastAsia="Calibri"/>
          <w:noProof/>
          <w:color w:val="000000"/>
          <w:szCs w:val="22"/>
          <w:lang w:eastAsia="en-US"/>
        </w:rPr>
        <w:br w:type="page"/>
      </w:r>
    </w:p>
    <w:p w14:paraId="4D0D0184" w14:textId="77777777" w:rsidR="000D7FD8" w:rsidRPr="000D7FD8" w:rsidRDefault="000D7FD8" w:rsidP="000D7FD8">
      <w:pPr>
        <w:widowControl/>
        <w:spacing w:before="120" w:after="120" w:line="360" w:lineRule="auto"/>
        <w:ind w:left="851" w:hanging="851"/>
        <w:rPr>
          <w:rFonts w:eastAsia="Calibri"/>
          <w:noProof/>
          <w:color w:val="000000"/>
          <w:szCs w:val="22"/>
          <w:lang w:eastAsia="en-US"/>
        </w:rPr>
      </w:pPr>
      <w:r w:rsidRPr="000D7FD8">
        <w:rPr>
          <w:rFonts w:eastAsia="Calibri"/>
          <w:noProof/>
          <w:color w:val="000000"/>
          <w:szCs w:val="22"/>
          <w:lang w:eastAsia="en-US"/>
        </w:rPr>
        <w:lastRenderedPageBreak/>
        <w:t>(9)</w:t>
      </w:r>
      <w:r w:rsidRPr="000D7FD8">
        <w:rPr>
          <w:rFonts w:eastAsia="Calibri"/>
          <w:noProof/>
          <w:color w:val="000000"/>
          <w:szCs w:val="22"/>
          <w:lang w:eastAsia="en-US"/>
        </w:rPr>
        <w:tab/>
        <w:t>Afin de garantir que les transports de cabotage concernés ne modifient pas de manière excessive le fonctionnement du marché intérieur des services de transport par autocars et autobus, établis par le règlement (CE) n° 1073/2009, l’autorisation de ces transports de cabotage devrait être subordonnée aux conditions qu'aucune discrimination ne soit exercée entre des transporteurs établis dans l'Union et qu'il n'y ait pas de distorsions de concurrence.</w:t>
      </w:r>
    </w:p>
    <w:p w14:paraId="06FFF31B" w14:textId="77777777" w:rsidR="000D7FD8" w:rsidRPr="000D7FD8" w:rsidRDefault="000D7FD8" w:rsidP="000D7FD8">
      <w:pPr>
        <w:widowControl/>
        <w:spacing w:before="120" w:after="120" w:line="360" w:lineRule="auto"/>
        <w:ind w:left="851" w:hanging="851"/>
        <w:rPr>
          <w:rFonts w:eastAsia="Calibri"/>
          <w:noProof/>
          <w:color w:val="000000"/>
          <w:szCs w:val="22"/>
          <w:lang w:eastAsia="en-US"/>
        </w:rPr>
      </w:pPr>
      <w:r w:rsidRPr="000D7FD8">
        <w:rPr>
          <w:rFonts w:eastAsia="Calibri"/>
          <w:noProof/>
          <w:color w:val="000000"/>
          <w:szCs w:val="22"/>
          <w:lang w:eastAsia="en-US"/>
        </w:rPr>
        <w:t>(10)</w:t>
      </w:r>
      <w:r w:rsidRPr="000D7FD8">
        <w:rPr>
          <w:rFonts w:eastAsia="Calibri"/>
          <w:noProof/>
          <w:color w:val="000000"/>
          <w:szCs w:val="22"/>
          <w:lang w:eastAsia="en-US"/>
        </w:rPr>
        <w:tab/>
        <w:t>Pour la même raison, les transports de cabotage devraient être autorisés uniquement dans les régions frontalières d'Autriche au cours de la prestation de services de transport international de voyageurs par autocars et autobus entre l'Autriche et la Suisse. À cet effet, il est nécessaire de définir les régions frontalières de l'Autriche aux fins de la présente décision d'une manière qui tienne dûment compte du fonctionnement du règlement (CE) n° 1073/2009, tout en permettant d'accroître l'efficacité des transports concernés,</w:t>
      </w:r>
    </w:p>
    <w:bookmarkEnd w:id="9"/>
    <w:p w14:paraId="241E1798" w14:textId="77777777" w:rsidR="000D7FD8" w:rsidRPr="000D7FD8" w:rsidRDefault="000D7FD8" w:rsidP="000D7FD8">
      <w:pPr>
        <w:widowControl/>
        <w:spacing w:before="120" w:after="120" w:line="360" w:lineRule="auto"/>
        <w:rPr>
          <w:rFonts w:eastAsia="Calibri"/>
          <w:noProof/>
          <w:color w:val="000000"/>
          <w:szCs w:val="22"/>
          <w:lang w:eastAsia="en-US"/>
        </w:rPr>
      </w:pPr>
      <w:r w:rsidRPr="000D7FD8">
        <w:rPr>
          <w:rFonts w:eastAsia="Calibri"/>
          <w:noProof/>
          <w:color w:val="000000"/>
          <w:szCs w:val="22"/>
          <w:lang w:eastAsia="en-US"/>
        </w:rPr>
        <w:t>ONT ADOPTÉ LA PRÉSENTE DÉCISION:</w:t>
      </w:r>
    </w:p>
    <w:p w14:paraId="317BF251" w14:textId="77777777" w:rsidR="000D7FD8" w:rsidRPr="000D7FD8" w:rsidRDefault="000D7FD8" w:rsidP="000D7FD8">
      <w:pPr>
        <w:widowControl/>
        <w:spacing w:after="160" w:line="259" w:lineRule="auto"/>
        <w:rPr>
          <w:rFonts w:eastAsia="Calibri"/>
          <w:i/>
          <w:noProof/>
          <w:color w:val="000000"/>
          <w:szCs w:val="22"/>
          <w:lang w:eastAsia="en-US"/>
        </w:rPr>
      </w:pPr>
      <w:r w:rsidRPr="000D7FD8">
        <w:rPr>
          <w:rFonts w:eastAsia="Calibri"/>
          <w:noProof/>
          <w:color w:val="000000"/>
          <w:szCs w:val="22"/>
          <w:lang w:eastAsia="en-US"/>
        </w:rPr>
        <w:br w:type="page"/>
      </w:r>
    </w:p>
    <w:p w14:paraId="7B0BEDEE" w14:textId="77777777" w:rsidR="000D7FD8" w:rsidRPr="000D7FD8" w:rsidRDefault="000D7FD8" w:rsidP="000D7FD8">
      <w:pPr>
        <w:widowControl/>
        <w:spacing w:before="360" w:after="240" w:line="360" w:lineRule="auto"/>
        <w:jc w:val="center"/>
        <w:rPr>
          <w:rFonts w:eastAsia="Calibri"/>
          <w:i/>
          <w:iCs/>
          <w:color w:val="000000"/>
          <w:szCs w:val="22"/>
          <w:lang w:eastAsia="en-US"/>
        </w:rPr>
      </w:pPr>
      <w:r w:rsidRPr="000D7FD8">
        <w:rPr>
          <w:rFonts w:eastAsia="Calibri"/>
          <w:i/>
          <w:iCs/>
          <w:color w:val="000000"/>
          <w:szCs w:val="22"/>
          <w:lang w:eastAsia="en-US"/>
        </w:rPr>
        <w:lastRenderedPageBreak/>
        <w:t>Article premier</w:t>
      </w:r>
    </w:p>
    <w:p w14:paraId="13B3C1DE" w14:textId="77777777" w:rsidR="000D7FD8" w:rsidRPr="000D7FD8" w:rsidRDefault="000D7FD8" w:rsidP="000D7FD8">
      <w:pPr>
        <w:widowControl/>
        <w:spacing w:before="120" w:after="120" w:line="360" w:lineRule="auto"/>
        <w:rPr>
          <w:rFonts w:eastAsia="Calibri"/>
          <w:color w:val="000000"/>
          <w:szCs w:val="22"/>
          <w:lang w:eastAsia="en-US"/>
        </w:rPr>
      </w:pPr>
      <w:r w:rsidRPr="000D7FD8">
        <w:rPr>
          <w:rFonts w:eastAsia="Calibri"/>
          <w:color w:val="000000"/>
          <w:szCs w:val="22"/>
          <w:lang w:eastAsia="en-US"/>
        </w:rPr>
        <w:t>L'Autriche est habilitée à modifier l’accord bilatéral de transport routier entre l’Autriche et la Suisse du 22 octobre 1958 (ci-après dénommé "accord Autriche-Suisse") en vue d'autoriser les transports de cabotage dans les régions frontalières de l'Autriche et de la Suisse lors de la prestation de services de transport international de voyageurs par autocars et autobus entre les deux pays, à condition qu'il n'y ait aucune discrimination entre des transporteurs établis dans l'Union et qu'il n'y ait pas de distorsion de concurrence.</w:t>
      </w:r>
    </w:p>
    <w:p w14:paraId="7221259B" w14:textId="77777777" w:rsidR="000D7FD8" w:rsidRPr="000D7FD8" w:rsidRDefault="000D7FD8" w:rsidP="000D7FD8">
      <w:pPr>
        <w:widowControl/>
        <w:spacing w:before="120" w:after="120" w:line="360" w:lineRule="auto"/>
        <w:rPr>
          <w:rFonts w:eastAsia="Calibri"/>
          <w:color w:val="000000"/>
          <w:szCs w:val="22"/>
          <w:lang w:eastAsia="en-US"/>
        </w:rPr>
      </w:pPr>
      <w:r w:rsidRPr="000D7FD8">
        <w:rPr>
          <w:rFonts w:eastAsia="Calibri"/>
          <w:color w:val="000000"/>
          <w:szCs w:val="22"/>
          <w:lang w:eastAsia="en-US"/>
        </w:rPr>
        <w:t>Les districts administratifs de Bludenz, de Bregenz, de Dornbirn et de Feldkirch dans la région du Vorarlberg et le district de Landeck dans la région du Tyrol sont considérés comme des régions frontalières de l'Autriche au sens du premier alinéa.</w:t>
      </w:r>
    </w:p>
    <w:p w14:paraId="7CACA1D7" w14:textId="77777777" w:rsidR="000D7FD8" w:rsidRPr="000D7FD8" w:rsidRDefault="000D7FD8" w:rsidP="000D7FD8">
      <w:pPr>
        <w:widowControl/>
        <w:spacing w:after="160" w:line="259" w:lineRule="auto"/>
        <w:rPr>
          <w:rFonts w:eastAsia="Calibri"/>
          <w:i/>
          <w:iCs/>
          <w:color w:val="000000"/>
          <w:szCs w:val="22"/>
          <w:lang w:eastAsia="en-US"/>
        </w:rPr>
      </w:pPr>
      <w:r w:rsidRPr="000D7FD8">
        <w:rPr>
          <w:rFonts w:eastAsia="Calibri"/>
          <w:i/>
          <w:iCs/>
          <w:color w:val="000000"/>
          <w:szCs w:val="22"/>
          <w:lang w:eastAsia="en-US"/>
        </w:rPr>
        <w:br w:type="page"/>
      </w:r>
    </w:p>
    <w:p w14:paraId="05C9C319" w14:textId="77777777" w:rsidR="000D7FD8" w:rsidRPr="000D7FD8" w:rsidRDefault="000D7FD8" w:rsidP="000D7FD8">
      <w:pPr>
        <w:widowControl/>
        <w:spacing w:before="360" w:after="240" w:line="360" w:lineRule="auto"/>
        <w:jc w:val="center"/>
        <w:rPr>
          <w:rFonts w:eastAsia="Calibri"/>
          <w:i/>
          <w:iCs/>
          <w:color w:val="000000"/>
          <w:szCs w:val="22"/>
          <w:lang w:eastAsia="en-US"/>
        </w:rPr>
      </w:pPr>
      <w:r w:rsidRPr="000D7FD8">
        <w:rPr>
          <w:rFonts w:eastAsia="Calibri"/>
          <w:i/>
          <w:iCs/>
          <w:color w:val="000000"/>
          <w:szCs w:val="22"/>
          <w:lang w:eastAsia="en-US"/>
        </w:rPr>
        <w:lastRenderedPageBreak/>
        <w:t>Article 2</w:t>
      </w:r>
    </w:p>
    <w:p w14:paraId="284E51A7" w14:textId="77777777" w:rsidR="000D7FD8" w:rsidRPr="000D7FD8" w:rsidRDefault="000D7FD8" w:rsidP="000D7FD8">
      <w:pPr>
        <w:widowControl/>
        <w:spacing w:before="120" w:after="120" w:line="360" w:lineRule="auto"/>
        <w:rPr>
          <w:rFonts w:eastAsia="Calibri"/>
          <w:color w:val="000000"/>
          <w:szCs w:val="22"/>
          <w:lang w:eastAsia="en-US"/>
        </w:rPr>
      </w:pPr>
      <w:r w:rsidRPr="000D7FD8">
        <w:rPr>
          <w:rFonts w:eastAsia="Calibri"/>
          <w:color w:val="000000"/>
          <w:szCs w:val="22"/>
          <w:lang w:eastAsia="en-US"/>
        </w:rPr>
        <w:t>L'Autriche informe la Commission de la modification de l’accord Autriche-Suisse en application de l'article 1</w:t>
      </w:r>
      <w:r w:rsidRPr="000D7FD8">
        <w:rPr>
          <w:rFonts w:eastAsia="Calibri"/>
          <w:color w:val="000000"/>
          <w:szCs w:val="22"/>
          <w:vertAlign w:val="superscript"/>
          <w:lang w:eastAsia="en-US"/>
        </w:rPr>
        <w:t>er</w:t>
      </w:r>
      <w:r w:rsidRPr="000D7FD8">
        <w:rPr>
          <w:rFonts w:eastAsia="Calibri"/>
          <w:color w:val="000000"/>
          <w:szCs w:val="22"/>
          <w:lang w:eastAsia="en-US"/>
        </w:rPr>
        <w:t xml:space="preserve"> de la présente décision et communique à la Commission le texte de l'accord modifié.</w:t>
      </w:r>
    </w:p>
    <w:p w14:paraId="5F9F36A7" w14:textId="77777777" w:rsidR="000D7FD8" w:rsidRPr="000D7FD8" w:rsidRDefault="000D7FD8" w:rsidP="000D7FD8">
      <w:pPr>
        <w:widowControl/>
        <w:spacing w:before="120" w:after="120" w:line="360" w:lineRule="auto"/>
        <w:rPr>
          <w:rFonts w:eastAsia="Calibri"/>
          <w:color w:val="000000"/>
          <w:szCs w:val="22"/>
          <w:lang w:eastAsia="en-US"/>
        </w:rPr>
      </w:pPr>
      <w:r w:rsidRPr="000D7FD8">
        <w:rPr>
          <w:rFonts w:eastAsia="Calibri"/>
          <w:color w:val="000000"/>
          <w:szCs w:val="22"/>
          <w:lang w:eastAsia="en-US"/>
        </w:rPr>
        <w:t>La Commission en informe le Parlement européen et le Conseil.</w:t>
      </w:r>
    </w:p>
    <w:p w14:paraId="7A008D57" w14:textId="77777777" w:rsidR="000D7FD8" w:rsidRPr="000D7FD8" w:rsidRDefault="000D7FD8" w:rsidP="000D7FD8">
      <w:pPr>
        <w:widowControl/>
        <w:spacing w:before="360" w:after="240" w:line="360" w:lineRule="auto"/>
        <w:jc w:val="center"/>
        <w:rPr>
          <w:rFonts w:eastAsia="Calibri"/>
          <w:i/>
          <w:iCs/>
          <w:color w:val="000000"/>
          <w:szCs w:val="22"/>
          <w:lang w:eastAsia="en-US"/>
        </w:rPr>
      </w:pPr>
      <w:r w:rsidRPr="000D7FD8">
        <w:rPr>
          <w:rFonts w:eastAsia="Calibri"/>
          <w:i/>
          <w:iCs/>
          <w:color w:val="000000"/>
          <w:szCs w:val="22"/>
          <w:lang w:eastAsia="en-US"/>
        </w:rPr>
        <w:t>Article 3</w:t>
      </w:r>
    </w:p>
    <w:p w14:paraId="023B394C" w14:textId="77777777" w:rsidR="000D7FD8" w:rsidRPr="000D7FD8" w:rsidRDefault="000D7FD8" w:rsidP="000D7FD8">
      <w:pPr>
        <w:widowControl/>
        <w:spacing w:before="120" w:after="120" w:line="360" w:lineRule="auto"/>
        <w:rPr>
          <w:rFonts w:eastAsia="Calibri"/>
          <w:color w:val="000000"/>
          <w:szCs w:val="22"/>
          <w:lang w:eastAsia="en-US"/>
        </w:rPr>
      </w:pPr>
      <w:r w:rsidRPr="000D7FD8">
        <w:rPr>
          <w:rFonts w:eastAsia="Calibri"/>
          <w:color w:val="000000"/>
          <w:szCs w:val="22"/>
          <w:lang w:eastAsia="en-US"/>
        </w:rPr>
        <w:t>La République d'Autriche est destinataire de la présente décision.</w:t>
      </w:r>
    </w:p>
    <w:p w14:paraId="3511C14C" w14:textId="77777777" w:rsidR="000D7FD8" w:rsidRPr="000D7FD8" w:rsidRDefault="000D7FD8" w:rsidP="000D7FD8">
      <w:pPr>
        <w:widowControl/>
        <w:spacing w:before="120" w:after="120" w:line="360" w:lineRule="auto"/>
        <w:rPr>
          <w:rFonts w:eastAsia="Calibri"/>
          <w:color w:val="000000"/>
          <w:szCs w:val="22"/>
          <w:lang w:eastAsia="en-US"/>
        </w:rPr>
      </w:pPr>
      <w:r w:rsidRPr="000D7FD8">
        <w:rPr>
          <w:rFonts w:eastAsia="Calibri"/>
          <w:color w:val="000000"/>
          <w:szCs w:val="22"/>
          <w:lang w:eastAsia="en-US"/>
        </w:rPr>
        <w:t>Fait à …, le</w:t>
      </w:r>
    </w:p>
    <w:p w14:paraId="05314C4B" w14:textId="77777777" w:rsidR="000D7FD8" w:rsidRPr="000D7FD8" w:rsidRDefault="000D7FD8" w:rsidP="000D7FD8">
      <w:pPr>
        <w:widowControl/>
        <w:tabs>
          <w:tab w:val="left" w:pos="5670"/>
        </w:tabs>
        <w:spacing w:before="1200" w:after="120"/>
        <w:rPr>
          <w:rFonts w:eastAsia="Calibri"/>
          <w:i/>
          <w:iCs/>
          <w:color w:val="000000"/>
          <w:szCs w:val="22"/>
          <w:lang w:eastAsia="en-US"/>
        </w:rPr>
      </w:pPr>
      <w:r w:rsidRPr="000D7FD8">
        <w:rPr>
          <w:rFonts w:eastAsia="Calibri"/>
          <w:i/>
          <w:iCs/>
          <w:color w:val="000000"/>
          <w:szCs w:val="22"/>
          <w:lang w:eastAsia="en-US"/>
        </w:rPr>
        <w:t>Par le Parlement européen</w:t>
      </w:r>
      <w:r w:rsidRPr="000D7FD8">
        <w:rPr>
          <w:rFonts w:eastAsia="Calibri"/>
          <w:i/>
          <w:iCs/>
          <w:color w:val="000000"/>
          <w:szCs w:val="22"/>
          <w:lang w:eastAsia="en-US"/>
        </w:rPr>
        <w:tab/>
        <w:t>Par le Conseil</w:t>
      </w:r>
    </w:p>
    <w:p w14:paraId="4F488EE5" w14:textId="77777777" w:rsidR="000D7FD8" w:rsidRPr="000D7FD8" w:rsidRDefault="000D7FD8" w:rsidP="000D7FD8">
      <w:pPr>
        <w:widowControl/>
        <w:tabs>
          <w:tab w:val="left" w:pos="5670"/>
        </w:tabs>
        <w:spacing w:before="120" w:after="120"/>
        <w:rPr>
          <w:rFonts w:eastAsia="Calibri"/>
          <w:i/>
          <w:iCs/>
          <w:color w:val="000000"/>
          <w:szCs w:val="22"/>
          <w:lang w:eastAsia="en-US"/>
        </w:rPr>
      </w:pPr>
      <w:r w:rsidRPr="000D7FD8">
        <w:rPr>
          <w:rFonts w:eastAsia="Calibri"/>
          <w:i/>
          <w:iCs/>
          <w:color w:val="000000"/>
          <w:szCs w:val="22"/>
          <w:lang w:eastAsia="en-US"/>
        </w:rPr>
        <w:t>La présidente</w:t>
      </w:r>
      <w:r w:rsidRPr="000D7FD8">
        <w:rPr>
          <w:rFonts w:eastAsia="Calibri"/>
          <w:i/>
          <w:iCs/>
          <w:color w:val="000000"/>
          <w:szCs w:val="22"/>
          <w:lang w:eastAsia="en-US"/>
        </w:rPr>
        <w:tab/>
        <w:t>Le président/La présidente</w:t>
      </w:r>
      <w:bookmarkEnd w:id="7"/>
    </w:p>
    <w:p w14:paraId="716F8A63" w14:textId="13A70678" w:rsidR="00E365E1" w:rsidRDefault="00E365E1" w:rsidP="00FC01C5">
      <w:pPr>
        <w:rPr>
          <w:sz w:val="28"/>
          <w:lang w:eastAsia="fr-FR"/>
        </w:rPr>
      </w:pPr>
    </w:p>
    <w:p w14:paraId="64FC901D" w14:textId="77777777" w:rsidR="000D7FD8" w:rsidRPr="006A6DDF" w:rsidRDefault="000D7FD8" w:rsidP="00FC01C5">
      <w:pPr>
        <w:rPr>
          <w:sz w:val="28"/>
          <w:lang w:eastAsia="fr-FR"/>
        </w:rPr>
      </w:pPr>
    </w:p>
    <w:sectPr w:rsidR="000D7FD8" w:rsidRPr="006A6DDF" w:rsidSect="006A6DDF">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AF4B65" w14:textId="77777777" w:rsidR="00F32D8C" w:rsidRPr="006A6DDF" w:rsidRDefault="00F32D8C">
      <w:r w:rsidRPr="006A6DDF">
        <w:separator/>
      </w:r>
    </w:p>
  </w:endnote>
  <w:endnote w:type="continuationSeparator" w:id="0">
    <w:p w14:paraId="650829D6" w14:textId="77777777" w:rsidR="00F32D8C" w:rsidRPr="006A6DDF" w:rsidRDefault="00F32D8C">
      <w:r w:rsidRPr="006A6DD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03802E" w14:textId="77777777" w:rsidR="00064002" w:rsidRPr="006A6DDF"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24398E" w14:textId="77777777" w:rsidR="00064002" w:rsidRPr="006A6DDF"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9E5CB9" w14:textId="77777777" w:rsidR="00064002" w:rsidRPr="006A6DD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33FF64" w14:textId="77777777" w:rsidR="00F32D8C" w:rsidRPr="006A6DDF" w:rsidRDefault="00F32D8C">
      <w:r w:rsidRPr="006A6DDF">
        <w:separator/>
      </w:r>
    </w:p>
  </w:footnote>
  <w:footnote w:type="continuationSeparator" w:id="0">
    <w:p w14:paraId="437A27BD" w14:textId="77777777" w:rsidR="00F32D8C" w:rsidRPr="006A6DDF" w:rsidRDefault="00F32D8C">
      <w:r w:rsidRPr="006A6DDF">
        <w:continuationSeparator/>
      </w:r>
    </w:p>
  </w:footnote>
  <w:footnote w:id="1">
    <w:p w14:paraId="56705E45" w14:textId="6063B862" w:rsidR="00FC01C5" w:rsidRPr="003470F9" w:rsidRDefault="00FC01C5" w:rsidP="006A6DDF">
      <w:pPr>
        <w:pStyle w:val="FootnoteText"/>
        <w:ind w:left="567" w:hanging="567"/>
        <w:rPr>
          <w:sz w:val="24"/>
          <w:lang w:val="fi-FI"/>
        </w:rPr>
      </w:pPr>
      <w:r w:rsidRPr="006A6DDF">
        <w:rPr>
          <w:rStyle w:val="FootnoteReference"/>
          <w:sz w:val="24"/>
        </w:rPr>
        <w:footnoteRef/>
      </w:r>
      <w:r w:rsidR="006A6DDF" w:rsidRPr="00A95AB7">
        <w:rPr>
          <w:sz w:val="24"/>
          <w:lang w:val="fi-FI"/>
        </w:rPr>
        <w:t xml:space="preserve"> </w:t>
      </w:r>
      <w:r w:rsidR="006A6DDF" w:rsidRPr="00A95AB7">
        <w:rPr>
          <w:sz w:val="24"/>
          <w:lang w:val="fi-FI"/>
        </w:rPr>
        <w:tab/>
      </w:r>
      <w:r w:rsidRPr="00A95AB7">
        <w:rPr>
          <w:sz w:val="24"/>
          <w:lang w:val="fi-FI"/>
        </w:rPr>
        <w:t xml:space="preserve">JO C, C/2026/1970, 28.4.2026, ELI: </w:t>
      </w:r>
      <w:r>
        <w:fldChar w:fldCharType="begin"/>
      </w:r>
      <w:r w:rsidRPr="00BD525B">
        <w:rPr>
          <w:lang w:val="fi-FI"/>
        </w:rPr>
        <w:instrText>HYPERLINK "http://data.europa.eu/eli/C/2026/1970/oj"</w:instrText>
      </w:r>
      <w:r>
        <w:fldChar w:fldCharType="separate"/>
      </w:r>
      <w:r w:rsidRPr="00A95AB7">
        <w:rPr>
          <w:rStyle w:val="Hyperlink"/>
          <w:sz w:val="24"/>
          <w:lang w:val="fi-FI"/>
        </w:rPr>
        <w:t>http://data.europa.eu/eli/C/2026/1970/oj</w:t>
      </w:r>
      <w:r>
        <w:fldChar w:fldCharType="end"/>
      </w:r>
      <w:r w:rsidR="003470F9" w:rsidRPr="003470F9">
        <w:rPr>
          <w:lang w:val="fi-FI"/>
        </w:rPr>
        <w:t>.</w:t>
      </w:r>
    </w:p>
  </w:footnote>
  <w:footnote w:id="2">
    <w:p w14:paraId="2D9EC321" w14:textId="77777777" w:rsidR="000D7FD8" w:rsidRPr="003552C3" w:rsidRDefault="000D7FD8" w:rsidP="000D7FD8">
      <w:pPr>
        <w:pStyle w:val="FootnoteText"/>
        <w:ind w:left="850" w:hanging="850"/>
        <w:rPr>
          <w:color w:val="000000"/>
          <w:sz w:val="24"/>
          <w:szCs w:val="24"/>
          <w:lang w:val="fi-FI"/>
        </w:rPr>
      </w:pPr>
      <w:r w:rsidRPr="003552C3">
        <w:rPr>
          <w:rStyle w:val="FootnoteReference"/>
          <w:b/>
          <w:bCs/>
          <w:color w:val="000000"/>
          <w:szCs w:val="24"/>
        </w:rPr>
        <w:footnoteRef/>
      </w:r>
      <w:r w:rsidRPr="003552C3">
        <w:rPr>
          <w:color w:val="000000"/>
          <w:sz w:val="24"/>
          <w:szCs w:val="24"/>
          <w:lang w:val="fi-FI"/>
        </w:rPr>
        <w:tab/>
        <w:t xml:space="preserve">JO C, C/2026/1970, 28.4.2026, ELI: </w:t>
      </w:r>
      <w:r>
        <w:fldChar w:fldCharType="begin"/>
      </w:r>
      <w:r w:rsidRPr="00BD525B">
        <w:rPr>
          <w:lang w:val="fi-FI"/>
        </w:rPr>
        <w:instrText>HYPERLINK "http://data.europa.eu/eli/C/2026/1970/oj"</w:instrText>
      </w:r>
      <w:r>
        <w:fldChar w:fldCharType="separate"/>
      </w:r>
      <w:r w:rsidRPr="003552C3">
        <w:rPr>
          <w:rStyle w:val="Hyperlink"/>
          <w:color w:val="0000FF"/>
          <w:sz w:val="24"/>
          <w:lang w:val="fi-FI"/>
        </w:rPr>
        <w:t>http://data.europa.eu/eli/C/2026/1970/oj</w:t>
      </w:r>
      <w:r>
        <w:fldChar w:fldCharType="end"/>
      </w:r>
      <w:r w:rsidRPr="003552C3">
        <w:rPr>
          <w:color w:val="000000"/>
          <w:sz w:val="24"/>
          <w:szCs w:val="24"/>
          <w:lang w:val="fi-FI"/>
        </w:rPr>
        <w:t>.</w:t>
      </w:r>
    </w:p>
  </w:footnote>
  <w:footnote w:id="3">
    <w:p w14:paraId="3EB09DF5" w14:textId="7CA3584D" w:rsidR="000D7FD8" w:rsidRPr="003552C3" w:rsidRDefault="000D7FD8" w:rsidP="000D7FD8">
      <w:pPr>
        <w:pStyle w:val="FootnoteText"/>
        <w:ind w:left="850" w:hanging="850"/>
        <w:rPr>
          <w:color w:val="000000"/>
          <w:sz w:val="24"/>
          <w:szCs w:val="24"/>
          <w:lang w:val="fr-BE"/>
        </w:rPr>
      </w:pPr>
      <w:r w:rsidRPr="003552C3">
        <w:rPr>
          <w:rStyle w:val="FootnoteReference"/>
          <w:b/>
          <w:bCs/>
          <w:color w:val="000000"/>
          <w:szCs w:val="24"/>
        </w:rPr>
        <w:footnoteRef/>
      </w:r>
      <w:r w:rsidRPr="003552C3">
        <w:rPr>
          <w:color w:val="000000"/>
          <w:sz w:val="24"/>
          <w:szCs w:val="24"/>
          <w:lang w:val="fr-BE"/>
        </w:rPr>
        <w:tab/>
        <w:t xml:space="preserve">Position du Parlement européen du </w:t>
      </w:r>
      <w:r w:rsidR="00763F54">
        <w:rPr>
          <w:color w:val="000000"/>
          <w:sz w:val="24"/>
          <w:szCs w:val="24"/>
          <w:lang w:val="fr-BE"/>
        </w:rPr>
        <w:t>7 juillet 2026.</w:t>
      </w:r>
    </w:p>
  </w:footnote>
  <w:footnote w:id="4">
    <w:p w14:paraId="18A89919" w14:textId="77777777" w:rsidR="000D7FD8" w:rsidRPr="003552C3" w:rsidRDefault="000D7FD8" w:rsidP="000D7FD8">
      <w:pPr>
        <w:pStyle w:val="FootnoteText"/>
        <w:ind w:left="850" w:hanging="850"/>
        <w:rPr>
          <w:color w:val="000000"/>
          <w:sz w:val="24"/>
          <w:szCs w:val="24"/>
          <w:lang w:val="da-DK"/>
        </w:rPr>
      </w:pPr>
      <w:r w:rsidRPr="003552C3">
        <w:rPr>
          <w:rStyle w:val="FootnoteReference"/>
          <w:b/>
          <w:bCs/>
          <w:color w:val="000000"/>
          <w:szCs w:val="24"/>
        </w:rPr>
        <w:footnoteRef/>
      </w:r>
      <w:r w:rsidRPr="003552C3">
        <w:rPr>
          <w:color w:val="000000"/>
          <w:sz w:val="24"/>
          <w:szCs w:val="24"/>
          <w:lang w:val="da-DK"/>
        </w:rPr>
        <w:tab/>
        <w:t>JO L 114 du 30.4.2002, p. 91, ELI: </w:t>
      </w:r>
      <w:r>
        <w:fldChar w:fldCharType="begin"/>
      </w:r>
      <w:r w:rsidRPr="00BD525B">
        <w:rPr>
          <w:lang w:val="da-DK"/>
        </w:rPr>
        <w:instrText>HYPERLINK "http://data.europa.eu/eli/agree_internation/2002/309(3)/oj" \o "Donne accès à ce document par l’intermédiaire de son URI ELI."</w:instrText>
      </w:r>
      <w:r>
        <w:fldChar w:fldCharType="separate"/>
      </w:r>
      <w:r w:rsidRPr="003552C3">
        <w:rPr>
          <w:rStyle w:val="Hyperlink"/>
          <w:color w:val="0000FF"/>
          <w:sz w:val="24"/>
          <w:szCs w:val="24"/>
          <w:lang w:val="da-DK"/>
        </w:rPr>
        <w:t>http://data.europa.eu/eli/agree_internation/2002/309(3)/oj</w:t>
      </w:r>
      <w:r>
        <w:fldChar w:fldCharType="end"/>
      </w:r>
      <w:r w:rsidRPr="003552C3">
        <w:rPr>
          <w:color w:val="000000"/>
          <w:sz w:val="24"/>
          <w:szCs w:val="24"/>
          <w:lang w:val="da-DK"/>
        </w:rPr>
        <w:t>.</w:t>
      </w:r>
    </w:p>
  </w:footnote>
  <w:footnote w:id="5">
    <w:p w14:paraId="17060670" w14:textId="77777777" w:rsidR="000D7FD8" w:rsidRPr="003552C3" w:rsidRDefault="000D7FD8" w:rsidP="000D7FD8">
      <w:pPr>
        <w:pStyle w:val="FootnoteText"/>
        <w:ind w:left="850" w:hanging="850"/>
        <w:rPr>
          <w:color w:val="000000"/>
          <w:sz w:val="24"/>
          <w:szCs w:val="24"/>
        </w:rPr>
      </w:pPr>
      <w:r w:rsidRPr="003552C3">
        <w:rPr>
          <w:rStyle w:val="FootnoteReference"/>
          <w:b/>
          <w:bCs/>
          <w:color w:val="000000"/>
          <w:szCs w:val="24"/>
        </w:rPr>
        <w:footnoteRef/>
      </w:r>
      <w:r w:rsidRPr="003552C3">
        <w:rPr>
          <w:color w:val="000000"/>
          <w:sz w:val="24"/>
          <w:szCs w:val="24"/>
        </w:rPr>
        <w:tab/>
        <w:t>BGBL. (Autriche) N° 123/1959.</w:t>
      </w:r>
    </w:p>
  </w:footnote>
  <w:footnote w:id="6">
    <w:p w14:paraId="5D31AC8F" w14:textId="77777777" w:rsidR="000D7FD8" w:rsidRPr="003552C3" w:rsidRDefault="000D7FD8" w:rsidP="000D7FD8">
      <w:pPr>
        <w:pStyle w:val="FootnoteText"/>
        <w:ind w:left="850" w:hanging="850"/>
        <w:rPr>
          <w:color w:val="000000"/>
          <w:sz w:val="24"/>
          <w:szCs w:val="24"/>
        </w:rPr>
      </w:pPr>
      <w:r w:rsidRPr="003552C3">
        <w:rPr>
          <w:rStyle w:val="FootnoteReference"/>
          <w:b/>
          <w:bCs/>
          <w:color w:val="000000"/>
          <w:szCs w:val="24"/>
        </w:rPr>
        <w:footnoteRef/>
      </w:r>
      <w:r w:rsidRPr="003552C3">
        <w:rPr>
          <w:color w:val="000000"/>
          <w:sz w:val="24"/>
          <w:szCs w:val="24"/>
        </w:rPr>
        <w:tab/>
        <w:t xml:space="preserve">Règlement (CE) n° 1073/2009 du Parlement européen et du Conseil du 21 octobre 2009 établissant des règles communes pour l'accès au marché international des services de transport par autocars et autobus, et modifiant le règlement (CE) n° 561/2006 (JO L 300 du 14.11.2009, p. 88, </w:t>
      </w:r>
      <w:proofErr w:type="gramStart"/>
      <w:r w:rsidRPr="003552C3">
        <w:rPr>
          <w:color w:val="000000"/>
          <w:sz w:val="24"/>
          <w:szCs w:val="24"/>
        </w:rPr>
        <w:t>ELI:</w:t>
      </w:r>
      <w:proofErr w:type="gramEnd"/>
      <w:r w:rsidRPr="003552C3">
        <w:rPr>
          <w:color w:val="000000"/>
          <w:sz w:val="24"/>
          <w:szCs w:val="24"/>
        </w:rPr>
        <w:t> </w:t>
      </w:r>
      <w:hyperlink r:id="rId1" w:tooltip="Donne accès à ce document par l’intermédiaire de son URI ELI." w:history="1">
        <w:r w:rsidRPr="003552C3">
          <w:rPr>
            <w:rStyle w:val="Hyperlink"/>
            <w:color w:val="0000FF"/>
            <w:sz w:val="24"/>
            <w:szCs w:val="24"/>
          </w:rPr>
          <w:t>http://data.europa.eu/eli/reg/2009/1073/oj</w:t>
        </w:r>
      </w:hyperlink>
      <w:r w:rsidRPr="003552C3">
        <w:rPr>
          <w:color w:val="000000"/>
          <w:sz w:val="24"/>
          <w:szCs w:val="24"/>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81D918" w14:textId="77777777" w:rsidR="00064002" w:rsidRPr="006A6DDF"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3F4386" w14:textId="77777777" w:rsidR="00064002" w:rsidRPr="006A6DDF"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F9B6B6" w14:textId="77777777" w:rsidR="00064002" w:rsidRPr="006A6DD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330403353">
    <w:abstractNumId w:val="9"/>
  </w:num>
  <w:num w:numId="2" w16cid:durableId="1387796606">
    <w:abstractNumId w:val="9"/>
  </w:num>
  <w:num w:numId="3" w16cid:durableId="752169834">
    <w:abstractNumId w:val="7"/>
  </w:num>
  <w:num w:numId="4" w16cid:durableId="1046490331">
    <w:abstractNumId w:val="7"/>
  </w:num>
  <w:num w:numId="5" w16cid:durableId="429547314">
    <w:abstractNumId w:val="6"/>
  </w:num>
  <w:num w:numId="6" w16cid:durableId="1855460092">
    <w:abstractNumId w:val="6"/>
  </w:num>
  <w:num w:numId="7" w16cid:durableId="2094399611">
    <w:abstractNumId w:val="5"/>
  </w:num>
  <w:num w:numId="8" w16cid:durableId="459038916">
    <w:abstractNumId w:val="5"/>
  </w:num>
  <w:num w:numId="9" w16cid:durableId="657272793">
    <w:abstractNumId w:val="4"/>
  </w:num>
  <w:num w:numId="10" w16cid:durableId="177887596">
    <w:abstractNumId w:val="4"/>
  </w:num>
  <w:num w:numId="11" w16cid:durableId="566572634">
    <w:abstractNumId w:val="8"/>
  </w:num>
  <w:num w:numId="12" w16cid:durableId="857280599">
    <w:abstractNumId w:val="8"/>
  </w:num>
  <w:num w:numId="13" w16cid:durableId="311176467">
    <w:abstractNumId w:val="3"/>
  </w:num>
  <w:num w:numId="14" w16cid:durableId="411314587">
    <w:abstractNumId w:val="3"/>
  </w:num>
  <w:num w:numId="15" w16cid:durableId="1180386344">
    <w:abstractNumId w:val="2"/>
  </w:num>
  <w:num w:numId="16" w16cid:durableId="1873565221">
    <w:abstractNumId w:val="2"/>
  </w:num>
  <w:num w:numId="17" w16cid:durableId="1539657393">
    <w:abstractNumId w:val="1"/>
  </w:num>
  <w:num w:numId="18" w16cid:durableId="706638427">
    <w:abstractNumId w:val="1"/>
  </w:num>
  <w:num w:numId="19" w16cid:durableId="293097791">
    <w:abstractNumId w:val="0"/>
  </w:num>
  <w:num w:numId="20" w16cid:durableId="449520230">
    <w:abstractNumId w:val="0"/>
  </w:num>
  <w:num w:numId="21" w16cid:durableId="1112937198">
    <w:abstractNumId w:val="9"/>
  </w:num>
  <w:num w:numId="22" w16cid:durableId="559092843">
    <w:abstractNumId w:val="7"/>
  </w:num>
  <w:num w:numId="23" w16cid:durableId="809857347">
    <w:abstractNumId w:val="6"/>
  </w:num>
  <w:num w:numId="24" w16cid:durableId="1548950657">
    <w:abstractNumId w:val="5"/>
  </w:num>
  <w:num w:numId="25" w16cid:durableId="305164520">
    <w:abstractNumId w:val="4"/>
  </w:num>
  <w:num w:numId="26" w16cid:durableId="1387989270">
    <w:abstractNumId w:val="8"/>
  </w:num>
  <w:num w:numId="27" w16cid:durableId="1541278444">
    <w:abstractNumId w:val="3"/>
  </w:num>
  <w:num w:numId="28" w16cid:durableId="820196699">
    <w:abstractNumId w:val="2"/>
  </w:num>
  <w:num w:numId="29" w16cid:durableId="1901938885">
    <w:abstractNumId w:val="1"/>
  </w:num>
  <w:num w:numId="30" w16cid:durableId="40638365">
    <w:abstractNumId w:val="0"/>
  </w:num>
  <w:num w:numId="31" w16cid:durableId="1791122603">
    <w:abstractNumId w:val="9"/>
  </w:num>
  <w:num w:numId="32" w16cid:durableId="1300185853">
    <w:abstractNumId w:val="7"/>
  </w:num>
  <w:num w:numId="33" w16cid:durableId="1374161174">
    <w:abstractNumId w:val="6"/>
  </w:num>
  <w:num w:numId="34" w16cid:durableId="1230076263">
    <w:abstractNumId w:val="5"/>
  </w:num>
  <w:num w:numId="35" w16cid:durableId="2049257528">
    <w:abstractNumId w:val="4"/>
  </w:num>
  <w:num w:numId="36" w16cid:durableId="1365208876">
    <w:abstractNumId w:val="8"/>
  </w:num>
  <w:num w:numId="37" w16cid:durableId="599528715">
    <w:abstractNumId w:val="3"/>
  </w:num>
  <w:num w:numId="38" w16cid:durableId="1830486678">
    <w:abstractNumId w:val="2"/>
  </w:num>
  <w:num w:numId="39" w16cid:durableId="272175646">
    <w:abstractNumId w:val="1"/>
  </w:num>
  <w:num w:numId="40" w16cid:durableId="311444404">
    <w:abstractNumId w:val="0"/>
  </w:num>
  <w:num w:numId="41" w16cid:durableId="1008487285">
    <w:abstractNumId w:val="10"/>
  </w:num>
  <w:num w:numId="42" w16cid:durableId="200170535">
    <w:abstractNumId w:val="10"/>
  </w:num>
  <w:num w:numId="43" w16cid:durableId="410664601">
    <w:abstractNumId w:val="10"/>
  </w:num>
  <w:num w:numId="44" w16cid:durableId="88834742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74/2026"/>
    <w:docVar w:name="dvlangue" w:val="FR"/>
    <w:docVar w:name="dvnumam" w:val="0"/>
    <w:docVar w:name="dvpe" w:val="785.404"/>
    <w:docVar w:name="dvrapporteur" w:val="Rapporteure: "/>
    <w:docVar w:name="dvstar" w:val="***I"/>
    <w:docVar w:name="dvtitre" w:val="Résolution législative du Parlement européen du ... 2026 sur la proposition de décision du Parlement européen et du Conseil habilitant l’Autriche à modifier son accord bilatéral existant de transport routier avec la Suisse en vue d’autoriser les transports de cabotage lors de la prestation de services de transport international routier de voyageurs par autocars et autobus dans les régions frontalières entre les deux pays(COM(2025)0773 – C10-0367/2025 – 2025/0407(COD))"/>
  </w:docVars>
  <w:rsids>
    <w:rsidRoot w:val="00F32D8C"/>
    <w:rsid w:val="00002272"/>
    <w:rsid w:val="00064002"/>
    <w:rsid w:val="000677B9"/>
    <w:rsid w:val="000831BA"/>
    <w:rsid w:val="000A42CC"/>
    <w:rsid w:val="000B559F"/>
    <w:rsid w:val="000D7FD8"/>
    <w:rsid w:val="000E7DD9"/>
    <w:rsid w:val="0010095E"/>
    <w:rsid w:val="00125B37"/>
    <w:rsid w:val="00187494"/>
    <w:rsid w:val="001946C4"/>
    <w:rsid w:val="001F32AE"/>
    <w:rsid w:val="00216B6E"/>
    <w:rsid w:val="00225FD7"/>
    <w:rsid w:val="002767FF"/>
    <w:rsid w:val="002B18FE"/>
    <w:rsid w:val="002B5493"/>
    <w:rsid w:val="00343214"/>
    <w:rsid w:val="003470F9"/>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72525"/>
    <w:rsid w:val="005C2568"/>
    <w:rsid w:val="005D3FF7"/>
    <w:rsid w:val="005E0AF5"/>
    <w:rsid w:val="005F1B17"/>
    <w:rsid w:val="006037C0"/>
    <w:rsid w:val="006631B6"/>
    <w:rsid w:val="00680577"/>
    <w:rsid w:val="006A6DDF"/>
    <w:rsid w:val="006C511F"/>
    <w:rsid w:val="006F74FA"/>
    <w:rsid w:val="00731ADD"/>
    <w:rsid w:val="00734777"/>
    <w:rsid w:val="00747932"/>
    <w:rsid w:val="00751A4A"/>
    <w:rsid w:val="00756632"/>
    <w:rsid w:val="00762C74"/>
    <w:rsid w:val="00763F54"/>
    <w:rsid w:val="00786EC0"/>
    <w:rsid w:val="007D1690"/>
    <w:rsid w:val="007E22AD"/>
    <w:rsid w:val="00817416"/>
    <w:rsid w:val="00842779"/>
    <w:rsid w:val="00865F67"/>
    <w:rsid w:val="00881A7B"/>
    <w:rsid w:val="008840E5"/>
    <w:rsid w:val="00887B3E"/>
    <w:rsid w:val="008C2AC6"/>
    <w:rsid w:val="00930C23"/>
    <w:rsid w:val="0093193B"/>
    <w:rsid w:val="00932013"/>
    <w:rsid w:val="009509D8"/>
    <w:rsid w:val="00950B64"/>
    <w:rsid w:val="00981893"/>
    <w:rsid w:val="00A1114B"/>
    <w:rsid w:val="00A1687D"/>
    <w:rsid w:val="00A43E52"/>
    <w:rsid w:val="00A4678D"/>
    <w:rsid w:val="00A517B2"/>
    <w:rsid w:val="00A778C7"/>
    <w:rsid w:val="00A95AB7"/>
    <w:rsid w:val="00AB441E"/>
    <w:rsid w:val="00AB6293"/>
    <w:rsid w:val="00AE0928"/>
    <w:rsid w:val="00AF3B82"/>
    <w:rsid w:val="00B12E95"/>
    <w:rsid w:val="00B22876"/>
    <w:rsid w:val="00B558F0"/>
    <w:rsid w:val="00BD48FE"/>
    <w:rsid w:val="00BD525B"/>
    <w:rsid w:val="00BD7BD8"/>
    <w:rsid w:val="00BE6ADC"/>
    <w:rsid w:val="00BF1AC1"/>
    <w:rsid w:val="00C05BFE"/>
    <w:rsid w:val="00C23CD4"/>
    <w:rsid w:val="00C61C0C"/>
    <w:rsid w:val="00C941CB"/>
    <w:rsid w:val="00CC2357"/>
    <w:rsid w:val="00CF071A"/>
    <w:rsid w:val="00D058B8"/>
    <w:rsid w:val="00D56C11"/>
    <w:rsid w:val="00D834A0"/>
    <w:rsid w:val="00D872DF"/>
    <w:rsid w:val="00D91E21"/>
    <w:rsid w:val="00D939F5"/>
    <w:rsid w:val="00DA7FCD"/>
    <w:rsid w:val="00E365E1"/>
    <w:rsid w:val="00E820A4"/>
    <w:rsid w:val="00E94A33"/>
    <w:rsid w:val="00EB006A"/>
    <w:rsid w:val="00EB4772"/>
    <w:rsid w:val="00ED169E"/>
    <w:rsid w:val="00ED4235"/>
    <w:rsid w:val="00F04346"/>
    <w:rsid w:val="00F075DC"/>
    <w:rsid w:val="00F149E9"/>
    <w:rsid w:val="00F32D8C"/>
    <w:rsid w:val="00F5134D"/>
    <w:rsid w:val="00F74202"/>
    <w:rsid w:val="00F87713"/>
    <w:rsid w:val="00FB4360"/>
    <w:rsid w:val="00FC01C5"/>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85571D8"/>
  <w15:chartTrackingRefBased/>
  <w15:docId w15:val="{98F0C302-9382-4709-9117-849F782E6A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link w:val="NormalBoldChar"/>
    <w:rsid w:val="00FC01C5"/>
    <w:rPr>
      <w:b/>
    </w:rPr>
  </w:style>
  <w:style w:type="paragraph" w:customStyle="1" w:styleId="AmJustText">
    <w:name w:val="AmJustText"/>
    <w:basedOn w:val="Normal"/>
    <w:rsid w:val="00FC01C5"/>
    <w:pPr>
      <w:spacing w:after="240"/>
    </w:pPr>
    <w:rPr>
      <w:i/>
    </w:rPr>
  </w:style>
  <w:style w:type="paragraph" w:customStyle="1" w:styleId="NormalHanging12a">
    <w:name w:val="NormalHanging12a"/>
    <w:basedOn w:val="Normal"/>
    <w:rsid w:val="00FC01C5"/>
    <w:pPr>
      <w:spacing w:after="240"/>
      <w:ind w:left="567" w:hanging="567"/>
    </w:pPr>
  </w:style>
  <w:style w:type="paragraph" w:customStyle="1" w:styleId="AmJustTitle">
    <w:name w:val="AmJustTitle"/>
    <w:basedOn w:val="Normal"/>
    <w:next w:val="AmJustText"/>
    <w:rsid w:val="00FC01C5"/>
    <w:pPr>
      <w:keepNext/>
      <w:spacing w:before="240" w:after="240"/>
      <w:jc w:val="center"/>
    </w:pPr>
    <w:rPr>
      <w:i/>
    </w:rPr>
  </w:style>
  <w:style w:type="paragraph" w:customStyle="1" w:styleId="AmNumberTabs">
    <w:name w:val="AmNumberTabs"/>
    <w:basedOn w:val="Normal"/>
    <w:rsid w:val="00FC01C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EPComma">
    <w:name w:val="EPComma"/>
    <w:basedOn w:val="Normal"/>
    <w:rsid w:val="00FC01C5"/>
    <w:pPr>
      <w:spacing w:before="480" w:after="240"/>
    </w:pPr>
  </w:style>
  <w:style w:type="character" w:customStyle="1" w:styleId="NormalBoldChar">
    <w:name w:val="NormalBold Char"/>
    <w:basedOn w:val="DefaultParagraphFont"/>
    <w:link w:val="NormalBold"/>
    <w:locked/>
    <w:rsid w:val="00FC01C5"/>
    <w:rPr>
      <w:b/>
      <w:sz w:val="24"/>
      <w:lang w:val="fr-FR"/>
    </w:rPr>
  </w:style>
  <w:style w:type="character" w:customStyle="1" w:styleId="Normal6Char">
    <w:name w:val="Normal6 Char"/>
    <w:basedOn w:val="DefaultParagraphFont"/>
    <w:link w:val="Normal6"/>
    <w:locked/>
    <w:rsid w:val="00FC01C5"/>
    <w:rPr>
      <w:sz w:val="24"/>
    </w:rPr>
  </w:style>
  <w:style w:type="paragraph" w:customStyle="1" w:styleId="Normal6">
    <w:name w:val="Normal6"/>
    <w:basedOn w:val="Normal"/>
    <w:link w:val="Normal6Char"/>
    <w:rsid w:val="00FC01C5"/>
    <w:pPr>
      <w:spacing w:after="120"/>
    </w:pPr>
    <w:rPr>
      <w:lang w:val="en-GB"/>
    </w:rPr>
  </w:style>
  <w:style w:type="paragraph" w:customStyle="1" w:styleId="ColumnHeading">
    <w:name w:val="ColumnHeading"/>
    <w:basedOn w:val="Normal"/>
    <w:rsid w:val="00FC01C5"/>
    <w:pPr>
      <w:spacing w:after="240"/>
      <w:jc w:val="center"/>
    </w:pPr>
    <w:rPr>
      <w:i/>
    </w:rPr>
  </w:style>
  <w:style w:type="character" w:styleId="Hyperlink">
    <w:name w:val="Hyperlink"/>
    <w:basedOn w:val="DefaultParagraphFont"/>
    <w:uiPriority w:val="99"/>
    <w:rsid w:val="00FC01C5"/>
    <w:rPr>
      <w:color w:val="0563C1" w:themeColor="hyperlink"/>
      <w:u w:val="single"/>
    </w:rPr>
  </w:style>
  <w:style w:type="paragraph" w:styleId="Revision">
    <w:name w:val="Revision"/>
    <w:hidden/>
    <w:uiPriority w:val="99"/>
    <w:semiHidden/>
    <w:rsid w:val="005D3FF7"/>
    <w:rPr>
      <w:sz w:val="24"/>
      <w:lang w:val="fr-FR"/>
    </w:rPr>
  </w:style>
  <w:style w:type="character" w:styleId="CommentReference">
    <w:name w:val="annotation reference"/>
    <w:basedOn w:val="DefaultParagraphFont"/>
    <w:rsid w:val="000B559F"/>
    <w:rPr>
      <w:sz w:val="16"/>
      <w:szCs w:val="16"/>
    </w:rPr>
  </w:style>
  <w:style w:type="paragraph" w:styleId="CommentText">
    <w:name w:val="annotation text"/>
    <w:basedOn w:val="Normal"/>
    <w:link w:val="CommentTextChar"/>
    <w:rsid w:val="000B559F"/>
    <w:rPr>
      <w:sz w:val="20"/>
    </w:rPr>
  </w:style>
  <w:style w:type="character" w:customStyle="1" w:styleId="CommentTextChar">
    <w:name w:val="Comment Text Char"/>
    <w:basedOn w:val="DefaultParagraphFont"/>
    <w:link w:val="CommentText"/>
    <w:rsid w:val="000B559F"/>
    <w:rPr>
      <w:lang w:val="fr-FR"/>
    </w:rPr>
  </w:style>
  <w:style w:type="paragraph" w:styleId="CommentSubject">
    <w:name w:val="annotation subject"/>
    <w:basedOn w:val="CommentText"/>
    <w:next w:val="CommentText"/>
    <w:link w:val="CommentSubjectChar"/>
    <w:rsid w:val="000B559F"/>
    <w:rPr>
      <w:b/>
      <w:bCs/>
    </w:rPr>
  </w:style>
  <w:style w:type="character" w:customStyle="1" w:styleId="CommentSubjectChar">
    <w:name w:val="Comment Subject Char"/>
    <w:basedOn w:val="CommentTextChar"/>
    <w:link w:val="CommentSubject"/>
    <w:rsid w:val="000B559F"/>
    <w:rPr>
      <w:b/>
      <w:bCs/>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reg/2009/107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1338</Words>
  <Characters>7893</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9213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MAGHOUZ Yousra_DLA</dc:creator>
  <cp:keywords/>
  <cp:lastModifiedBy>Marianne Salou DLA</cp:lastModifiedBy>
  <cp:revision>2</cp:revision>
  <cp:lastPrinted>2004-11-19T15:42:00Z</cp:lastPrinted>
  <dcterms:created xsi:type="dcterms:W3CDTF">2026-07-07T11:28:00Z</dcterms:created>
  <dcterms:modified xsi:type="dcterms:W3CDTF">2026-07-07T11:28:00Z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A10-0174/2026</vt:lpwstr>
  </property>
  <property fmtid="{D5CDD505-2E9C-101B-9397-08002B2CF9AE}" pid="4" name="&lt;Type&gt;">
    <vt:lpwstr>RR</vt:lpwstr>
  </property>
</Properties>
</file>