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4381" w14:paraId="6189E10A" w14:textId="77777777" w:rsidTr="0010095E">
        <w:trPr>
          <w:trHeight w:hRule="exact" w:val="1418"/>
        </w:trPr>
        <w:tc>
          <w:tcPr>
            <w:tcW w:w="6804" w:type="dxa"/>
            <w:shd w:val="clear" w:color="auto" w:fill="auto"/>
            <w:vAlign w:val="center"/>
          </w:tcPr>
          <w:p w14:paraId="26881AFF" w14:textId="77777777" w:rsidR="00751A4A" w:rsidRPr="00C24381" w:rsidRDefault="000A4743" w:rsidP="0010095E">
            <w:pPr>
              <w:pStyle w:val="EPName"/>
            </w:pPr>
            <w:r w:rsidRPr="00C24381">
              <w:t>Europski parlament</w:t>
            </w:r>
          </w:p>
          <w:p w14:paraId="4E80682D" w14:textId="77777777" w:rsidR="00751A4A" w:rsidRPr="00C24381" w:rsidRDefault="005F1B17" w:rsidP="005F1B17">
            <w:pPr>
              <w:pStyle w:val="EPTerm"/>
              <w:rPr>
                <w:rStyle w:val="HideTWBExt"/>
                <w:noProof w:val="0"/>
                <w:vanish w:val="0"/>
                <w:color w:val="auto"/>
              </w:rPr>
            </w:pPr>
            <w:r w:rsidRPr="00C24381">
              <w:t>2024</w:t>
            </w:r>
            <w:r w:rsidR="00817416" w:rsidRPr="00C24381">
              <w:t>-202</w:t>
            </w:r>
            <w:r w:rsidRPr="00C24381">
              <w:t>9</w:t>
            </w:r>
          </w:p>
        </w:tc>
        <w:tc>
          <w:tcPr>
            <w:tcW w:w="2268" w:type="dxa"/>
            <w:shd w:val="clear" w:color="auto" w:fill="auto"/>
          </w:tcPr>
          <w:p w14:paraId="2F296163" w14:textId="77777777" w:rsidR="00751A4A" w:rsidRPr="00C24381" w:rsidRDefault="00187494" w:rsidP="0010095E">
            <w:pPr>
              <w:pStyle w:val="EPLogo"/>
            </w:pPr>
            <w:r w:rsidRPr="00C24381">
              <w:rPr>
                <w:noProof/>
                <w:lang w:eastAsia="ja-JP"/>
              </w:rPr>
              <w:drawing>
                <wp:inline distT="0" distB="0" distL="0" distR="0" wp14:anchorId="0028BA73" wp14:editId="358578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8B20D1" w14:textId="77777777" w:rsidR="00D058B8" w:rsidRPr="00C24381" w:rsidRDefault="00D058B8" w:rsidP="004C5D52">
      <w:pPr>
        <w:pStyle w:val="LineTop"/>
      </w:pPr>
    </w:p>
    <w:p w14:paraId="51769FC8" w14:textId="77777777" w:rsidR="00680577" w:rsidRPr="00C24381" w:rsidRDefault="000A4743" w:rsidP="00680577">
      <w:pPr>
        <w:pStyle w:val="EPBodyTA1"/>
      </w:pPr>
      <w:r w:rsidRPr="00C24381">
        <w:t>USVOJENI TEKSTOVI</w:t>
      </w:r>
    </w:p>
    <w:p w14:paraId="4EDC9BCA" w14:textId="77777777" w:rsidR="00D058B8" w:rsidRPr="00C24381" w:rsidRDefault="00D058B8" w:rsidP="00D058B8">
      <w:pPr>
        <w:pStyle w:val="LineBottom"/>
      </w:pPr>
    </w:p>
    <w:p w14:paraId="00517B6A" w14:textId="2E9CFE1E" w:rsidR="000A4743" w:rsidRPr="00C24381" w:rsidRDefault="000A4743" w:rsidP="000A4743">
      <w:pPr>
        <w:pStyle w:val="ATHeading1"/>
      </w:pPr>
      <w:bookmarkStart w:id="0" w:name="TANumber"/>
      <w:r w:rsidRPr="00C24381">
        <w:t>P10_TA(2026)0</w:t>
      </w:r>
      <w:r w:rsidR="00631103">
        <w:t>241</w:t>
      </w:r>
      <w:bookmarkEnd w:id="0"/>
    </w:p>
    <w:p w14:paraId="50F83B9E" w14:textId="77777777" w:rsidR="000A4743" w:rsidRPr="00C24381" w:rsidRDefault="000A4743" w:rsidP="000A4743">
      <w:pPr>
        <w:pStyle w:val="ATHeading2"/>
      </w:pPr>
      <w:bookmarkStart w:id="1" w:name="title"/>
      <w:r w:rsidRPr="00C24381">
        <w:t>Međunarodni cestovni prijevoz putnika običnim i turističkim autobusima u pograničnim regijama: kabotaža između Austrije i Švicarske</w:t>
      </w:r>
      <w:bookmarkEnd w:id="1"/>
    </w:p>
    <w:p w14:paraId="5E13F962" w14:textId="77777777" w:rsidR="000A4743" w:rsidRPr="00C24381" w:rsidRDefault="000A4743" w:rsidP="000A4743">
      <w:pPr>
        <w:rPr>
          <w:i/>
          <w:vanish/>
        </w:rPr>
      </w:pPr>
      <w:r w:rsidRPr="00C24381">
        <w:rPr>
          <w:i/>
        </w:rPr>
        <w:fldChar w:fldCharType="begin"/>
      </w:r>
      <w:r w:rsidRPr="00C24381">
        <w:rPr>
          <w:i/>
        </w:rPr>
        <w:instrText xml:space="preserve"> TC"(</w:instrText>
      </w:r>
      <w:bookmarkStart w:id="2" w:name="DocNumber"/>
      <w:r w:rsidRPr="00C24381">
        <w:rPr>
          <w:i/>
        </w:rPr>
        <w:instrText>A10-0174/2026</w:instrText>
      </w:r>
      <w:bookmarkEnd w:id="2"/>
      <w:r w:rsidRPr="00C24381">
        <w:rPr>
          <w:i/>
        </w:rPr>
        <w:instrText xml:space="preserve"> - Izvjestiteljica: </w:instrText>
      </w:r>
      <w:proofErr w:type="spellStart"/>
      <w:r w:rsidRPr="00C24381">
        <w:rPr>
          <w:i/>
        </w:rPr>
        <w:instrText>Elissavet</w:instrText>
      </w:r>
      <w:proofErr w:type="spellEnd"/>
      <w:r w:rsidRPr="00C24381">
        <w:rPr>
          <w:i/>
        </w:rPr>
        <w:instrText xml:space="preserve"> </w:instrText>
      </w:r>
      <w:proofErr w:type="spellStart"/>
      <w:r w:rsidRPr="00C24381">
        <w:rPr>
          <w:i/>
        </w:rPr>
        <w:instrText>Vozemberg-Vrionidi</w:instrText>
      </w:r>
      <w:proofErr w:type="spellEnd"/>
      <w:r w:rsidRPr="00C24381">
        <w:rPr>
          <w:i/>
        </w:rPr>
        <w:instrText xml:space="preserve">)"\l3 \n&gt; \* MERGEFORMAT </w:instrText>
      </w:r>
      <w:r w:rsidRPr="00C24381">
        <w:rPr>
          <w:i/>
        </w:rPr>
        <w:fldChar w:fldCharType="end"/>
      </w:r>
    </w:p>
    <w:p w14:paraId="3F531CC9" w14:textId="77777777" w:rsidR="000A4743" w:rsidRPr="00C24381" w:rsidRDefault="000A4743" w:rsidP="000A4743">
      <w:pPr>
        <w:rPr>
          <w:vanish/>
        </w:rPr>
      </w:pPr>
      <w:bookmarkStart w:id="3" w:name="Commission"/>
      <w:r w:rsidRPr="00C24381">
        <w:rPr>
          <w:vanish/>
        </w:rPr>
        <w:t>Odbor za promet i turizam</w:t>
      </w:r>
      <w:bookmarkEnd w:id="3"/>
    </w:p>
    <w:p w14:paraId="72843258" w14:textId="77777777" w:rsidR="000A4743" w:rsidRPr="00C24381" w:rsidRDefault="000A4743" w:rsidP="000A4743">
      <w:pPr>
        <w:rPr>
          <w:vanish/>
        </w:rPr>
      </w:pPr>
      <w:bookmarkStart w:id="4" w:name="PE"/>
      <w:r w:rsidRPr="00C24381">
        <w:rPr>
          <w:vanish/>
        </w:rPr>
        <w:t>PE785.404</w:t>
      </w:r>
      <w:bookmarkEnd w:id="4"/>
    </w:p>
    <w:p w14:paraId="548C4650" w14:textId="08C23635" w:rsidR="000A4743" w:rsidRPr="00C24381" w:rsidRDefault="000A4743" w:rsidP="000A4743">
      <w:pPr>
        <w:pStyle w:val="ATHeading3"/>
      </w:pPr>
      <w:bookmarkStart w:id="5" w:name="Sujet"/>
      <w:r w:rsidRPr="00C24381">
        <w:t xml:space="preserve">Zakonodavna rezolucija Europskog parlamenta od </w:t>
      </w:r>
      <w:r w:rsidR="00F135A7">
        <w:t>7</w:t>
      </w:r>
      <w:r w:rsidRPr="00C24381">
        <w:t xml:space="preserve">. </w:t>
      </w:r>
      <w:r w:rsidR="00C24381">
        <w:t xml:space="preserve">srpnja </w:t>
      </w:r>
      <w:r w:rsidRPr="00C24381">
        <w:t>2026. o Prijedlogu odluke Europskog parlamenta i Vijeća o davanju ovlasti Austriji za izmjenu njezina postojećeg bilateralnog sporazuma o cestovnom prijevozu sa Švicarskom kako bi se dozvolila kabotaža prilikom pružanja usluga međunarodnog cestovnog prijevoza putnika običnim i turističkim autobusima u pograničnim regijama tih dviju zemalja</w:t>
      </w:r>
      <w:bookmarkEnd w:id="5"/>
      <w:r w:rsidRPr="00C24381">
        <w:t xml:space="preserve"> </w:t>
      </w:r>
      <w:bookmarkStart w:id="6" w:name="References"/>
      <w:r w:rsidRPr="00C24381">
        <w:t>(COM(2025)0773 – C10-0367/2025 – 2025/0407(COD))</w:t>
      </w:r>
      <w:bookmarkEnd w:id="6"/>
    </w:p>
    <w:p w14:paraId="147BA1AD" w14:textId="77777777" w:rsidR="006B2CDB" w:rsidRPr="00C24381" w:rsidRDefault="006B2CDB" w:rsidP="006B2CDB">
      <w:pPr>
        <w:pStyle w:val="NormalBold"/>
      </w:pPr>
      <w:r w:rsidRPr="00C24381">
        <w:t>(Redovni zakonodavni postupak: prvo čitanje)</w:t>
      </w:r>
    </w:p>
    <w:p w14:paraId="65F6196D" w14:textId="77777777" w:rsidR="006B2CDB" w:rsidRPr="00C24381" w:rsidRDefault="006B2CDB" w:rsidP="006B2CDB">
      <w:pPr>
        <w:pStyle w:val="EPComma"/>
      </w:pPr>
      <w:r w:rsidRPr="00C24381">
        <w:rPr>
          <w:i/>
        </w:rPr>
        <w:t>Europski parlament</w:t>
      </w:r>
      <w:r w:rsidRPr="00C24381">
        <w:t>,</w:t>
      </w:r>
    </w:p>
    <w:p w14:paraId="2D3A518D" w14:textId="77777777" w:rsidR="006B2CDB" w:rsidRPr="00C24381" w:rsidRDefault="006B2CDB" w:rsidP="006B2CDB">
      <w:pPr>
        <w:pStyle w:val="NormalHanging12a"/>
      </w:pPr>
      <w:r w:rsidRPr="00C24381">
        <w:t>–</w:t>
      </w:r>
      <w:r w:rsidRPr="00C24381">
        <w:tab/>
        <w:t>uzimajući u obzir Prijedlog Komisije upućen Europskom parlamentu i Vijeću (COM(2025)0773),</w:t>
      </w:r>
    </w:p>
    <w:p w14:paraId="315757BB" w14:textId="77777777" w:rsidR="006B2CDB" w:rsidRPr="00C24381" w:rsidRDefault="006B2CDB" w:rsidP="006B2CDB">
      <w:pPr>
        <w:pStyle w:val="NormalHanging12a"/>
      </w:pPr>
      <w:r w:rsidRPr="00C24381">
        <w:t>–</w:t>
      </w:r>
      <w:r w:rsidRPr="00C24381">
        <w:tab/>
        <w:t>uzimajući u obzir članak 294. stavak 2., članak 2. stavak 1. i članak 91. Ugovora o funkcioniranju Europske unije, u skladu s kojima je Komisija podnijela Prijedlog Parlamentu (C10-03672025),</w:t>
      </w:r>
    </w:p>
    <w:p w14:paraId="7ECD5BAD" w14:textId="77777777" w:rsidR="006B2CDB" w:rsidRDefault="006B2CDB" w:rsidP="006B2CDB">
      <w:pPr>
        <w:pStyle w:val="NormalHanging12a"/>
      </w:pPr>
      <w:r w:rsidRPr="00C24381">
        <w:t>–</w:t>
      </w:r>
      <w:r w:rsidRPr="00C24381">
        <w:tab/>
        <w:t>uzimajući u obzir članak 294. stavak 3. Ugovora o funkcioniranju Europske unije,</w:t>
      </w:r>
    </w:p>
    <w:p w14:paraId="0357A5BD" w14:textId="0DE7C1C4" w:rsidR="00E637F1" w:rsidRPr="007D619A" w:rsidRDefault="007D619A" w:rsidP="006B2CDB">
      <w:pPr>
        <w:pStyle w:val="NormalHanging12a"/>
        <w:rPr>
          <w:szCs w:val="24"/>
        </w:rPr>
      </w:pPr>
      <w:r w:rsidRPr="007D619A">
        <w:rPr>
          <w:szCs w:val="24"/>
        </w:rPr>
        <w:t>–</w:t>
      </w:r>
      <w:r w:rsidRPr="007D619A">
        <w:rPr>
          <w:szCs w:val="24"/>
        </w:rPr>
        <w:tab/>
        <w:t>uzimajući</w:t>
      </w:r>
      <w:r w:rsidRPr="00631103">
        <w:rPr>
          <w:szCs w:val="24"/>
        </w:rPr>
        <w:t xml:space="preserve"> u obzir da se predstavnik Vijeća pismom od 1</w:t>
      </w:r>
      <w:r>
        <w:rPr>
          <w:szCs w:val="24"/>
        </w:rPr>
        <w:t>0</w:t>
      </w:r>
      <w:r w:rsidRPr="00631103">
        <w:rPr>
          <w:szCs w:val="24"/>
        </w:rPr>
        <w:t xml:space="preserve">. </w:t>
      </w:r>
      <w:r>
        <w:rPr>
          <w:szCs w:val="24"/>
        </w:rPr>
        <w:t>lipnja</w:t>
      </w:r>
      <w:r w:rsidRPr="00631103">
        <w:rPr>
          <w:szCs w:val="24"/>
        </w:rPr>
        <w:t xml:space="preserve"> 202</w:t>
      </w:r>
      <w:r>
        <w:rPr>
          <w:szCs w:val="24"/>
        </w:rPr>
        <w:t>6</w:t>
      </w:r>
      <w:r w:rsidRPr="00631103">
        <w:rPr>
          <w:szCs w:val="24"/>
        </w:rPr>
        <w:t>. obvezao prihvatiti stajalište Europskog parlamenta u skladu s člankom 294. stavkom 4. Ugovora o funkcioniranju Europske unije,</w:t>
      </w:r>
    </w:p>
    <w:p w14:paraId="2742E546" w14:textId="77777777" w:rsidR="006B2CDB" w:rsidRPr="00C24381" w:rsidRDefault="006B2CDB" w:rsidP="006B2CDB">
      <w:pPr>
        <w:pStyle w:val="NormalHanging12a"/>
      </w:pPr>
      <w:r w:rsidRPr="00C24381">
        <w:t>–</w:t>
      </w:r>
      <w:r w:rsidRPr="00C24381">
        <w:tab/>
        <w:t>uzimajući u obzir mišljenje Odbora za pravna pitanja o predloženoj pravnoj osnovi,</w:t>
      </w:r>
    </w:p>
    <w:p w14:paraId="4C6277C9" w14:textId="77777777" w:rsidR="006B2CDB" w:rsidRPr="00C24381" w:rsidRDefault="006B2CDB" w:rsidP="006B2CDB">
      <w:pPr>
        <w:pStyle w:val="NormalHanging12a"/>
      </w:pPr>
      <w:r w:rsidRPr="00C24381">
        <w:t>–</w:t>
      </w:r>
      <w:r w:rsidRPr="00C24381">
        <w:tab/>
        <w:t>uzimajući u obzir mišljenje Europskoga gospodarskog i socijalnog odbora od 21. siječnja 2026.</w:t>
      </w:r>
      <w:r w:rsidRPr="00C24381">
        <w:rPr>
          <w:vertAlign w:val="superscript"/>
        </w:rPr>
        <w:footnoteReference w:id="1"/>
      </w:r>
      <w:r w:rsidRPr="00C24381">
        <w:t>,</w:t>
      </w:r>
    </w:p>
    <w:p w14:paraId="789A2D30" w14:textId="77777777" w:rsidR="006B2CDB" w:rsidRPr="00C24381" w:rsidRDefault="006B2CDB" w:rsidP="006B2CDB">
      <w:pPr>
        <w:pStyle w:val="NormalHanging12a"/>
      </w:pPr>
      <w:r w:rsidRPr="00C24381">
        <w:t>–</w:t>
      </w:r>
      <w:r w:rsidRPr="00C24381">
        <w:tab/>
        <w:t>nakon savjetovanja s Odborom regija,</w:t>
      </w:r>
    </w:p>
    <w:p w14:paraId="4DC47C1A" w14:textId="77777777" w:rsidR="006B2CDB" w:rsidRPr="00C24381" w:rsidRDefault="006B2CDB" w:rsidP="006B2CDB">
      <w:pPr>
        <w:pStyle w:val="NormalHanging12a"/>
      </w:pPr>
      <w:r w:rsidRPr="00C24381">
        <w:lastRenderedPageBreak/>
        <w:t>–</w:t>
      </w:r>
      <w:r w:rsidRPr="00C24381">
        <w:tab/>
        <w:t>uzimajući u obzir članke 60. i 41. Poslovnika,</w:t>
      </w:r>
    </w:p>
    <w:p w14:paraId="05D9E06B" w14:textId="77777777" w:rsidR="006B2CDB" w:rsidRPr="00C24381" w:rsidRDefault="006B2CDB" w:rsidP="006B2CDB">
      <w:pPr>
        <w:pStyle w:val="NormalHanging12a"/>
      </w:pPr>
      <w:r w:rsidRPr="00C24381">
        <w:t>–</w:t>
      </w:r>
      <w:r w:rsidRPr="00C24381">
        <w:tab/>
        <w:t>uzimajući u obzir izvješće Odbora za promet i turizam (A10</w:t>
      </w:r>
      <w:r w:rsidRPr="00C24381">
        <w:noBreakHyphen/>
        <w:t>0174/2026),</w:t>
      </w:r>
    </w:p>
    <w:p w14:paraId="12831CB9" w14:textId="77777777" w:rsidR="006B2CDB" w:rsidRPr="00C24381" w:rsidRDefault="006B2CDB" w:rsidP="006B2CDB">
      <w:pPr>
        <w:pStyle w:val="NormalHanging12a"/>
      </w:pPr>
      <w:r w:rsidRPr="00C24381">
        <w:t>1.</w:t>
      </w:r>
      <w:r w:rsidRPr="00C24381">
        <w:tab/>
        <w:t>usvaja niže navedeno stajalište u prvom čitanju;</w:t>
      </w:r>
    </w:p>
    <w:p w14:paraId="4AF1B35B" w14:textId="77777777" w:rsidR="006B2CDB" w:rsidRPr="00C24381" w:rsidRDefault="006B2CDB" w:rsidP="006B2CDB">
      <w:pPr>
        <w:pStyle w:val="NormalHanging12a"/>
      </w:pPr>
      <w:r w:rsidRPr="00C24381">
        <w:t>2.</w:t>
      </w:r>
      <w:r w:rsidRPr="00C24381">
        <w:tab/>
        <w:t>nalaže svojoj predsjednici da stajalište Parlamenta proslijedi Vijeću, Komisiji i nacionalnim parlamentima.</w:t>
      </w:r>
    </w:p>
    <w:p w14:paraId="444006D0" w14:textId="77777777" w:rsidR="00E637F1" w:rsidRDefault="00E637F1" w:rsidP="006B2CDB">
      <w:pPr>
        <w:sectPr w:rsidR="00E637F1" w:rsidSect="005556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03CC8F" w14:textId="77777777" w:rsidR="00996FB1" w:rsidRPr="00BA3700" w:rsidRDefault="00996FB1" w:rsidP="00996FB1">
      <w:pPr>
        <w:autoSpaceDE w:val="0"/>
        <w:autoSpaceDN w:val="0"/>
        <w:adjustRightInd w:val="0"/>
        <w:spacing w:after="240"/>
        <w:rPr>
          <w:rFonts w:eastAsia="Calibri"/>
          <w:b/>
          <w:bCs/>
          <w:color w:val="000000"/>
          <w:szCs w:val="24"/>
        </w:rPr>
      </w:pPr>
      <w:r w:rsidRPr="00BA3700">
        <w:rPr>
          <w:rFonts w:eastAsia="Calibri"/>
          <w:b/>
          <w:bCs/>
          <w:color w:val="000000"/>
          <w:szCs w:val="24"/>
        </w:rPr>
        <w:lastRenderedPageBreak/>
        <w:t>P</w:t>
      </w:r>
      <w:r>
        <w:rPr>
          <w:rFonts w:eastAsia="Calibri"/>
          <w:b/>
          <w:bCs/>
          <w:color w:val="000000"/>
          <w:szCs w:val="24"/>
        </w:rPr>
        <w:t>10</w:t>
      </w:r>
      <w:r w:rsidRPr="00BA3700">
        <w:rPr>
          <w:rFonts w:eastAsia="Calibri"/>
          <w:b/>
          <w:bCs/>
          <w:color w:val="000000"/>
          <w:szCs w:val="24"/>
        </w:rPr>
        <w:t>_TC1-COD(202</w:t>
      </w:r>
      <w:r>
        <w:rPr>
          <w:rFonts w:eastAsia="Calibri"/>
          <w:b/>
          <w:bCs/>
          <w:color w:val="000000"/>
          <w:szCs w:val="24"/>
        </w:rPr>
        <w:t>5</w:t>
      </w:r>
      <w:r w:rsidRPr="00BA3700">
        <w:rPr>
          <w:rFonts w:eastAsia="Calibri"/>
          <w:b/>
          <w:bCs/>
          <w:color w:val="000000"/>
          <w:szCs w:val="24"/>
        </w:rPr>
        <w:t>)0</w:t>
      </w:r>
      <w:r>
        <w:rPr>
          <w:rFonts w:eastAsia="Calibri"/>
          <w:b/>
          <w:bCs/>
          <w:color w:val="000000"/>
          <w:szCs w:val="24"/>
        </w:rPr>
        <w:t>407</w:t>
      </w:r>
    </w:p>
    <w:p w14:paraId="5D50640B" w14:textId="77777777" w:rsidR="00996FB1" w:rsidRPr="00C57A81" w:rsidRDefault="00996FB1" w:rsidP="00996FB1">
      <w:pPr>
        <w:widowControl/>
        <w:spacing w:before="360" w:after="360"/>
        <w:rPr>
          <w:rFonts w:eastAsia="Calibri"/>
          <w:b/>
          <w:noProof/>
          <w:szCs w:val="22"/>
          <w:lang w:eastAsia="en-US"/>
        </w:rPr>
      </w:pPr>
      <w:r w:rsidRPr="005550BC">
        <w:rPr>
          <w:rFonts w:eastAsia="Calibri"/>
          <w:b/>
          <w:szCs w:val="24"/>
          <w:lang w:eastAsia="en-US"/>
        </w:rPr>
        <w:t xml:space="preserve">Stajalište Europskog parlamenta usvojeno u prvom čitanju </w:t>
      </w:r>
      <w:r>
        <w:rPr>
          <w:rFonts w:eastAsia="Calibri"/>
          <w:b/>
          <w:szCs w:val="24"/>
          <w:lang w:eastAsia="en-US"/>
        </w:rPr>
        <w:t>7</w:t>
      </w:r>
      <w:r w:rsidRPr="005550BC">
        <w:rPr>
          <w:rFonts w:eastAsia="Calibri"/>
          <w:b/>
          <w:szCs w:val="24"/>
          <w:lang w:eastAsia="en-US"/>
        </w:rPr>
        <w:t xml:space="preserve">. </w:t>
      </w:r>
      <w:r>
        <w:rPr>
          <w:rFonts w:eastAsia="Calibri"/>
          <w:b/>
          <w:szCs w:val="24"/>
          <w:lang w:eastAsia="en-US"/>
        </w:rPr>
        <w:t xml:space="preserve">srpnja </w:t>
      </w:r>
      <w:r w:rsidRPr="005550BC">
        <w:rPr>
          <w:rFonts w:eastAsia="Calibri"/>
          <w:b/>
          <w:szCs w:val="24"/>
          <w:lang w:eastAsia="en-US"/>
        </w:rPr>
        <w:t>20</w:t>
      </w:r>
      <w:r>
        <w:rPr>
          <w:rFonts w:eastAsia="Calibri"/>
          <w:b/>
          <w:szCs w:val="24"/>
          <w:lang w:eastAsia="en-US"/>
        </w:rPr>
        <w:t>26</w:t>
      </w:r>
      <w:r w:rsidRPr="005550BC">
        <w:rPr>
          <w:rFonts w:eastAsia="Calibri"/>
          <w:b/>
          <w:szCs w:val="24"/>
          <w:lang w:eastAsia="en-US"/>
        </w:rPr>
        <w:t xml:space="preserve">. radi donošenja </w:t>
      </w:r>
      <w:r>
        <w:rPr>
          <w:rFonts w:eastAsia="Calibri"/>
          <w:b/>
          <w:szCs w:val="24"/>
          <w:lang w:eastAsia="en-US"/>
        </w:rPr>
        <w:t>Odluke</w:t>
      </w:r>
      <w:r w:rsidRPr="005550BC">
        <w:rPr>
          <w:rFonts w:eastAsia="Calibri"/>
          <w:b/>
          <w:szCs w:val="24"/>
          <w:lang w:eastAsia="en-US"/>
        </w:rPr>
        <w:t xml:space="preserve"> </w:t>
      </w:r>
      <w:r>
        <w:rPr>
          <w:rFonts w:eastAsia="Calibri"/>
          <w:b/>
          <w:szCs w:val="24"/>
          <w:lang w:eastAsia="en-US"/>
        </w:rPr>
        <w:t>(</w:t>
      </w:r>
      <w:r w:rsidRPr="005550BC">
        <w:rPr>
          <w:rFonts w:eastAsia="Calibri"/>
          <w:b/>
          <w:szCs w:val="24"/>
          <w:lang w:eastAsia="en-US"/>
        </w:rPr>
        <w:t>EU</w:t>
      </w:r>
      <w:r>
        <w:rPr>
          <w:rFonts w:eastAsia="Calibri"/>
          <w:b/>
          <w:szCs w:val="24"/>
          <w:lang w:eastAsia="en-US"/>
        </w:rPr>
        <w:t xml:space="preserve">) </w:t>
      </w:r>
      <w:r w:rsidRPr="005550BC">
        <w:rPr>
          <w:rFonts w:eastAsia="Calibri"/>
          <w:b/>
          <w:szCs w:val="24"/>
          <w:lang w:eastAsia="en-US"/>
        </w:rPr>
        <w:t>20</w:t>
      </w:r>
      <w:r>
        <w:rPr>
          <w:rFonts w:eastAsia="Calibri"/>
          <w:b/>
          <w:szCs w:val="24"/>
          <w:lang w:eastAsia="en-US"/>
        </w:rPr>
        <w:t>26</w:t>
      </w:r>
      <w:r w:rsidRPr="005550BC">
        <w:rPr>
          <w:rFonts w:eastAsia="Calibri"/>
          <w:b/>
          <w:szCs w:val="24"/>
          <w:lang w:eastAsia="en-US"/>
        </w:rPr>
        <w:t xml:space="preserve">/... Europskog parlamenta i Vijeća </w:t>
      </w:r>
      <w:r w:rsidRPr="00C57A81">
        <w:rPr>
          <w:rFonts w:eastAsia="Calibri"/>
          <w:b/>
          <w:noProof/>
          <w:szCs w:val="22"/>
          <w:lang w:eastAsia="en-US"/>
        </w:rPr>
        <w:t>o davanju ovlasti Austriji za izmjenu njezina bilateralnog sporazuma o cestovnom prijevozu sa Švicarskom kako bi se dozvolila kabotaža prilikom pružanja usluga međunarodnog prijevoza putnika običnim i turističkim autobusima u pograničnim regijama tih dviju zemalja</w:t>
      </w:r>
    </w:p>
    <w:p w14:paraId="701AE7C3" w14:textId="77777777" w:rsidR="00996FB1" w:rsidRPr="00C57A81" w:rsidRDefault="00996FB1" w:rsidP="00996FB1">
      <w:pPr>
        <w:keepNext/>
        <w:widowControl/>
        <w:spacing w:before="600" w:after="120" w:line="360" w:lineRule="auto"/>
        <w:rPr>
          <w:rFonts w:eastAsia="Calibri"/>
          <w:noProof/>
          <w:szCs w:val="22"/>
          <w:lang w:eastAsia="en-US"/>
        </w:rPr>
      </w:pPr>
      <w:r w:rsidRPr="00C57A81">
        <w:rPr>
          <w:rFonts w:eastAsia="Calibri"/>
          <w:noProof/>
          <w:szCs w:val="22"/>
          <w:lang w:eastAsia="en-US"/>
        </w:rPr>
        <w:t>EUROPSKI PARLAMENT I VIJEĆE EUROPSKE UNIJE,</w:t>
      </w:r>
    </w:p>
    <w:p w14:paraId="533A2803"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uzimajući u obzir Ugovor o funkcioniranju Europske unije, a posebno njegov članak 91.,</w:t>
      </w:r>
    </w:p>
    <w:p w14:paraId="791DE4CF"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uzimajući u obzir prijedlog Europske komisije,</w:t>
      </w:r>
    </w:p>
    <w:p w14:paraId="0ADFE4B8"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nakon prosljeđivanja nacrta zakonodavnog akta nacionalnim parlamentima,</w:t>
      </w:r>
    </w:p>
    <w:p w14:paraId="4A5622B6"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uzimajući u obzir mišljenje Europskoga gospodarskog i socijalnog odbora</w:t>
      </w:r>
      <w:r w:rsidRPr="00C57A81">
        <w:rPr>
          <w:rFonts w:eastAsia="Calibri"/>
          <w:noProof/>
          <w:szCs w:val="22"/>
          <w:vertAlign w:val="superscript"/>
          <w:lang w:eastAsia="en-US"/>
        </w:rPr>
        <w:footnoteReference w:id="2"/>
      </w:r>
      <w:r w:rsidRPr="00C57A81">
        <w:rPr>
          <w:rFonts w:eastAsia="Calibri"/>
          <w:noProof/>
          <w:szCs w:val="22"/>
          <w:lang w:eastAsia="en-US"/>
        </w:rPr>
        <w:t>,</w:t>
      </w:r>
    </w:p>
    <w:p w14:paraId="657E7EF9"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nakon savjetovanja s Odborom regija,</w:t>
      </w:r>
    </w:p>
    <w:p w14:paraId="40DA1503"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u skladu s redovnim zakonodavnim postupkom</w:t>
      </w:r>
      <w:r w:rsidRPr="00C57A81">
        <w:rPr>
          <w:rFonts w:eastAsia="Calibri"/>
          <w:noProof/>
          <w:szCs w:val="22"/>
          <w:vertAlign w:val="superscript"/>
          <w:lang w:eastAsia="en-US"/>
        </w:rPr>
        <w:footnoteReference w:id="3"/>
      </w:r>
      <w:r w:rsidRPr="00C57A81">
        <w:rPr>
          <w:rFonts w:eastAsia="Calibri"/>
          <w:noProof/>
          <w:szCs w:val="22"/>
          <w:lang w:eastAsia="en-US"/>
        </w:rPr>
        <w:t>,</w:t>
      </w:r>
    </w:p>
    <w:p w14:paraId="0964E5EA" w14:textId="77777777" w:rsidR="00996FB1" w:rsidRPr="00C57A81" w:rsidRDefault="00996FB1" w:rsidP="00996FB1">
      <w:pPr>
        <w:widowControl/>
        <w:spacing w:after="160" w:line="259" w:lineRule="auto"/>
        <w:rPr>
          <w:rFonts w:eastAsia="Calibri"/>
          <w:noProof/>
          <w:szCs w:val="22"/>
          <w:lang w:eastAsia="en-US"/>
        </w:rPr>
      </w:pPr>
      <w:r w:rsidRPr="00C57A81">
        <w:rPr>
          <w:rFonts w:eastAsia="Calibri"/>
          <w:noProof/>
          <w:szCs w:val="22"/>
          <w:lang w:eastAsia="en-US"/>
        </w:rPr>
        <w:br w:type="page"/>
      </w:r>
    </w:p>
    <w:p w14:paraId="7ED502F8"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lastRenderedPageBreak/>
        <w:t>budući da:</w:t>
      </w:r>
    </w:p>
    <w:p w14:paraId="4CDFD071" w14:textId="77777777" w:rsidR="00996FB1" w:rsidRPr="00C57A81" w:rsidRDefault="00996FB1" w:rsidP="00996FB1">
      <w:pPr>
        <w:widowControl/>
        <w:spacing w:before="120" w:after="120" w:line="360" w:lineRule="auto"/>
        <w:ind w:left="709" w:hanging="709"/>
        <w:rPr>
          <w:rFonts w:eastAsia="Calibri"/>
          <w:noProof/>
          <w:szCs w:val="22"/>
          <w:lang w:eastAsia="en-US"/>
        </w:rPr>
      </w:pPr>
      <w:bookmarkStart w:id="7" w:name="_Hlk211264391"/>
      <w:r w:rsidRPr="00C57A81">
        <w:rPr>
          <w:rFonts w:eastAsia="Calibri"/>
          <w:noProof/>
          <w:szCs w:val="22"/>
          <w:lang w:eastAsia="en-US"/>
        </w:rPr>
        <w:t>(1)</w:t>
      </w:r>
      <w:r w:rsidRPr="00C57A81">
        <w:rPr>
          <w:rFonts w:eastAsia="Calibri"/>
          <w:noProof/>
          <w:szCs w:val="22"/>
          <w:lang w:eastAsia="en-US"/>
        </w:rPr>
        <w:tab/>
        <w:t>U skladu s člankom 20. stavkom 1. Sporazuma između Europske zajednice i Švicarske Konfederacije o željezničkom i cestovnom prijevozu robe i putnika</w:t>
      </w:r>
      <w:r w:rsidRPr="00C57A81">
        <w:rPr>
          <w:rFonts w:eastAsia="Calibri"/>
          <w:noProof/>
          <w:szCs w:val="22"/>
          <w:vertAlign w:val="superscript"/>
          <w:lang w:eastAsia="en-US"/>
        </w:rPr>
        <w:footnoteReference w:id="4"/>
      </w:r>
      <w:r w:rsidRPr="00C57A81">
        <w:rPr>
          <w:rFonts w:eastAsia="Calibri"/>
          <w:noProof/>
          <w:szCs w:val="22"/>
          <w:lang w:eastAsia="en-US"/>
        </w:rPr>
        <w:t xml:space="preserve"> („Sporazum između EU-a i Švicarske”) prijevoz putnika običnim i turističkim autobusima između dvije točke na području iste ugovorne stranke Sporazuma između EU-a i Švicarske koji obavljaju prijevoznici s poslovnim nastanom na području druge ugovorne stranke, poznat kao kabotaža, nije dozvoljen.</w:t>
      </w:r>
    </w:p>
    <w:p w14:paraId="414C4BB4"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t>(2)</w:t>
      </w:r>
      <w:r w:rsidRPr="00C57A81">
        <w:rPr>
          <w:rFonts w:eastAsia="Calibri"/>
          <w:noProof/>
          <w:szCs w:val="22"/>
          <w:lang w:eastAsia="en-US"/>
        </w:rPr>
        <w:tab/>
        <w:t>U skladu s člankom 20. stavkom 2. Sporazuma između EU-a i Švicarske i dalje se mogu ostvarivati postojeća prava kabotaže utvrđena u bilateralnim sporazumima sklopljenima između država članica i Švicarske koji su bili na snazi 21. lipnja 1999., kad je sklopljen Sporazum</w:t>
      </w:r>
      <w:r w:rsidRPr="00C57A81">
        <w:rPr>
          <w:rFonts w:eastAsia="Calibri"/>
          <w:szCs w:val="22"/>
          <w:lang w:eastAsia="en-US"/>
        </w:rPr>
        <w:t xml:space="preserve"> </w:t>
      </w:r>
      <w:r w:rsidRPr="00C57A81">
        <w:rPr>
          <w:rFonts w:eastAsia="Calibri"/>
          <w:noProof/>
          <w:szCs w:val="22"/>
          <w:lang w:eastAsia="en-US"/>
        </w:rPr>
        <w:t>između EU-a i Švicarske, pod uvjetom da nema diskriminacije među prijevoznicima s poslovnim nastanom u Uniji ni narušavanja tržišnog natjecanja. Bilateralnim sporazumom o cestovnom prijevozu između Austrije i Švicarske od 22. listopada 1958.</w:t>
      </w:r>
      <w:r w:rsidRPr="00C57A81">
        <w:rPr>
          <w:rFonts w:eastAsia="Calibri"/>
          <w:noProof/>
          <w:szCs w:val="22"/>
          <w:vertAlign w:val="superscript"/>
          <w:lang w:eastAsia="en-US"/>
        </w:rPr>
        <w:footnoteReference w:id="5"/>
      </w:r>
      <w:r w:rsidRPr="00C57A81">
        <w:rPr>
          <w:rFonts w:eastAsia="Calibri"/>
          <w:noProof/>
          <w:szCs w:val="22"/>
          <w:lang w:eastAsia="en-US"/>
        </w:rPr>
        <w:t xml:space="preserve"> („Sporazum između Austrije i Švicarske”) nije dozvoljena kabotaža tijekom pružanja usluga međunarodnog prijevoza putnika običnim i turističkim autobusima između tih dviju zemalja. Stoga pravo na obavljanje kabotaže nije među pravima utvrđenim u članku 20. stavku 2. Sporazuma između EU-a i Švicarske.</w:t>
      </w:r>
    </w:p>
    <w:p w14:paraId="27010B43" w14:textId="77777777" w:rsidR="00996FB1" w:rsidRPr="00C57A81" w:rsidRDefault="00996FB1" w:rsidP="00996FB1">
      <w:pPr>
        <w:widowControl/>
        <w:spacing w:after="160" w:line="259" w:lineRule="auto"/>
        <w:rPr>
          <w:rFonts w:eastAsia="Calibri"/>
          <w:noProof/>
          <w:szCs w:val="22"/>
          <w:lang w:eastAsia="en-US"/>
        </w:rPr>
      </w:pPr>
      <w:r w:rsidRPr="00C57A81">
        <w:rPr>
          <w:rFonts w:eastAsia="Calibri"/>
          <w:noProof/>
          <w:szCs w:val="22"/>
          <w:lang w:eastAsia="en-US"/>
        </w:rPr>
        <w:br w:type="page"/>
      </w:r>
    </w:p>
    <w:p w14:paraId="6E19DF21"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lastRenderedPageBreak/>
        <w:t>(3)</w:t>
      </w:r>
      <w:r w:rsidRPr="00C57A81">
        <w:rPr>
          <w:rFonts w:eastAsia="Calibri"/>
          <w:noProof/>
          <w:szCs w:val="22"/>
          <w:lang w:eastAsia="en-US"/>
        </w:rPr>
        <w:tab/>
        <w:t>Međunarodne obveze kojima se prijevoznicima s poslovnim nastanom u Švicarskoj dozvoljava obavljanje kabotaže unutar Unije mogle bi utjecati na članak 20. Sporazuma između EU-a i Švicarske jer tim člankom kabotaža nije dozvoljena.</w:t>
      </w:r>
    </w:p>
    <w:p w14:paraId="7191F45D"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t>(4)</w:t>
      </w:r>
      <w:r w:rsidRPr="00C57A81">
        <w:rPr>
          <w:rFonts w:eastAsia="Calibri"/>
          <w:noProof/>
          <w:szCs w:val="22"/>
          <w:lang w:eastAsia="en-US"/>
        </w:rPr>
        <w:tab/>
        <w:t>Nadalje, Uredbom (EZ) br. 1073/2009 Europskog parlamenta i Vijeća</w:t>
      </w:r>
      <w:r w:rsidRPr="00C57A81">
        <w:rPr>
          <w:rFonts w:eastAsia="Calibri"/>
          <w:noProof/>
          <w:szCs w:val="22"/>
          <w:vertAlign w:val="superscript"/>
          <w:lang w:eastAsia="en-US"/>
        </w:rPr>
        <w:footnoteReference w:id="6"/>
      </w:r>
      <w:r w:rsidRPr="00C57A81">
        <w:rPr>
          <w:rFonts w:eastAsia="Calibri"/>
          <w:noProof/>
          <w:szCs w:val="22"/>
          <w:lang w:eastAsia="en-US"/>
        </w:rPr>
        <w:t xml:space="preserve"> obavljanje kabotaže unutar Unije dozvoljeno je, pod određenim uvjetima, isključivo prijevoznicima koji imaju licenciju Zajednice. Međunarodne obveze kojima se prijevoznicima iz trećih zemalja koji nemaju takvu licenciju dozvoljava obavljanje kabotaže mogle bi utjecati na tu uredbu.</w:t>
      </w:r>
    </w:p>
    <w:p w14:paraId="07588BE6"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t>(5)</w:t>
      </w:r>
      <w:r w:rsidRPr="00C57A81">
        <w:rPr>
          <w:rFonts w:eastAsia="Calibri"/>
          <w:noProof/>
          <w:szCs w:val="22"/>
          <w:lang w:eastAsia="en-US"/>
        </w:rPr>
        <w:tab/>
        <w:t>Posljedično, takve su međunarodne obveze u isključivoj vanjskoj nadležnosti Unije. Države članice mogu u pregovorima dogovoriti ili preuzeti takve obveze samo ako ih za to ovlasti Unija u skladu s člankom 2. stavkom 1. Ugovora o funkcioniranju Europske unije (UFEU).</w:t>
      </w:r>
    </w:p>
    <w:p w14:paraId="6AFBB09F" w14:textId="77777777" w:rsidR="00996FB1" w:rsidRPr="00C57A81" w:rsidRDefault="00996FB1" w:rsidP="00996FB1">
      <w:pPr>
        <w:widowControl/>
        <w:spacing w:after="160" w:line="259" w:lineRule="auto"/>
        <w:rPr>
          <w:rFonts w:eastAsia="Calibri"/>
          <w:noProof/>
          <w:szCs w:val="22"/>
          <w:lang w:eastAsia="en-US"/>
        </w:rPr>
      </w:pPr>
      <w:r w:rsidRPr="00C57A81">
        <w:rPr>
          <w:rFonts w:eastAsia="Calibri"/>
          <w:noProof/>
          <w:szCs w:val="22"/>
          <w:lang w:eastAsia="en-US"/>
        </w:rPr>
        <w:br w:type="page"/>
      </w:r>
    </w:p>
    <w:p w14:paraId="54B3BB32"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lastRenderedPageBreak/>
        <w:t>(6)</w:t>
      </w:r>
      <w:r w:rsidRPr="00C57A81">
        <w:rPr>
          <w:rFonts w:eastAsia="Calibri"/>
          <w:noProof/>
          <w:szCs w:val="22"/>
          <w:lang w:eastAsia="en-US"/>
        </w:rPr>
        <w:tab/>
        <w:t>Kabotažom koju unutar Unije obavljaju prijevoznici iz trećih zemalja koji nemaju licenciju Zajednice kako je predvieđno u Uredbi (EZ) br. 1073/2009 utječe se na funkcioniranje unutarnjeg tržišta usluga prijevoza običnim i turističkim autobusima kako je utvrđeno tom uredbom. Stoga je potrebno da zakonodavac Unije dodijeli ovlast na temelju članka 2. stavka 1. UFEU-u u skladu sa zakonodavnim postupkom iz članka 91. UFEU-a.</w:t>
      </w:r>
    </w:p>
    <w:p w14:paraId="0E215BB0"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t>(7)</w:t>
      </w:r>
      <w:r w:rsidRPr="00C57A81">
        <w:rPr>
          <w:rFonts w:eastAsia="Calibri"/>
          <w:noProof/>
          <w:szCs w:val="22"/>
          <w:lang w:eastAsia="en-US"/>
        </w:rPr>
        <w:tab/>
        <w:t>Dopisom od 17. ožujka 2025. Austrija je zatražila da je Unija ovlasti za izmjenu Sporazuma između Austrije i Švicarske</w:t>
      </w:r>
      <w:r w:rsidRPr="00C57A81" w:rsidDel="001360F4">
        <w:rPr>
          <w:rFonts w:eastAsia="Calibri"/>
          <w:noProof/>
          <w:szCs w:val="22"/>
          <w:lang w:eastAsia="en-US"/>
        </w:rPr>
        <w:t xml:space="preserve"> </w:t>
      </w:r>
      <w:r w:rsidRPr="00C57A81">
        <w:rPr>
          <w:rFonts w:eastAsia="Calibri"/>
          <w:noProof/>
          <w:szCs w:val="22"/>
          <w:lang w:eastAsia="en-US"/>
        </w:rPr>
        <w:t xml:space="preserve">kako bi se dozvolila kabotaža tijekom pružanja usluga međunarodnog prijevoza putnika običnim i turističkim autobusima u pograničnim regijama Austrije i Švicarske, </w:t>
      </w:r>
      <w:r w:rsidRPr="00C57A81">
        <w:rPr>
          <w:rFonts w:eastAsia="Calibri"/>
          <w:b/>
          <w:bCs/>
          <w:i/>
          <w:iCs/>
          <w:noProof/>
          <w:szCs w:val="22"/>
          <w:lang w:eastAsia="en-US"/>
        </w:rPr>
        <w:t>čime se potiče veća teritorijalna kohezija</w:t>
      </w:r>
      <w:r w:rsidRPr="00C57A81">
        <w:rPr>
          <w:rFonts w:eastAsia="Calibri"/>
          <w:noProof/>
          <w:szCs w:val="22"/>
          <w:lang w:eastAsia="en-US"/>
        </w:rPr>
        <w:t>.</w:t>
      </w:r>
    </w:p>
    <w:p w14:paraId="30C71F58"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t>(8)</w:t>
      </w:r>
      <w:r w:rsidRPr="00C57A81">
        <w:rPr>
          <w:rFonts w:eastAsia="Calibri"/>
          <w:noProof/>
          <w:szCs w:val="22"/>
          <w:lang w:eastAsia="en-US"/>
        </w:rPr>
        <w:tab/>
        <w:t>Kabotažom se omogućava povećanje popunjenosti vozila, čime se povećava ekonomska učinkovitost usluga međunarodnog prijevoza putnika običnim i turističkim autobusima. Stoga je primjereno dozvoliti kabotažu tijekom pružanja usluga međunarodnog prijevoza putnika običnim i turističkim autobusima u pograničnim regijama Austrije i Švicarske. Time bi se dodatno pridonijelo još većoj integraciji tih pograničnih regija.</w:t>
      </w:r>
    </w:p>
    <w:p w14:paraId="620A337B" w14:textId="77777777" w:rsidR="00996FB1" w:rsidRPr="00C57A81" w:rsidRDefault="00996FB1" w:rsidP="00996FB1">
      <w:pPr>
        <w:widowControl/>
        <w:spacing w:after="160" w:line="259" w:lineRule="auto"/>
        <w:rPr>
          <w:rFonts w:eastAsia="Calibri"/>
          <w:noProof/>
          <w:szCs w:val="22"/>
          <w:lang w:eastAsia="en-US"/>
        </w:rPr>
      </w:pPr>
      <w:r w:rsidRPr="00C57A81">
        <w:rPr>
          <w:rFonts w:eastAsia="Calibri"/>
          <w:noProof/>
          <w:szCs w:val="22"/>
          <w:lang w:eastAsia="en-US"/>
        </w:rPr>
        <w:br w:type="page"/>
      </w:r>
    </w:p>
    <w:p w14:paraId="3C65DE95"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lastRenderedPageBreak/>
        <w:t>(9)</w:t>
      </w:r>
      <w:r w:rsidRPr="00C57A81">
        <w:rPr>
          <w:rFonts w:eastAsia="Calibri"/>
          <w:noProof/>
          <w:szCs w:val="22"/>
          <w:lang w:eastAsia="en-US"/>
        </w:rPr>
        <w:tab/>
        <w:t>Kako bi se osiguralo da se predmetnom kabotažom prekomjerno ne mijenja funkcioniranje unutarnjeg tržišta usluga prijevoza običnim i turističkim autobusima, kako je utvrđeno Uredbom (EZ) br. 1073/2009, dozvolu za takvu kabotažu trebalo bi uvjetovati time da nema diskriminacije među prijevoznicima s poslovnim nastanom u Uniji ni narušavanja tržišnog natjecanja.</w:t>
      </w:r>
    </w:p>
    <w:p w14:paraId="2B18DF5C" w14:textId="77777777" w:rsidR="00996FB1" w:rsidRPr="00C57A81" w:rsidRDefault="00996FB1" w:rsidP="00996FB1">
      <w:pPr>
        <w:widowControl/>
        <w:spacing w:before="120" w:after="120" w:line="360" w:lineRule="auto"/>
        <w:ind w:left="709" w:hanging="709"/>
        <w:rPr>
          <w:rFonts w:eastAsia="Calibri"/>
          <w:noProof/>
          <w:szCs w:val="22"/>
          <w:lang w:eastAsia="en-US"/>
        </w:rPr>
      </w:pPr>
      <w:r w:rsidRPr="00C57A81">
        <w:rPr>
          <w:rFonts w:eastAsia="Calibri"/>
          <w:noProof/>
          <w:szCs w:val="22"/>
          <w:lang w:eastAsia="en-US"/>
        </w:rPr>
        <w:t>(10)</w:t>
      </w:r>
      <w:r w:rsidRPr="00C57A81">
        <w:rPr>
          <w:rFonts w:eastAsia="Calibri"/>
          <w:noProof/>
          <w:szCs w:val="22"/>
          <w:lang w:eastAsia="en-US"/>
        </w:rPr>
        <w:tab/>
        <w:t>Iz istog bi razloga kabotažu trebalo dozvoliti samo u pograničnim regijama Austrije tijekom pružanja usluga međunarodnog prijevoza putnika običnim i turističkim autobusima između Austrije i Švicarske. U tu je svrhu potrebno definirati pogranične regije Austrije za potrebe ove Odluke vodeći računa o funkcioniranju Uredbe (EZ) br. 1073/2009 te istodobno dopuštajući povećanje učinkovitosti predmetne kabotaže,</w:t>
      </w:r>
    </w:p>
    <w:bookmarkEnd w:id="7"/>
    <w:p w14:paraId="743D8F1B" w14:textId="77777777" w:rsidR="00996FB1" w:rsidRPr="00C57A81" w:rsidRDefault="00996FB1" w:rsidP="00996FB1">
      <w:pPr>
        <w:keepNext/>
        <w:widowControl/>
        <w:spacing w:before="120" w:after="120" w:line="360" w:lineRule="auto"/>
        <w:rPr>
          <w:rFonts w:eastAsia="Calibri"/>
          <w:noProof/>
          <w:szCs w:val="22"/>
          <w:lang w:eastAsia="en-US"/>
        </w:rPr>
      </w:pPr>
      <w:r w:rsidRPr="00C57A81">
        <w:rPr>
          <w:rFonts w:eastAsia="Calibri"/>
          <w:noProof/>
          <w:szCs w:val="22"/>
          <w:lang w:eastAsia="en-US"/>
        </w:rPr>
        <w:t>DONIJELI SU OVU ODLUKU:</w:t>
      </w:r>
    </w:p>
    <w:p w14:paraId="78A7F1F8" w14:textId="77777777" w:rsidR="00996FB1" w:rsidRPr="00C57A81" w:rsidRDefault="00996FB1" w:rsidP="00996FB1">
      <w:pPr>
        <w:widowControl/>
        <w:spacing w:after="160" w:line="259" w:lineRule="auto"/>
        <w:rPr>
          <w:rFonts w:eastAsia="Calibri"/>
          <w:i/>
          <w:noProof/>
          <w:szCs w:val="22"/>
          <w:lang w:eastAsia="en-US"/>
        </w:rPr>
      </w:pPr>
      <w:r w:rsidRPr="00C57A81">
        <w:rPr>
          <w:rFonts w:eastAsia="Calibri"/>
          <w:noProof/>
          <w:szCs w:val="22"/>
          <w:lang w:eastAsia="en-US"/>
        </w:rPr>
        <w:br w:type="page"/>
      </w:r>
    </w:p>
    <w:p w14:paraId="5DFABE56" w14:textId="77777777" w:rsidR="00996FB1" w:rsidRPr="00C57A81" w:rsidRDefault="00996FB1" w:rsidP="00996FB1">
      <w:pPr>
        <w:keepNext/>
        <w:widowControl/>
        <w:spacing w:before="360" w:after="120" w:line="360" w:lineRule="auto"/>
        <w:jc w:val="center"/>
        <w:rPr>
          <w:rFonts w:eastAsia="Calibri"/>
          <w:iCs/>
          <w:noProof/>
          <w:szCs w:val="22"/>
          <w:lang w:eastAsia="en-US"/>
        </w:rPr>
      </w:pPr>
      <w:r w:rsidRPr="00C57A81">
        <w:rPr>
          <w:rFonts w:eastAsia="Calibri"/>
          <w:i/>
          <w:noProof/>
          <w:szCs w:val="22"/>
          <w:lang w:eastAsia="en-US"/>
        </w:rPr>
        <w:lastRenderedPageBreak/>
        <w:t>Članak 1</w:t>
      </w:r>
      <w:r w:rsidRPr="00C57A81">
        <w:rPr>
          <w:rFonts w:eastAsia="Calibri"/>
          <w:iCs/>
          <w:noProof/>
          <w:szCs w:val="22"/>
          <w:lang w:eastAsia="en-US"/>
        </w:rPr>
        <w:t>.</w:t>
      </w:r>
    </w:p>
    <w:p w14:paraId="7764E432"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iCs/>
          <w:noProof/>
          <w:szCs w:val="22"/>
          <w:lang w:eastAsia="en-US"/>
        </w:rPr>
        <w:t>Austriji se daje ovlast za izmjenu Bilateralnog sporazuma o cestovnom prijevozu između Austrije i Švicarske od 22. listopada 1958. („Sporazum između Austrije i Švicarske”) kako bi se dozvolila kabotaža u pograničnim regijama Austrije i Švicarske tijekom pružanja</w:t>
      </w:r>
      <w:r w:rsidRPr="00C57A81">
        <w:rPr>
          <w:rFonts w:eastAsia="Calibri"/>
          <w:noProof/>
          <w:szCs w:val="22"/>
          <w:lang w:eastAsia="en-US"/>
        </w:rPr>
        <w:t xml:space="preserve"> usluga međunarodnog prijevoza putnika običnim i turističkim autobusima između tih dviju zemalja, pod uvjetom da nema diskriminacije među prijevoznicima s poslovnim nastanom u Uniji ni narušavanja tržišnog natjecanja.</w:t>
      </w:r>
    </w:p>
    <w:p w14:paraId="74935523" w14:textId="77777777" w:rsidR="00996FB1" w:rsidRPr="00C57A81" w:rsidRDefault="00996FB1" w:rsidP="00996FB1">
      <w:pPr>
        <w:widowControl/>
        <w:spacing w:before="120" w:after="120" w:line="360" w:lineRule="auto"/>
        <w:rPr>
          <w:rFonts w:eastAsia="Calibri"/>
          <w:noProof/>
          <w:szCs w:val="22"/>
          <w:lang w:eastAsia="en-US"/>
        </w:rPr>
      </w:pPr>
      <w:r w:rsidRPr="00C57A81">
        <w:rPr>
          <w:rFonts w:eastAsia="Calibri"/>
          <w:noProof/>
          <w:szCs w:val="22"/>
          <w:lang w:eastAsia="en-US"/>
        </w:rPr>
        <w:t>Upravni okruzi Bludenz, Bregenz, Dornbirn i Feldkirch u regiji Vorarlbergu i okrug Landeck u regiji Tirolu smatraju se pograničnim regijama Austrije u smislu prvog stavka.</w:t>
      </w:r>
    </w:p>
    <w:p w14:paraId="53360D09" w14:textId="77777777" w:rsidR="00996FB1" w:rsidRPr="00C57A81" w:rsidRDefault="00996FB1" w:rsidP="00996FB1">
      <w:pPr>
        <w:widowControl/>
        <w:spacing w:after="160" w:line="259" w:lineRule="auto"/>
        <w:rPr>
          <w:rFonts w:eastAsia="Calibri"/>
          <w:i/>
          <w:noProof/>
          <w:szCs w:val="22"/>
          <w:lang w:eastAsia="en-US"/>
        </w:rPr>
      </w:pPr>
      <w:r w:rsidRPr="00C57A81">
        <w:rPr>
          <w:rFonts w:eastAsia="Calibri"/>
          <w:noProof/>
          <w:szCs w:val="22"/>
          <w:lang w:eastAsia="en-US"/>
        </w:rPr>
        <w:br w:type="page"/>
      </w:r>
    </w:p>
    <w:p w14:paraId="5B9EECB5" w14:textId="77777777" w:rsidR="00996FB1" w:rsidRPr="00C57A81" w:rsidRDefault="00996FB1" w:rsidP="00996FB1">
      <w:pPr>
        <w:keepNext/>
        <w:widowControl/>
        <w:spacing w:before="360" w:after="120" w:line="360" w:lineRule="auto"/>
        <w:jc w:val="center"/>
        <w:rPr>
          <w:rFonts w:eastAsia="Calibri"/>
          <w:i/>
          <w:noProof/>
          <w:szCs w:val="22"/>
          <w:lang w:eastAsia="en-US"/>
        </w:rPr>
      </w:pPr>
      <w:r w:rsidRPr="00C57A81">
        <w:rPr>
          <w:rFonts w:eastAsia="Calibri"/>
          <w:i/>
          <w:noProof/>
          <w:szCs w:val="22"/>
          <w:lang w:eastAsia="en-US"/>
        </w:rPr>
        <w:lastRenderedPageBreak/>
        <w:t>Članak 2.</w:t>
      </w:r>
    </w:p>
    <w:p w14:paraId="7AEBBECE" w14:textId="77777777" w:rsidR="00996FB1" w:rsidRPr="00C57A81" w:rsidRDefault="00996FB1" w:rsidP="00996FB1">
      <w:pPr>
        <w:keepLines/>
        <w:widowControl/>
        <w:spacing w:before="120" w:after="120" w:line="360" w:lineRule="auto"/>
        <w:rPr>
          <w:rFonts w:eastAsia="Calibri"/>
          <w:noProof/>
          <w:szCs w:val="22"/>
          <w:lang w:eastAsia="en-US"/>
        </w:rPr>
      </w:pPr>
      <w:r w:rsidRPr="00C57A81">
        <w:rPr>
          <w:rFonts w:eastAsia="Calibri"/>
          <w:noProof/>
          <w:szCs w:val="22"/>
          <w:lang w:eastAsia="en-US"/>
        </w:rPr>
        <w:t>Austrija obavješćuje Komisiju o izmjeni</w:t>
      </w:r>
      <w:r w:rsidRPr="00C57A81">
        <w:rPr>
          <w:rFonts w:eastAsia="Calibri"/>
          <w:szCs w:val="22"/>
          <w:lang w:eastAsia="en-US"/>
        </w:rPr>
        <w:t xml:space="preserve"> </w:t>
      </w:r>
      <w:r w:rsidRPr="00C57A81">
        <w:rPr>
          <w:rFonts w:eastAsia="Calibri"/>
          <w:noProof/>
          <w:szCs w:val="22"/>
          <w:lang w:eastAsia="en-US"/>
        </w:rPr>
        <w:t>Sporazuma između Austrije i Švicarske u skladu s člankom 1. ove Odluke i Komisiji dostavlja tekst izmijenjenog sporazuma.</w:t>
      </w:r>
    </w:p>
    <w:p w14:paraId="4103E9FC" w14:textId="77777777" w:rsidR="00996FB1" w:rsidRPr="00C57A81" w:rsidRDefault="00996FB1" w:rsidP="00996FB1">
      <w:pPr>
        <w:keepLines/>
        <w:widowControl/>
        <w:spacing w:before="120" w:after="120" w:line="360" w:lineRule="auto"/>
        <w:rPr>
          <w:rFonts w:eastAsia="Calibri"/>
          <w:noProof/>
          <w:szCs w:val="22"/>
          <w:lang w:eastAsia="en-US"/>
        </w:rPr>
      </w:pPr>
      <w:r w:rsidRPr="00C57A81">
        <w:rPr>
          <w:rFonts w:eastAsia="Calibri"/>
          <w:noProof/>
          <w:szCs w:val="22"/>
          <w:lang w:eastAsia="en-US"/>
        </w:rPr>
        <w:t>Komisija o tome obavješćuje Vijeće i Europski parlament.</w:t>
      </w:r>
    </w:p>
    <w:p w14:paraId="4E3439D8" w14:textId="77777777" w:rsidR="00996FB1" w:rsidRPr="00C57A81" w:rsidRDefault="00996FB1" w:rsidP="00996FB1">
      <w:pPr>
        <w:keepNext/>
        <w:widowControl/>
        <w:spacing w:before="360" w:after="120" w:line="360" w:lineRule="auto"/>
        <w:jc w:val="center"/>
        <w:rPr>
          <w:rFonts w:eastAsia="Calibri"/>
          <w:i/>
          <w:noProof/>
          <w:szCs w:val="22"/>
          <w:lang w:eastAsia="en-US"/>
        </w:rPr>
      </w:pPr>
      <w:r w:rsidRPr="00C57A81">
        <w:rPr>
          <w:rFonts w:eastAsia="Calibri"/>
          <w:i/>
          <w:noProof/>
          <w:szCs w:val="22"/>
          <w:lang w:eastAsia="en-US"/>
        </w:rPr>
        <w:t>Članak 3.</w:t>
      </w:r>
    </w:p>
    <w:p w14:paraId="449BF061" w14:textId="77777777" w:rsidR="00996FB1" w:rsidRPr="00C57A81" w:rsidRDefault="00996FB1" w:rsidP="00996FB1">
      <w:pPr>
        <w:keepNext/>
        <w:keepLines/>
        <w:widowControl/>
        <w:spacing w:before="120" w:after="120" w:line="360" w:lineRule="auto"/>
        <w:rPr>
          <w:rFonts w:eastAsia="Calibri"/>
          <w:noProof/>
          <w:szCs w:val="22"/>
          <w:lang w:eastAsia="en-US"/>
        </w:rPr>
      </w:pPr>
      <w:r w:rsidRPr="00C57A81">
        <w:rPr>
          <w:rFonts w:eastAsia="Calibri"/>
          <w:noProof/>
          <w:szCs w:val="22"/>
          <w:lang w:eastAsia="en-US"/>
        </w:rPr>
        <w:t>Ova je Odluka upućena Republici Austriji.</w:t>
      </w:r>
    </w:p>
    <w:p w14:paraId="2D619C12" w14:textId="77777777" w:rsidR="00996FB1" w:rsidRPr="00C57A81" w:rsidRDefault="00996FB1" w:rsidP="00996FB1">
      <w:pPr>
        <w:keepNext/>
        <w:widowControl/>
        <w:spacing w:before="120" w:line="360" w:lineRule="auto"/>
        <w:rPr>
          <w:rFonts w:eastAsia="Calibri"/>
          <w:noProof/>
          <w:szCs w:val="22"/>
          <w:lang w:eastAsia="en-US"/>
        </w:rPr>
      </w:pPr>
      <w:r w:rsidRPr="00C57A81">
        <w:rPr>
          <w:rFonts w:eastAsia="Calibri"/>
          <w:noProof/>
          <w:szCs w:val="22"/>
          <w:lang w:eastAsia="en-US"/>
        </w:rPr>
        <w:t>Sastavljeno u …</w:t>
      </w:r>
    </w:p>
    <w:p w14:paraId="14AD286C" w14:textId="77777777" w:rsidR="00996FB1" w:rsidRPr="00C57A81" w:rsidRDefault="00996FB1" w:rsidP="00996FB1">
      <w:pPr>
        <w:keepNext/>
        <w:widowControl/>
        <w:tabs>
          <w:tab w:val="left" w:pos="4252"/>
        </w:tabs>
        <w:spacing w:before="720" w:line="360" w:lineRule="auto"/>
        <w:jc w:val="both"/>
        <w:rPr>
          <w:rFonts w:eastAsia="Calibri"/>
          <w:i/>
          <w:noProof/>
          <w:szCs w:val="22"/>
          <w:lang w:eastAsia="en-US"/>
        </w:rPr>
      </w:pPr>
      <w:r w:rsidRPr="00C57A81">
        <w:rPr>
          <w:rFonts w:eastAsia="Calibri"/>
          <w:i/>
          <w:noProof/>
          <w:szCs w:val="22"/>
          <w:lang w:eastAsia="en-US"/>
        </w:rPr>
        <w:t>Za Europski parlament</w:t>
      </w:r>
      <w:r w:rsidRPr="00C57A81">
        <w:rPr>
          <w:rFonts w:eastAsia="Calibri"/>
          <w:i/>
          <w:noProof/>
          <w:szCs w:val="22"/>
          <w:lang w:eastAsia="en-US"/>
        </w:rPr>
        <w:tab/>
        <w:t>Za Vijeće</w:t>
      </w:r>
    </w:p>
    <w:p w14:paraId="51F46E75" w14:textId="77777777" w:rsidR="00996FB1" w:rsidRPr="00C57A81" w:rsidRDefault="00996FB1" w:rsidP="00996FB1">
      <w:pPr>
        <w:widowControl/>
        <w:tabs>
          <w:tab w:val="left" w:pos="4252"/>
        </w:tabs>
        <w:spacing w:line="360" w:lineRule="auto"/>
        <w:rPr>
          <w:rFonts w:eastAsia="Calibri"/>
          <w:i/>
          <w:noProof/>
          <w:szCs w:val="22"/>
          <w:lang w:eastAsia="en-US"/>
        </w:rPr>
      </w:pPr>
      <w:r w:rsidRPr="00C57A81">
        <w:rPr>
          <w:rFonts w:eastAsia="Calibri"/>
          <w:i/>
          <w:noProof/>
          <w:szCs w:val="22"/>
          <w:lang w:eastAsia="en-US"/>
        </w:rPr>
        <w:t>Predsjednica</w:t>
      </w:r>
      <w:r w:rsidRPr="00C57A81">
        <w:rPr>
          <w:rFonts w:eastAsia="Calibri"/>
          <w:i/>
          <w:noProof/>
          <w:szCs w:val="22"/>
          <w:lang w:eastAsia="en-US"/>
        </w:rPr>
        <w:tab/>
        <w:t>Predsjednik/Predsjednica</w:t>
      </w:r>
    </w:p>
    <w:p w14:paraId="293E5353" w14:textId="77777777" w:rsidR="00996FB1" w:rsidRPr="00C57A81" w:rsidRDefault="00996FB1" w:rsidP="00996FB1">
      <w:pPr>
        <w:widowControl/>
        <w:spacing w:line="360" w:lineRule="auto"/>
        <w:rPr>
          <w:rFonts w:eastAsia="Calibri" w:cs="Arial"/>
          <w:kern w:val="2"/>
          <w:szCs w:val="22"/>
          <w:lang w:val="en-GB" w:eastAsia="en-US"/>
          <w14:ligatures w14:val="standardContextual"/>
        </w:rPr>
      </w:pPr>
    </w:p>
    <w:sectPr w:rsidR="00996FB1" w:rsidRPr="00C57A81" w:rsidSect="005556F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A6CD4" w14:textId="77777777" w:rsidR="000A4743" w:rsidRPr="005556FE" w:rsidRDefault="000A4743">
      <w:r w:rsidRPr="005556FE">
        <w:separator/>
      </w:r>
    </w:p>
  </w:endnote>
  <w:endnote w:type="continuationSeparator" w:id="0">
    <w:p w14:paraId="00DAAF29" w14:textId="77777777" w:rsidR="000A4743" w:rsidRPr="005556FE" w:rsidRDefault="000A4743">
      <w:r w:rsidRPr="005556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58D7" w14:textId="77777777" w:rsidR="00064002" w:rsidRPr="005556F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6F47" w14:textId="77777777" w:rsidR="00064002" w:rsidRPr="005556F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1104" w14:textId="77777777" w:rsidR="00064002" w:rsidRPr="005556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7ECC3" w14:textId="77777777" w:rsidR="000A4743" w:rsidRPr="005556FE" w:rsidRDefault="000A4743">
      <w:r w:rsidRPr="005556FE">
        <w:separator/>
      </w:r>
    </w:p>
  </w:footnote>
  <w:footnote w:type="continuationSeparator" w:id="0">
    <w:p w14:paraId="2B237EB5" w14:textId="77777777" w:rsidR="000A4743" w:rsidRPr="005556FE" w:rsidRDefault="000A4743">
      <w:r w:rsidRPr="005556FE">
        <w:continuationSeparator/>
      </w:r>
    </w:p>
  </w:footnote>
  <w:footnote w:id="1">
    <w:p w14:paraId="221F9D0B" w14:textId="6FC7E017" w:rsidR="006B2CDB" w:rsidRPr="007D619A" w:rsidRDefault="006B2CDB" w:rsidP="005556FE">
      <w:pPr>
        <w:pStyle w:val="FootnoteText"/>
        <w:ind w:left="567" w:hanging="567"/>
        <w:rPr>
          <w:sz w:val="24"/>
          <w:lang w:val="fi-FI"/>
        </w:rPr>
      </w:pPr>
      <w:r w:rsidRPr="005556FE">
        <w:rPr>
          <w:rStyle w:val="FootnoteReference"/>
          <w:sz w:val="24"/>
          <w:lang w:val="hr-HR"/>
        </w:rPr>
        <w:footnoteRef/>
      </w:r>
      <w:r w:rsidR="005556FE" w:rsidRPr="005556FE">
        <w:rPr>
          <w:sz w:val="24"/>
          <w:lang w:val="hr-HR"/>
        </w:rPr>
        <w:t xml:space="preserve"> </w:t>
      </w:r>
      <w:r w:rsidR="005556FE" w:rsidRPr="005556FE">
        <w:rPr>
          <w:sz w:val="24"/>
          <w:lang w:val="hr-HR"/>
        </w:rPr>
        <w:tab/>
      </w:r>
      <w:r w:rsidRPr="005556FE">
        <w:rPr>
          <w:sz w:val="24"/>
          <w:lang w:val="hr-HR"/>
        </w:rPr>
        <w:t xml:space="preserve">SL C, C/2026/1970, 28.4.2026., ELI: </w:t>
      </w:r>
      <w:hyperlink r:id="rId1" w:history="1">
        <w:r w:rsidRPr="005556FE">
          <w:rPr>
            <w:rStyle w:val="Hyperlink"/>
            <w:sz w:val="24"/>
            <w:lang w:val="hr-HR"/>
          </w:rPr>
          <w:t>http://data.europa.eu/eli/C/2026/1970/oj</w:t>
        </w:r>
      </w:hyperlink>
      <w:r w:rsidR="007D619A" w:rsidRPr="00631103">
        <w:rPr>
          <w:lang w:val="fi-FI"/>
        </w:rPr>
        <w:t>.</w:t>
      </w:r>
    </w:p>
  </w:footnote>
  <w:footnote w:id="2">
    <w:p w14:paraId="6CF8B7BB" w14:textId="77777777" w:rsidR="00996FB1" w:rsidRPr="00C57A81" w:rsidRDefault="00996FB1" w:rsidP="00996FB1">
      <w:pPr>
        <w:pStyle w:val="FootnoteText"/>
        <w:ind w:left="709" w:hanging="709"/>
        <w:rPr>
          <w:color w:val="000000"/>
          <w:sz w:val="24"/>
          <w:szCs w:val="24"/>
          <w:lang w:val="hr-HR"/>
        </w:rPr>
      </w:pPr>
      <w:r w:rsidRPr="00C57A81">
        <w:rPr>
          <w:rStyle w:val="FootnoteReference"/>
          <w:sz w:val="24"/>
          <w:szCs w:val="24"/>
          <w:lang w:val="hr-HR"/>
        </w:rPr>
        <w:footnoteRef/>
      </w:r>
      <w:r w:rsidRPr="00C57A81">
        <w:rPr>
          <w:sz w:val="24"/>
          <w:szCs w:val="24"/>
          <w:lang w:val="hr-HR"/>
        </w:rPr>
        <w:tab/>
      </w:r>
      <w:r w:rsidRPr="00C57A81">
        <w:rPr>
          <w:color w:val="000000"/>
          <w:sz w:val="24"/>
          <w:szCs w:val="24"/>
          <w:lang w:val="hr-HR"/>
        </w:rPr>
        <w:t xml:space="preserve">SL C, C/2026/1970, 28.4.2026., ELI: </w:t>
      </w:r>
      <w:hyperlink r:id="rId2" w:history="1">
        <w:r w:rsidRPr="00C57A81">
          <w:rPr>
            <w:rStyle w:val="Hyperlink"/>
            <w:sz w:val="24"/>
            <w:szCs w:val="24"/>
            <w:lang w:val="hr-HR"/>
          </w:rPr>
          <w:t>http://data.europa.eu/eli/C/2026/1970/oj</w:t>
        </w:r>
      </w:hyperlink>
      <w:r w:rsidRPr="00C57A81">
        <w:rPr>
          <w:color w:val="000000"/>
          <w:sz w:val="24"/>
          <w:szCs w:val="24"/>
          <w:lang w:val="hr-HR"/>
        </w:rPr>
        <w:t>.</w:t>
      </w:r>
    </w:p>
  </w:footnote>
  <w:footnote w:id="3">
    <w:p w14:paraId="1CAD78D2" w14:textId="68BCB4D6" w:rsidR="00996FB1" w:rsidRPr="00C57A81" w:rsidRDefault="00996FB1" w:rsidP="00996FB1">
      <w:pPr>
        <w:pStyle w:val="FootnoteText"/>
        <w:ind w:left="709" w:hanging="709"/>
        <w:rPr>
          <w:sz w:val="24"/>
          <w:szCs w:val="24"/>
          <w:lang w:val="hr-HR"/>
        </w:rPr>
      </w:pPr>
      <w:r w:rsidRPr="00C57A81">
        <w:rPr>
          <w:rStyle w:val="FootnoteReference"/>
          <w:sz w:val="24"/>
          <w:szCs w:val="24"/>
          <w:lang w:val="hr-HR"/>
        </w:rPr>
        <w:footnoteRef/>
      </w:r>
      <w:r w:rsidRPr="00C57A81">
        <w:rPr>
          <w:sz w:val="24"/>
          <w:szCs w:val="24"/>
          <w:lang w:val="hr-HR"/>
        </w:rPr>
        <w:tab/>
        <w:t xml:space="preserve">Stajalište Europskog parlamenta od </w:t>
      </w:r>
      <w:r>
        <w:rPr>
          <w:sz w:val="24"/>
          <w:szCs w:val="24"/>
          <w:lang w:val="hr-HR"/>
        </w:rPr>
        <w:t xml:space="preserve">7. </w:t>
      </w:r>
      <w:r>
        <w:rPr>
          <w:sz w:val="24"/>
          <w:szCs w:val="24"/>
          <w:lang w:val="hr-HR"/>
        </w:rPr>
        <w:t>srpnja 2026.</w:t>
      </w:r>
    </w:p>
  </w:footnote>
  <w:footnote w:id="4">
    <w:p w14:paraId="4600DBBE" w14:textId="77777777" w:rsidR="00996FB1" w:rsidRPr="00C57A81" w:rsidRDefault="00996FB1" w:rsidP="00996FB1">
      <w:pPr>
        <w:pStyle w:val="FootnoteText"/>
        <w:ind w:left="709" w:hanging="709"/>
        <w:rPr>
          <w:sz w:val="24"/>
          <w:szCs w:val="24"/>
          <w:lang w:val="hr-HR"/>
        </w:rPr>
      </w:pPr>
      <w:r w:rsidRPr="00C57A81">
        <w:rPr>
          <w:rStyle w:val="FootnoteReference"/>
          <w:sz w:val="24"/>
          <w:szCs w:val="24"/>
          <w:lang w:val="hr-HR"/>
        </w:rPr>
        <w:footnoteRef/>
      </w:r>
      <w:r w:rsidRPr="00C57A81">
        <w:rPr>
          <w:sz w:val="24"/>
          <w:szCs w:val="24"/>
          <w:lang w:val="hr-HR"/>
        </w:rPr>
        <w:tab/>
        <w:t>SL L 114, 30.4.2002., str. </w:t>
      </w:r>
      <w:r w:rsidRPr="00C57A81">
        <w:rPr>
          <w:sz w:val="24"/>
          <w:szCs w:val="24"/>
          <w:lang w:val="hr-HR"/>
        </w:rPr>
        <w:t>91., ELI: </w:t>
      </w:r>
      <w:hyperlink r:id="rId3" w:tooltip="ELI URI za pristup dokumentu." w:history="1">
        <w:r w:rsidRPr="00C57A81">
          <w:rPr>
            <w:rStyle w:val="Hyperlink"/>
            <w:sz w:val="24"/>
            <w:szCs w:val="24"/>
            <w:lang w:val="hr-HR"/>
          </w:rPr>
          <w:t>http://data.europa.eu/eli/agree_internation/2002/309(3)/oj</w:t>
        </w:r>
      </w:hyperlink>
      <w:r w:rsidRPr="00C57A81">
        <w:rPr>
          <w:sz w:val="24"/>
          <w:szCs w:val="24"/>
          <w:lang w:val="hr-HR"/>
        </w:rPr>
        <w:t>.</w:t>
      </w:r>
    </w:p>
  </w:footnote>
  <w:footnote w:id="5">
    <w:p w14:paraId="29FADE7E" w14:textId="2A725E32" w:rsidR="00996FB1" w:rsidRPr="00C57A81" w:rsidRDefault="00996FB1" w:rsidP="00996FB1">
      <w:pPr>
        <w:pStyle w:val="FootnoteText"/>
        <w:ind w:left="709" w:hanging="709"/>
        <w:rPr>
          <w:sz w:val="24"/>
          <w:szCs w:val="24"/>
          <w:lang w:val="hr-HR"/>
        </w:rPr>
      </w:pPr>
      <w:r w:rsidRPr="00C57A81">
        <w:rPr>
          <w:rStyle w:val="FootnoteReference"/>
          <w:sz w:val="24"/>
          <w:szCs w:val="24"/>
          <w:lang w:val="hr-HR"/>
        </w:rPr>
        <w:footnoteRef/>
      </w:r>
      <w:r w:rsidRPr="00C57A81">
        <w:rPr>
          <w:sz w:val="24"/>
          <w:szCs w:val="24"/>
          <w:lang w:val="hr-HR"/>
        </w:rPr>
        <w:tab/>
      </w:r>
      <w:proofErr w:type="spellStart"/>
      <w:r w:rsidRPr="00C57A81">
        <w:rPr>
          <w:sz w:val="24"/>
          <w:szCs w:val="24"/>
          <w:lang w:val="hr-HR"/>
        </w:rPr>
        <w:t>BGBl</w:t>
      </w:r>
      <w:proofErr w:type="spellEnd"/>
      <w:r w:rsidRPr="00C57A81">
        <w:rPr>
          <w:sz w:val="24"/>
          <w:szCs w:val="24"/>
          <w:lang w:val="hr-HR"/>
        </w:rPr>
        <w:t xml:space="preserve">. </w:t>
      </w:r>
      <w:r w:rsidRPr="00C57A81">
        <w:rPr>
          <w:sz w:val="24"/>
          <w:szCs w:val="24"/>
          <w:lang w:val="hr-HR"/>
        </w:rPr>
        <w:t>(</w:t>
      </w:r>
      <w:proofErr w:type="spellStart"/>
      <w:r w:rsidRPr="00C57A81">
        <w:rPr>
          <w:sz w:val="24"/>
          <w:szCs w:val="24"/>
          <w:lang w:val="hr-HR"/>
        </w:rPr>
        <w:t>Austria</w:t>
      </w:r>
      <w:proofErr w:type="spellEnd"/>
      <w:r w:rsidRPr="00C57A81">
        <w:rPr>
          <w:sz w:val="24"/>
          <w:szCs w:val="24"/>
          <w:lang w:val="hr-HR"/>
        </w:rPr>
        <w:t xml:space="preserve">) </w:t>
      </w:r>
      <w:r w:rsidR="009653E6">
        <w:rPr>
          <w:sz w:val="24"/>
          <w:szCs w:val="24"/>
          <w:lang w:val="hr-HR"/>
        </w:rPr>
        <w:t>b</w:t>
      </w:r>
      <w:r w:rsidRPr="00C57A81">
        <w:rPr>
          <w:sz w:val="24"/>
          <w:szCs w:val="24"/>
          <w:lang w:val="hr-HR"/>
        </w:rPr>
        <w:t>r. 123/1959.</w:t>
      </w:r>
    </w:p>
  </w:footnote>
  <w:footnote w:id="6">
    <w:p w14:paraId="183652C8" w14:textId="77777777" w:rsidR="00996FB1" w:rsidRPr="00C57A81" w:rsidRDefault="00996FB1" w:rsidP="00996FB1">
      <w:pPr>
        <w:pStyle w:val="FootnoteText"/>
        <w:ind w:left="709" w:hanging="709"/>
        <w:rPr>
          <w:sz w:val="24"/>
          <w:szCs w:val="24"/>
          <w:lang w:val="hr-HR"/>
        </w:rPr>
      </w:pPr>
      <w:r w:rsidRPr="00C57A81">
        <w:rPr>
          <w:rStyle w:val="FootnoteReference"/>
          <w:sz w:val="24"/>
          <w:szCs w:val="24"/>
          <w:lang w:val="hr-HR"/>
        </w:rPr>
        <w:footnoteRef/>
      </w:r>
      <w:r w:rsidRPr="00C57A81">
        <w:rPr>
          <w:sz w:val="24"/>
          <w:szCs w:val="24"/>
          <w:lang w:val="hr-HR"/>
        </w:rPr>
        <w:tab/>
        <w:t>Uredba (EZ) br. 1073/2009 Europskog parlamenta i Vijeća od 21. listopada 2009. o zajedničkim pravilima za pristup međunarodnom tržištu usluga prijevoza običnim i turističkim autobusima i o izmjeni Uredbe (EZ) br. 561/2006 (SL L 300, 14.11.2009., str. </w:t>
      </w:r>
      <w:r w:rsidRPr="00C57A81">
        <w:rPr>
          <w:sz w:val="24"/>
          <w:szCs w:val="24"/>
          <w:lang w:val="hr-HR"/>
        </w:rPr>
        <w:t>88., ELI: </w:t>
      </w:r>
      <w:hyperlink r:id="rId4" w:tooltip="ELI URI za pristup dokumentu." w:history="1">
        <w:r w:rsidRPr="00C57A81">
          <w:rPr>
            <w:rStyle w:val="Hyperlink"/>
            <w:sz w:val="24"/>
            <w:szCs w:val="24"/>
            <w:lang w:val="hr-HR"/>
          </w:rPr>
          <w:t>http://data.europa.eu/eli/reg/2009/1073/oj</w:t>
        </w:r>
      </w:hyperlink>
      <w:r w:rsidRPr="00C57A81">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8BC2" w14:textId="77777777" w:rsidR="00064002" w:rsidRPr="005556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CAFA" w14:textId="77777777" w:rsidR="00064002" w:rsidRPr="005556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5CE3" w14:textId="77777777" w:rsidR="00064002" w:rsidRPr="005556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9553542">
    <w:abstractNumId w:val="9"/>
  </w:num>
  <w:num w:numId="2" w16cid:durableId="1320114004">
    <w:abstractNumId w:val="9"/>
  </w:num>
  <w:num w:numId="3" w16cid:durableId="1512331494">
    <w:abstractNumId w:val="7"/>
  </w:num>
  <w:num w:numId="4" w16cid:durableId="2096628825">
    <w:abstractNumId w:val="7"/>
  </w:num>
  <w:num w:numId="5" w16cid:durableId="1947538566">
    <w:abstractNumId w:val="6"/>
  </w:num>
  <w:num w:numId="6" w16cid:durableId="895817442">
    <w:abstractNumId w:val="6"/>
  </w:num>
  <w:num w:numId="7" w16cid:durableId="2021201511">
    <w:abstractNumId w:val="5"/>
  </w:num>
  <w:num w:numId="8" w16cid:durableId="913319947">
    <w:abstractNumId w:val="5"/>
  </w:num>
  <w:num w:numId="9" w16cid:durableId="1578828286">
    <w:abstractNumId w:val="4"/>
  </w:num>
  <w:num w:numId="10" w16cid:durableId="1726906227">
    <w:abstractNumId w:val="4"/>
  </w:num>
  <w:num w:numId="11" w16cid:durableId="657654128">
    <w:abstractNumId w:val="8"/>
  </w:num>
  <w:num w:numId="12" w16cid:durableId="158547935">
    <w:abstractNumId w:val="8"/>
  </w:num>
  <w:num w:numId="13" w16cid:durableId="583221720">
    <w:abstractNumId w:val="3"/>
  </w:num>
  <w:num w:numId="14" w16cid:durableId="1777679422">
    <w:abstractNumId w:val="3"/>
  </w:num>
  <w:num w:numId="15" w16cid:durableId="2115128436">
    <w:abstractNumId w:val="2"/>
  </w:num>
  <w:num w:numId="16" w16cid:durableId="1731420635">
    <w:abstractNumId w:val="2"/>
  </w:num>
  <w:num w:numId="17" w16cid:durableId="482086211">
    <w:abstractNumId w:val="1"/>
  </w:num>
  <w:num w:numId="18" w16cid:durableId="740517899">
    <w:abstractNumId w:val="1"/>
  </w:num>
  <w:num w:numId="19" w16cid:durableId="1338464645">
    <w:abstractNumId w:val="0"/>
  </w:num>
  <w:num w:numId="20" w16cid:durableId="295450522">
    <w:abstractNumId w:val="0"/>
  </w:num>
  <w:num w:numId="21" w16cid:durableId="510413751">
    <w:abstractNumId w:val="9"/>
  </w:num>
  <w:num w:numId="22" w16cid:durableId="193351705">
    <w:abstractNumId w:val="7"/>
  </w:num>
  <w:num w:numId="23" w16cid:durableId="56361806">
    <w:abstractNumId w:val="6"/>
  </w:num>
  <w:num w:numId="24" w16cid:durableId="2112892580">
    <w:abstractNumId w:val="5"/>
  </w:num>
  <w:num w:numId="25" w16cid:durableId="705761312">
    <w:abstractNumId w:val="4"/>
  </w:num>
  <w:num w:numId="26" w16cid:durableId="320157416">
    <w:abstractNumId w:val="8"/>
  </w:num>
  <w:num w:numId="27" w16cid:durableId="1871411004">
    <w:abstractNumId w:val="3"/>
  </w:num>
  <w:num w:numId="28" w16cid:durableId="973407990">
    <w:abstractNumId w:val="2"/>
  </w:num>
  <w:num w:numId="29" w16cid:durableId="1041131965">
    <w:abstractNumId w:val="1"/>
  </w:num>
  <w:num w:numId="30" w16cid:durableId="1219048596">
    <w:abstractNumId w:val="0"/>
  </w:num>
  <w:num w:numId="31" w16cid:durableId="1554778305">
    <w:abstractNumId w:val="9"/>
  </w:num>
  <w:num w:numId="32" w16cid:durableId="2111117710">
    <w:abstractNumId w:val="7"/>
  </w:num>
  <w:num w:numId="33" w16cid:durableId="364909183">
    <w:abstractNumId w:val="6"/>
  </w:num>
  <w:num w:numId="34" w16cid:durableId="569585646">
    <w:abstractNumId w:val="5"/>
  </w:num>
  <w:num w:numId="35" w16cid:durableId="1510871848">
    <w:abstractNumId w:val="4"/>
  </w:num>
  <w:num w:numId="36" w16cid:durableId="1850366983">
    <w:abstractNumId w:val="8"/>
  </w:num>
  <w:num w:numId="37" w16cid:durableId="649821470">
    <w:abstractNumId w:val="3"/>
  </w:num>
  <w:num w:numId="38" w16cid:durableId="295721371">
    <w:abstractNumId w:val="2"/>
  </w:num>
  <w:num w:numId="39" w16cid:durableId="156504197">
    <w:abstractNumId w:val="1"/>
  </w:num>
  <w:num w:numId="40" w16cid:durableId="849373728">
    <w:abstractNumId w:val="0"/>
  </w:num>
  <w:num w:numId="41" w16cid:durableId="563220388">
    <w:abstractNumId w:val="10"/>
  </w:num>
  <w:num w:numId="42" w16cid:durableId="679115826">
    <w:abstractNumId w:val="10"/>
  </w:num>
  <w:num w:numId="43" w16cid:durableId="416635055">
    <w:abstractNumId w:val="10"/>
  </w:num>
  <w:num w:numId="44" w16cid:durableId="1798645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HR"/>
    <w:docVar w:name="dvnumam" w:val="2"/>
    <w:docVar w:name="dvpe" w:val="785.404"/>
    <w:docVar w:name="dvrapporteur" w:val="Izvjestiteljica: "/>
    <w:docVar w:name="dvstar" w:val="***I"/>
    <w:docVar w:name="dvtitre" w:val="Zakonodavna rezolucija Europskog parlamenta od .... 2026. o Prijedlogu odluke Europskog parlamenta i Vijeća o davanju ovlasti Austriji za izmjenu njezina postojećeg bilateralnog sporazuma o cestovnom prijevozu sa Švicarskom kako bi se dozvolila kabotaža prilikom pružanja usluga međunarodnog cestovnog prijevoza putnika običnim i turističkim autobusima u pograničnim regijama tih dviju zemalja(COM(2025)0773 – C10-0367/2025 – 2025/0407(COD))"/>
  </w:docVars>
  <w:rsids>
    <w:rsidRoot w:val="000A4743"/>
    <w:rsid w:val="00002272"/>
    <w:rsid w:val="00064002"/>
    <w:rsid w:val="000677B9"/>
    <w:rsid w:val="000831BA"/>
    <w:rsid w:val="000A42CC"/>
    <w:rsid w:val="000A4743"/>
    <w:rsid w:val="000E7DD9"/>
    <w:rsid w:val="0010095E"/>
    <w:rsid w:val="00113D15"/>
    <w:rsid w:val="00125B37"/>
    <w:rsid w:val="00187494"/>
    <w:rsid w:val="001F32AE"/>
    <w:rsid w:val="00256919"/>
    <w:rsid w:val="002767FF"/>
    <w:rsid w:val="0028061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6FE"/>
    <w:rsid w:val="00560270"/>
    <w:rsid w:val="005C2568"/>
    <w:rsid w:val="005F1B17"/>
    <w:rsid w:val="006037C0"/>
    <w:rsid w:val="00631103"/>
    <w:rsid w:val="006631B6"/>
    <w:rsid w:val="00680577"/>
    <w:rsid w:val="006B2CDB"/>
    <w:rsid w:val="006F74FA"/>
    <w:rsid w:val="00731ADD"/>
    <w:rsid w:val="00734777"/>
    <w:rsid w:val="00747932"/>
    <w:rsid w:val="00751A4A"/>
    <w:rsid w:val="00756632"/>
    <w:rsid w:val="00762C74"/>
    <w:rsid w:val="00786EC0"/>
    <w:rsid w:val="007D1690"/>
    <w:rsid w:val="007D619A"/>
    <w:rsid w:val="007E22AD"/>
    <w:rsid w:val="00817416"/>
    <w:rsid w:val="00842779"/>
    <w:rsid w:val="00865F67"/>
    <w:rsid w:val="00881A7B"/>
    <w:rsid w:val="008840E5"/>
    <w:rsid w:val="00887B3E"/>
    <w:rsid w:val="008C2AC6"/>
    <w:rsid w:val="00930C23"/>
    <w:rsid w:val="0093193B"/>
    <w:rsid w:val="009509D8"/>
    <w:rsid w:val="00950B64"/>
    <w:rsid w:val="009653E6"/>
    <w:rsid w:val="00981893"/>
    <w:rsid w:val="00996FB1"/>
    <w:rsid w:val="00A1687D"/>
    <w:rsid w:val="00A43E52"/>
    <w:rsid w:val="00A4678D"/>
    <w:rsid w:val="00A778C7"/>
    <w:rsid w:val="00AB441E"/>
    <w:rsid w:val="00AB6293"/>
    <w:rsid w:val="00AE0928"/>
    <w:rsid w:val="00AF3B82"/>
    <w:rsid w:val="00B12E95"/>
    <w:rsid w:val="00B22876"/>
    <w:rsid w:val="00B558F0"/>
    <w:rsid w:val="00B818C0"/>
    <w:rsid w:val="00BD48FE"/>
    <w:rsid w:val="00BD7BD8"/>
    <w:rsid w:val="00BE6ADC"/>
    <w:rsid w:val="00C05BFE"/>
    <w:rsid w:val="00C23CD4"/>
    <w:rsid w:val="00C24381"/>
    <w:rsid w:val="00C61C0C"/>
    <w:rsid w:val="00C941CB"/>
    <w:rsid w:val="00CC2357"/>
    <w:rsid w:val="00CF071A"/>
    <w:rsid w:val="00D058B8"/>
    <w:rsid w:val="00D56C11"/>
    <w:rsid w:val="00D834A0"/>
    <w:rsid w:val="00D872DF"/>
    <w:rsid w:val="00D91E21"/>
    <w:rsid w:val="00DA7FCD"/>
    <w:rsid w:val="00E14DB7"/>
    <w:rsid w:val="00E365E1"/>
    <w:rsid w:val="00E637F1"/>
    <w:rsid w:val="00E820A4"/>
    <w:rsid w:val="00EB006A"/>
    <w:rsid w:val="00EB4772"/>
    <w:rsid w:val="00ED169E"/>
    <w:rsid w:val="00ED4235"/>
    <w:rsid w:val="00F04346"/>
    <w:rsid w:val="00F075DC"/>
    <w:rsid w:val="00F135A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D741C"/>
  <w15:chartTrackingRefBased/>
  <w15:docId w15:val="{176F025E-8966-4A48-BC5C-4C0E33AA7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B2CDB"/>
    <w:rPr>
      <w:b/>
    </w:rPr>
  </w:style>
  <w:style w:type="paragraph" w:customStyle="1" w:styleId="AmJustText">
    <w:name w:val="AmJustText"/>
    <w:basedOn w:val="Normal"/>
    <w:rsid w:val="006B2CDB"/>
    <w:pPr>
      <w:spacing w:after="240"/>
    </w:pPr>
    <w:rPr>
      <w:i/>
    </w:rPr>
  </w:style>
  <w:style w:type="paragraph" w:customStyle="1" w:styleId="NormalHanging12a">
    <w:name w:val="NormalHanging12a"/>
    <w:basedOn w:val="Normal"/>
    <w:rsid w:val="006B2CDB"/>
    <w:pPr>
      <w:spacing w:after="240"/>
      <w:ind w:left="567" w:hanging="567"/>
    </w:pPr>
  </w:style>
  <w:style w:type="paragraph" w:customStyle="1" w:styleId="AmJustTitle">
    <w:name w:val="AmJustTitle"/>
    <w:basedOn w:val="Normal"/>
    <w:next w:val="AmJustText"/>
    <w:rsid w:val="006B2CDB"/>
    <w:pPr>
      <w:keepNext/>
      <w:spacing w:before="240" w:after="240"/>
      <w:jc w:val="center"/>
    </w:pPr>
    <w:rPr>
      <w:i/>
    </w:rPr>
  </w:style>
  <w:style w:type="paragraph" w:customStyle="1" w:styleId="AmNumberTabs">
    <w:name w:val="AmNumberTabs"/>
    <w:basedOn w:val="Normal"/>
    <w:rsid w:val="006B2C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B2CDB"/>
    <w:pPr>
      <w:spacing w:before="480" w:after="240"/>
    </w:pPr>
  </w:style>
  <w:style w:type="character" w:styleId="Hyperlink">
    <w:name w:val="Hyperlink"/>
    <w:basedOn w:val="DefaultParagraphFont"/>
    <w:uiPriority w:val="99"/>
    <w:rsid w:val="006B2CDB"/>
    <w:rPr>
      <w:color w:val="0563C1" w:themeColor="hyperlink"/>
      <w:u w:val="single"/>
    </w:rPr>
  </w:style>
  <w:style w:type="character" w:customStyle="1" w:styleId="Normal6Char">
    <w:name w:val="Normal6 Char"/>
    <w:basedOn w:val="DefaultParagraphFont"/>
    <w:link w:val="Normal6"/>
    <w:locked/>
    <w:rsid w:val="006B2CDB"/>
    <w:rPr>
      <w:sz w:val="24"/>
      <w:lang w:val="hr-HR"/>
    </w:rPr>
  </w:style>
  <w:style w:type="paragraph" w:customStyle="1" w:styleId="Normal6">
    <w:name w:val="Normal6"/>
    <w:basedOn w:val="Normal"/>
    <w:link w:val="Normal6Char"/>
    <w:rsid w:val="006B2CDB"/>
    <w:pPr>
      <w:spacing w:after="120"/>
    </w:pPr>
  </w:style>
  <w:style w:type="character" w:customStyle="1" w:styleId="NormalBoldChar">
    <w:name w:val="NormalBold Char"/>
    <w:basedOn w:val="DefaultParagraphFont"/>
    <w:link w:val="NormalBold"/>
    <w:locked/>
    <w:rsid w:val="006B2CDB"/>
    <w:rPr>
      <w:b/>
      <w:sz w:val="24"/>
      <w:lang w:val="hr-HR"/>
    </w:rPr>
  </w:style>
  <w:style w:type="paragraph" w:customStyle="1" w:styleId="ColumnHeading">
    <w:name w:val="ColumnHeading"/>
    <w:basedOn w:val="Normal"/>
    <w:rsid w:val="006B2CDB"/>
    <w:pPr>
      <w:spacing w:after="240"/>
      <w:jc w:val="center"/>
    </w:pPr>
    <w:rPr>
      <w:i/>
    </w:rPr>
  </w:style>
  <w:style w:type="paragraph" w:styleId="Revision">
    <w:name w:val="Revision"/>
    <w:hidden/>
    <w:uiPriority w:val="99"/>
    <w:semiHidden/>
    <w:rsid w:val="00E637F1"/>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1060</Words>
  <Characters>6855</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2026-07-07T10:36:00Z</dcterms:created>
  <dcterms:modified xsi:type="dcterms:W3CDTF">2026-07-07T10:36:00Z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A10-0174/2026</vt:lpwstr>
  </property>
  <property fmtid="{D5CDD505-2E9C-101B-9397-08002B2CF9AE}" pid="4" name="&lt;Type&gt;">
    <vt:lpwstr>RR</vt:lpwstr>
  </property>
</Properties>
</file>