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72F8" w14:paraId="434B1F95" w14:textId="77777777" w:rsidTr="0010095E">
        <w:trPr>
          <w:trHeight w:hRule="exact" w:val="1418"/>
        </w:trPr>
        <w:tc>
          <w:tcPr>
            <w:tcW w:w="6804" w:type="dxa"/>
            <w:shd w:val="clear" w:color="auto" w:fill="auto"/>
            <w:vAlign w:val="center"/>
          </w:tcPr>
          <w:p w14:paraId="3CE87F35" w14:textId="77777777" w:rsidR="00751A4A" w:rsidRPr="00E472F8" w:rsidRDefault="007968BD" w:rsidP="0010095E">
            <w:pPr>
              <w:pStyle w:val="EPName"/>
            </w:pPr>
            <w:r w:rsidRPr="00E472F8">
              <w:t>Európai Parlament</w:t>
            </w:r>
          </w:p>
          <w:p w14:paraId="3E64F669" w14:textId="77777777" w:rsidR="00751A4A" w:rsidRPr="00E472F8" w:rsidRDefault="005F1B17" w:rsidP="005F1B17">
            <w:pPr>
              <w:pStyle w:val="EPTerm"/>
              <w:rPr>
                <w:rStyle w:val="HideTWBExt"/>
                <w:noProof w:val="0"/>
                <w:vanish w:val="0"/>
                <w:color w:val="auto"/>
              </w:rPr>
            </w:pPr>
            <w:r w:rsidRPr="00E472F8">
              <w:t>2024</w:t>
            </w:r>
            <w:r w:rsidR="00817416" w:rsidRPr="00E472F8">
              <w:t>-202</w:t>
            </w:r>
            <w:r w:rsidRPr="00E472F8">
              <w:t>9</w:t>
            </w:r>
          </w:p>
        </w:tc>
        <w:tc>
          <w:tcPr>
            <w:tcW w:w="2268" w:type="dxa"/>
            <w:shd w:val="clear" w:color="auto" w:fill="auto"/>
          </w:tcPr>
          <w:p w14:paraId="424DF209" w14:textId="77777777" w:rsidR="00751A4A" w:rsidRPr="00E472F8" w:rsidRDefault="00187494" w:rsidP="0010095E">
            <w:pPr>
              <w:pStyle w:val="EPLogo"/>
            </w:pPr>
            <w:r w:rsidRPr="00E472F8">
              <w:rPr>
                <w:noProof/>
                <w:lang w:eastAsia="ja-JP"/>
              </w:rPr>
              <w:drawing>
                <wp:inline distT="0" distB="0" distL="0" distR="0" wp14:anchorId="4D83BE55" wp14:editId="5229AA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076894" w14:textId="77777777" w:rsidR="00D058B8" w:rsidRPr="00E472F8" w:rsidRDefault="00D058B8" w:rsidP="004C5D52">
      <w:pPr>
        <w:pStyle w:val="LineTop"/>
      </w:pPr>
    </w:p>
    <w:p w14:paraId="1B43BA41" w14:textId="77777777" w:rsidR="00680577" w:rsidRPr="00E472F8" w:rsidRDefault="007968BD" w:rsidP="00680577">
      <w:pPr>
        <w:pStyle w:val="EPBodyTA1"/>
      </w:pPr>
      <w:r w:rsidRPr="00E472F8">
        <w:t>ELFOGADOTT SZÖVEGEK</w:t>
      </w:r>
    </w:p>
    <w:p w14:paraId="104D03D7" w14:textId="77777777" w:rsidR="00D058B8" w:rsidRPr="00E472F8" w:rsidRDefault="00D058B8" w:rsidP="00D058B8">
      <w:pPr>
        <w:pStyle w:val="LineBottom"/>
      </w:pPr>
    </w:p>
    <w:p w14:paraId="759919BB" w14:textId="401E781C" w:rsidR="007968BD" w:rsidRPr="00E472F8" w:rsidRDefault="007968BD" w:rsidP="007968BD">
      <w:pPr>
        <w:pStyle w:val="ATHeading1"/>
      </w:pPr>
      <w:bookmarkStart w:id="0" w:name="TANumber"/>
      <w:r w:rsidRPr="00E472F8">
        <w:t>P10_</w:t>
      </w:r>
      <w:proofErr w:type="gramStart"/>
      <w:r w:rsidRPr="00E472F8">
        <w:t>TA(</w:t>
      </w:r>
      <w:proofErr w:type="gramEnd"/>
      <w:r w:rsidRPr="00E472F8">
        <w:t>2026)0</w:t>
      </w:r>
      <w:r w:rsidR="00E472F8" w:rsidRPr="00E472F8">
        <w:t>241</w:t>
      </w:r>
      <w:bookmarkEnd w:id="0"/>
    </w:p>
    <w:p w14:paraId="0D7D17D8" w14:textId="77777777" w:rsidR="007968BD" w:rsidRPr="00E472F8" w:rsidRDefault="007968BD" w:rsidP="007968BD">
      <w:pPr>
        <w:pStyle w:val="ATHeading2"/>
      </w:pPr>
      <w:bookmarkStart w:id="1" w:name="title"/>
      <w:r w:rsidRPr="00E472F8">
        <w:t xml:space="preserve">A határ menti régiókban autóbusszal végzett nemzetközi közúti személyszállítási szolgáltatások: </w:t>
      </w:r>
      <w:proofErr w:type="spellStart"/>
      <w:r w:rsidRPr="00E472F8">
        <w:t>kabotázsműveletek</w:t>
      </w:r>
      <w:proofErr w:type="spellEnd"/>
      <w:r w:rsidRPr="00E472F8">
        <w:t xml:space="preserve"> Ausztria és Svájc között</w:t>
      </w:r>
      <w:bookmarkEnd w:id="1"/>
    </w:p>
    <w:p w14:paraId="13086528" w14:textId="77777777" w:rsidR="007968BD" w:rsidRPr="00E472F8" w:rsidRDefault="007968BD" w:rsidP="007968BD">
      <w:pPr>
        <w:rPr>
          <w:i/>
          <w:vanish/>
        </w:rPr>
      </w:pPr>
      <w:r w:rsidRPr="00E472F8">
        <w:rPr>
          <w:i/>
        </w:rPr>
        <w:fldChar w:fldCharType="begin"/>
      </w:r>
      <w:r w:rsidRPr="00E472F8">
        <w:rPr>
          <w:i/>
        </w:rPr>
        <w:instrText xml:space="preserve"> TC"(</w:instrText>
      </w:r>
      <w:bookmarkStart w:id="2" w:name="DocNumber"/>
      <w:r w:rsidRPr="00E472F8">
        <w:rPr>
          <w:i/>
        </w:rPr>
        <w:instrText>A10-0174/2026</w:instrText>
      </w:r>
      <w:bookmarkEnd w:id="2"/>
      <w:r w:rsidRPr="00E472F8">
        <w:rPr>
          <w:i/>
        </w:rPr>
        <w:instrText xml:space="preserve"> - Előadó: Elissavet Vozemberg-Vrionidi)"\l3 \n&gt; \* MERGEFORMAT </w:instrText>
      </w:r>
      <w:r w:rsidRPr="00E472F8">
        <w:rPr>
          <w:i/>
        </w:rPr>
        <w:fldChar w:fldCharType="end"/>
      </w:r>
    </w:p>
    <w:p w14:paraId="441D5F09" w14:textId="77777777" w:rsidR="007968BD" w:rsidRPr="00E472F8" w:rsidRDefault="007968BD" w:rsidP="007968BD">
      <w:pPr>
        <w:rPr>
          <w:vanish/>
        </w:rPr>
      </w:pPr>
      <w:bookmarkStart w:id="3" w:name="Commission"/>
      <w:r w:rsidRPr="00E472F8">
        <w:rPr>
          <w:vanish/>
        </w:rPr>
        <w:t>Közlekedési és Idegenforgalmi Bizottság</w:t>
      </w:r>
      <w:bookmarkEnd w:id="3"/>
    </w:p>
    <w:p w14:paraId="35D3BC41" w14:textId="77777777" w:rsidR="007968BD" w:rsidRPr="00E472F8" w:rsidRDefault="007968BD" w:rsidP="007968BD">
      <w:pPr>
        <w:rPr>
          <w:vanish/>
        </w:rPr>
      </w:pPr>
      <w:bookmarkStart w:id="4" w:name="PE"/>
      <w:r w:rsidRPr="00E472F8">
        <w:rPr>
          <w:vanish/>
        </w:rPr>
        <w:t>PE785.404</w:t>
      </w:r>
      <w:bookmarkEnd w:id="4"/>
    </w:p>
    <w:p w14:paraId="16E9D73E" w14:textId="77777777" w:rsidR="007968BD" w:rsidRPr="00E472F8" w:rsidRDefault="007968BD" w:rsidP="007968BD">
      <w:pPr>
        <w:pStyle w:val="ATHeading3"/>
      </w:pPr>
      <w:bookmarkStart w:id="5" w:name="Sujet"/>
      <w:r w:rsidRPr="00E472F8">
        <w:t xml:space="preserve">Az Európai Parlament 2026. július 7-i jogalkotási állásfoglalása Ausztriának a Svájccal kötött, közúti szállításról szóló meglévő kétoldalú megállapodásának a két ország között, a határ menti régiókban autóbusszal végzett nemzetközi közúti személyszállítási szolgáltatások nyújtása során folytatott </w:t>
      </w:r>
      <w:proofErr w:type="spellStart"/>
      <w:r w:rsidRPr="00E472F8">
        <w:t>kabotázsműveletek</w:t>
      </w:r>
      <w:proofErr w:type="spellEnd"/>
      <w:r w:rsidRPr="00E472F8">
        <w:t xml:space="preserve"> engedélyezése céljából történő módosítására való felhatalmazásáról szóló európai parlamenti és tanácsi határozatra irányuló javaslatról</w:t>
      </w:r>
      <w:bookmarkEnd w:id="5"/>
      <w:r w:rsidRPr="00E472F8">
        <w:t xml:space="preserve"> </w:t>
      </w:r>
      <w:bookmarkStart w:id="6" w:name="References"/>
      <w:r w:rsidRPr="00E472F8">
        <w:t>(COM(2025)0773 – C10-0367/2025 – 2025/0407(COD))</w:t>
      </w:r>
      <w:bookmarkEnd w:id="6"/>
    </w:p>
    <w:p w14:paraId="67989B5F" w14:textId="77777777" w:rsidR="000A7340" w:rsidRPr="00E472F8" w:rsidRDefault="000A7340" w:rsidP="000A7340">
      <w:pPr>
        <w:pStyle w:val="NormalBold"/>
      </w:pPr>
      <w:r w:rsidRPr="00E472F8">
        <w:t>(Rendes jogalkotási eljárás: első olvasat)</w:t>
      </w:r>
    </w:p>
    <w:p w14:paraId="648D6BA5" w14:textId="77777777" w:rsidR="000A7340" w:rsidRPr="00E472F8" w:rsidRDefault="000A7340" w:rsidP="000A7340">
      <w:pPr>
        <w:pStyle w:val="EPComma"/>
      </w:pPr>
      <w:r w:rsidRPr="00E472F8">
        <w:rPr>
          <w:i/>
          <w:iCs/>
        </w:rPr>
        <w:t>Az Európai Parlament,</w:t>
      </w:r>
    </w:p>
    <w:p w14:paraId="20677482" w14:textId="77777777" w:rsidR="000A7340" w:rsidRPr="00E472F8" w:rsidRDefault="000A7340" w:rsidP="00CD2154">
      <w:pPr>
        <w:pStyle w:val="NormalHanging12a"/>
        <w:widowControl/>
      </w:pPr>
      <w:r w:rsidRPr="00E472F8">
        <w:t>–</w:t>
      </w:r>
      <w:r w:rsidRPr="00E472F8">
        <w:tab/>
        <w:t>tekintettel a Bizottság Parlamenthez és Tanácshoz intézett javaslatára (</w:t>
      </w:r>
      <w:proofErr w:type="gramStart"/>
      <w:r w:rsidRPr="00E472F8">
        <w:t>COM(</w:t>
      </w:r>
      <w:proofErr w:type="gramEnd"/>
      <w:r w:rsidRPr="00E472F8">
        <w:t>2025)0773),</w:t>
      </w:r>
    </w:p>
    <w:p w14:paraId="3BED515B" w14:textId="77777777" w:rsidR="000A7340" w:rsidRPr="00E472F8" w:rsidRDefault="000A7340" w:rsidP="00CD2154">
      <w:pPr>
        <w:pStyle w:val="NormalHanging12a"/>
        <w:widowControl/>
      </w:pPr>
      <w:r w:rsidRPr="00E472F8">
        <w:t>–</w:t>
      </w:r>
      <w:r w:rsidRPr="00E472F8">
        <w:tab/>
        <w:t>tekintettel az Európai Unió működéséről szóló szerződés 294. cikkének (2) bekezdésére, 2. cikkének (1) bekezdésére és 91. cikkére, amelyek alapján a Bizottság javaslatát benyújtotta a Parlamenthez (C10–0367/2025),</w:t>
      </w:r>
    </w:p>
    <w:p w14:paraId="1A56D765" w14:textId="77777777" w:rsidR="000A7340" w:rsidRPr="00E472F8" w:rsidRDefault="000A7340" w:rsidP="00CD2154">
      <w:pPr>
        <w:pStyle w:val="NormalHanging12a"/>
        <w:widowControl/>
      </w:pPr>
      <w:r w:rsidRPr="00E472F8">
        <w:t>–</w:t>
      </w:r>
      <w:r w:rsidRPr="00E472F8">
        <w:tab/>
        <w:t>tekintettel az Európai Unió működéséről szóló szerződés 294. cikkének (3) bekezdésére,</w:t>
      </w:r>
    </w:p>
    <w:p w14:paraId="7565AD19" w14:textId="55255A5B" w:rsidR="0051090D" w:rsidRPr="00E472F8" w:rsidRDefault="0051090D" w:rsidP="0051090D">
      <w:pPr>
        <w:pStyle w:val="NormalHanging12a"/>
        <w:widowControl/>
      </w:pPr>
      <w:r w:rsidRPr="00E472F8">
        <w:t>–</w:t>
      </w:r>
      <w:r w:rsidRPr="00E472F8">
        <w:tab/>
        <w:t>tekintettel a Tanács képviselőjének 2026. június 10-i írásbeli kötelezettségvállalására, amely szerint egyetért a Parlament álláspontjával, az Európai Unió működéséről szóló szerződés 294. cikkének (4) bekezdésével összhangban,</w:t>
      </w:r>
    </w:p>
    <w:p w14:paraId="1091EE2C" w14:textId="77777777" w:rsidR="000A7340" w:rsidRPr="00E472F8" w:rsidRDefault="000A7340" w:rsidP="00CD2154">
      <w:pPr>
        <w:pStyle w:val="NormalHanging12a"/>
        <w:widowControl/>
      </w:pPr>
      <w:r w:rsidRPr="00E472F8">
        <w:t>–</w:t>
      </w:r>
      <w:r w:rsidRPr="00E472F8">
        <w:tab/>
        <w:t>tekintettel a Jogi Bizottságnak a javasolt jogalapra vonatkozó véleményére,</w:t>
      </w:r>
    </w:p>
    <w:p w14:paraId="496AD577" w14:textId="77777777" w:rsidR="000A7340" w:rsidRPr="00E472F8" w:rsidRDefault="000A7340" w:rsidP="00CD2154">
      <w:pPr>
        <w:pStyle w:val="NormalHanging12a"/>
        <w:widowControl/>
      </w:pPr>
      <w:r w:rsidRPr="00E472F8">
        <w:t>–</w:t>
      </w:r>
      <w:r w:rsidRPr="00E472F8">
        <w:tab/>
        <w:t>tekintettel az Európai Gazdasági és Szociális Bizottság 2026. január 21-i véleményére</w:t>
      </w:r>
      <w:r w:rsidRPr="00E472F8">
        <w:rPr>
          <w:vertAlign w:val="superscript"/>
        </w:rPr>
        <w:footnoteReference w:id="1"/>
      </w:r>
      <w:r w:rsidRPr="00E472F8">
        <w:t>,</w:t>
      </w:r>
    </w:p>
    <w:p w14:paraId="228C1B03" w14:textId="77777777" w:rsidR="000A7340" w:rsidRPr="00E472F8" w:rsidRDefault="000A7340" w:rsidP="00CD2154">
      <w:pPr>
        <w:pStyle w:val="NormalHanging12a"/>
        <w:widowControl/>
      </w:pPr>
      <w:r w:rsidRPr="00E472F8">
        <w:t>–</w:t>
      </w:r>
      <w:r w:rsidRPr="00E472F8">
        <w:tab/>
        <w:t>a Régiók Bizottságával folytatott konzultációt követően,</w:t>
      </w:r>
    </w:p>
    <w:p w14:paraId="73F50154" w14:textId="77777777" w:rsidR="000A7340" w:rsidRPr="00E472F8" w:rsidRDefault="000A7340" w:rsidP="00CD2154">
      <w:pPr>
        <w:pStyle w:val="NormalHanging12a"/>
        <w:widowControl/>
      </w:pPr>
      <w:r w:rsidRPr="00E472F8">
        <w:lastRenderedPageBreak/>
        <w:t>–</w:t>
      </w:r>
      <w:r w:rsidRPr="00E472F8">
        <w:tab/>
        <w:t>tekintettel eljárási szabályzata 60. és 41. cikkére,</w:t>
      </w:r>
    </w:p>
    <w:p w14:paraId="1940D90C" w14:textId="77777777" w:rsidR="000A7340" w:rsidRPr="00E472F8" w:rsidRDefault="000A7340" w:rsidP="00CD2154">
      <w:pPr>
        <w:pStyle w:val="NormalHanging12a"/>
        <w:widowControl/>
      </w:pPr>
      <w:r w:rsidRPr="00E472F8">
        <w:t>–</w:t>
      </w:r>
      <w:r w:rsidRPr="00E472F8">
        <w:tab/>
        <w:t>tekintettel a Közlekedési és Idegenforgalmi Bizottság jelentésére (A10-0174/2026),</w:t>
      </w:r>
    </w:p>
    <w:p w14:paraId="67D359A1" w14:textId="77777777" w:rsidR="000A7340" w:rsidRPr="00E472F8" w:rsidRDefault="000A7340" w:rsidP="00CD2154">
      <w:pPr>
        <w:pStyle w:val="NormalHanging12a"/>
        <w:widowControl/>
      </w:pPr>
      <w:r w:rsidRPr="00E472F8">
        <w:t>1.</w:t>
      </w:r>
      <w:r w:rsidRPr="00E472F8">
        <w:tab/>
        <w:t>elfogadja első olvasatban az alábbi álláspontot;</w:t>
      </w:r>
    </w:p>
    <w:p w14:paraId="32225F23" w14:textId="77777777" w:rsidR="000A7340" w:rsidRPr="00E472F8" w:rsidRDefault="000A7340" w:rsidP="00CD2154">
      <w:pPr>
        <w:pStyle w:val="NormalHanging12a"/>
        <w:widowControl/>
      </w:pPr>
      <w:r w:rsidRPr="00E472F8">
        <w:t>2.</w:t>
      </w:r>
      <w:r w:rsidRPr="00E472F8">
        <w:tab/>
        <w:t>utasítja elnökét, hogy továbbítsa a Parlament álláspontját a Tanácsnak és a Bizottságnak, valamint a nemzeti parlamenteknek.</w:t>
      </w:r>
    </w:p>
    <w:p w14:paraId="0FBE0DB9" w14:textId="77777777" w:rsidR="00CD2154" w:rsidRPr="00E472F8" w:rsidRDefault="00CD2154" w:rsidP="00CD2154">
      <w:pPr>
        <w:widowControl/>
        <w:spacing w:after="240"/>
        <w:ind w:left="567" w:hanging="567"/>
        <w:sectPr w:rsidR="00CD2154" w:rsidRPr="00E472F8" w:rsidSect="00543D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E4399E9" w14:textId="3FB87680" w:rsidR="00621A80" w:rsidRPr="00E472F8" w:rsidRDefault="00621A80" w:rsidP="00621A80">
      <w:pPr>
        <w:widowControl/>
        <w:spacing w:after="240"/>
        <w:rPr>
          <w:b/>
          <w:bCs/>
        </w:rPr>
      </w:pPr>
      <w:r w:rsidRPr="00E472F8">
        <w:rPr>
          <w:b/>
          <w:bCs/>
        </w:rPr>
        <w:lastRenderedPageBreak/>
        <w:t>P10_TC1-</w:t>
      </w:r>
      <w:proofErr w:type="gramStart"/>
      <w:r w:rsidRPr="00E472F8">
        <w:rPr>
          <w:b/>
          <w:bCs/>
        </w:rPr>
        <w:t>COD(</w:t>
      </w:r>
      <w:proofErr w:type="gramEnd"/>
      <w:r w:rsidR="000775DD" w:rsidRPr="00E472F8">
        <w:rPr>
          <w:b/>
          <w:bCs/>
        </w:rPr>
        <w:t>2025</w:t>
      </w:r>
      <w:r w:rsidRPr="00E472F8">
        <w:rPr>
          <w:b/>
          <w:bCs/>
        </w:rPr>
        <w:t>)</w:t>
      </w:r>
      <w:r w:rsidR="000775DD" w:rsidRPr="00E472F8">
        <w:rPr>
          <w:b/>
          <w:bCs/>
        </w:rPr>
        <w:t>0407</w:t>
      </w:r>
    </w:p>
    <w:p w14:paraId="0369096E" w14:textId="5708250B" w:rsidR="00621A80" w:rsidRPr="00E472F8" w:rsidRDefault="00621A80" w:rsidP="00621A80">
      <w:pPr>
        <w:pStyle w:val="NormalHanging12a"/>
        <w:widowControl/>
        <w:ind w:left="0" w:firstLine="0"/>
        <w:rPr>
          <w:b/>
        </w:rPr>
      </w:pPr>
      <w:r w:rsidRPr="00E472F8">
        <w:rPr>
          <w:b/>
        </w:rPr>
        <w:t xml:space="preserve">Az Európai Parlament álláspontja, amely első olvasatban </w:t>
      </w:r>
      <w:r w:rsidR="000775DD" w:rsidRPr="00E472F8">
        <w:rPr>
          <w:b/>
        </w:rPr>
        <w:t>2026. július 7-</w:t>
      </w:r>
      <w:r w:rsidRPr="00E472F8">
        <w:rPr>
          <w:b/>
        </w:rPr>
        <w:t xml:space="preserve">én került elfogadásra </w:t>
      </w:r>
      <w:r w:rsidR="000775DD" w:rsidRPr="00E472F8">
        <w:rPr>
          <w:rFonts w:eastAsia="Aptos"/>
          <w:b/>
          <w:noProof/>
          <w:szCs w:val="22"/>
          <w:lang w:eastAsia="en-US"/>
        </w:rPr>
        <w:t xml:space="preserve">Ausztriának a Svájccal kötött, közúti szállításról szóló kétoldalú megállapodásának a két ország között, a határ menti régiókban autóbusszal végzett nemzetközi személyszállítási szolgáltatások nyújtása során folytatott kabotázsműveletek engedélyezése céljából történő módosítására való felhatalmazásáról </w:t>
      </w:r>
      <w:r w:rsidRPr="00E472F8">
        <w:rPr>
          <w:b/>
        </w:rPr>
        <w:t xml:space="preserve">szóló (EU) 2026/... európai parlamenti és tanácsi </w:t>
      </w:r>
      <w:r w:rsidR="000775DD" w:rsidRPr="00E472F8">
        <w:rPr>
          <w:b/>
        </w:rPr>
        <w:t>határozat</w:t>
      </w:r>
      <w:r w:rsidRPr="00E472F8">
        <w:rPr>
          <w:b/>
        </w:rPr>
        <w:t xml:space="preserve"> elfogadására tekintettel</w:t>
      </w:r>
    </w:p>
    <w:p w14:paraId="55336EB1" w14:textId="7F371AA8" w:rsidR="009411C0" w:rsidRPr="00E472F8" w:rsidRDefault="009411C0" w:rsidP="009411C0">
      <w:pPr>
        <w:keepNext/>
        <w:widowControl/>
        <w:spacing w:before="600" w:after="120" w:line="360" w:lineRule="auto"/>
        <w:rPr>
          <w:rFonts w:eastAsia="Aptos"/>
          <w:noProof/>
          <w:szCs w:val="22"/>
          <w:lang w:eastAsia="en-US"/>
        </w:rPr>
      </w:pPr>
      <w:r w:rsidRPr="00E472F8">
        <w:rPr>
          <w:rFonts w:eastAsia="Aptos"/>
          <w:noProof/>
          <w:szCs w:val="22"/>
          <w:lang w:eastAsia="en-US"/>
        </w:rPr>
        <w:t>AZ EURÓPAI PARLAMENT ÉS AZ EURÓPAI UNIÓ TANÁCSA,</w:t>
      </w:r>
    </w:p>
    <w:p w14:paraId="312A5F82" w14:textId="77777777" w:rsidR="009411C0" w:rsidRPr="00E472F8" w:rsidRDefault="009411C0" w:rsidP="009411C0">
      <w:pPr>
        <w:widowControl/>
        <w:spacing w:before="120" w:after="120" w:line="360" w:lineRule="auto"/>
        <w:rPr>
          <w:rFonts w:eastAsia="Aptos"/>
          <w:szCs w:val="22"/>
          <w:lang w:eastAsia="en-US"/>
        </w:rPr>
      </w:pPr>
      <w:r w:rsidRPr="00E472F8">
        <w:rPr>
          <w:rFonts w:eastAsia="Aptos"/>
          <w:szCs w:val="22"/>
          <w:lang w:eastAsia="en-US"/>
        </w:rPr>
        <w:t xml:space="preserve">tekintettel az Európai Unió működéséről szóló szerződésre és különösen </w:t>
      </w:r>
      <w:r w:rsidRPr="00E472F8">
        <w:rPr>
          <w:rFonts w:eastAsia="Aptos"/>
          <w:b/>
          <w:bCs/>
          <w:i/>
          <w:iCs/>
          <w:szCs w:val="22"/>
          <w:lang w:eastAsia="en-US"/>
        </w:rPr>
        <w:t>annak 91. cikkére</w:t>
      </w:r>
      <w:r w:rsidRPr="00E472F8">
        <w:rPr>
          <w:rFonts w:eastAsia="Aptos"/>
          <w:szCs w:val="22"/>
          <w:lang w:eastAsia="en-US"/>
        </w:rPr>
        <w:t>,</w:t>
      </w:r>
    </w:p>
    <w:p w14:paraId="419EC496" w14:textId="77777777" w:rsidR="009411C0" w:rsidRPr="00E472F8" w:rsidRDefault="009411C0" w:rsidP="009411C0">
      <w:pPr>
        <w:widowControl/>
        <w:spacing w:before="120" w:after="120" w:line="360" w:lineRule="auto"/>
        <w:rPr>
          <w:rFonts w:eastAsia="Aptos"/>
          <w:szCs w:val="22"/>
          <w:lang w:eastAsia="en-US"/>
        </w:rPr>
      </w:pPr>
      <w:r w:rsidRPr="00E472F8">
        <w:rPr>
          <w:rFonts w:eastAsia="Aptos"/>
          <w:szCs w:val="22"/>
          <w:lang w:eastAsia="en-US"/>
        </w:rPr>
        <w:t>tekintettel az Európai Bizottság javaslatára,</w:t>
      </w:r>
    </w:p>
    <w:p w14:paraId="02E8777A" w14:textId="77777777" w:rsidR="009411C0" w:rsidRPr="00E472F8" w:rsidRDefault="009411C0" w:rsidP="009411C0">
      <w:pPr>
        <w:widowControl/>
        <w:spacing w:before="120" w:after="120" w:line="360" w:lineRule="auto"/>
        <w:rPr>
          <w:rFonts w:eastAsia="Aptos"/>
          <w:szCs w:val="22"/>
          <w:lang w:eastAsia="en-US"/>
        </w:rPr>
      </w:pPr>
      <w:r w:rsidRPr="00E472F8">
        <w:rPr>
          <w:rFonts w:eastAsia="Aptos"/>
          <w:szCs w:val="22"/>
          <w:lang w:eastAsia="en-US"/>
        </w:rPr>
        <w:t>a jogalkotási aktus tervezete nemzeti parlamenteknek való megküldését követően,</w:t>
      </w:r>
    </w:p>
    <w:p w14:paraId="2B3C33A7" w14:textId="77777777" w:rsidR="009411C0" w:rsidRPr="00E472F8" w:rsidRDefault="009411C0" w:rsidP="009411C0">
      <w:pPr>
        <w:widowControl/>
        <w:spacing w:before="120" w:after="120" w:line="360" w:lineRule="auto"/>
        <w:rPr>
          <w:rFonts w:eastAsia="Aptos"/>
          <w:szCs w:val="22"/>
          <w:lang w:eastAsia="en-US"/>
        </w:rPr>
      </w:pPr>
      <w:r w:rsidRPr="00E472F8">
        <w:rPr>
          <w:rFonts w:eastAsia="Aptos"/>
          <w:szCs w:val="22"/>
          <w:lang w:eastAsia="en-US"/>
        </w:rPr>
        <w:t>tekintettel az Európai Gazdasági és Szociális Bizottság véleményére</w:t>
      </w:r>
      <w:r w:rsidRPr="00E472F8">
        <w:rPr>
          <w:rFonts w:eastAsia="Aptos"/>
          <w:b/>
          <w:bCs/>
          <w:szCs w:val="22"/>
          <w:vertAlign w:val="superscript"/>
          <w:lang w:val="en-GB" w:eastAsia="en-US"/>
        </w:rPr>
        <w:footnoteReference w:id="2"/>
      </w:r>
      <w:r w:rsidRPr="00E472F8">
        <w:rPr>
          <w:rFonts w:eastAsia="Aptos"/>
          <w:szCs w:val="22"/>
          <w:lang w:eastAsia="en-US"/>
        </w:rPr>
        <w:t>,</w:t>
      </w:r>
    </w:p>
    <w:p w14:paraId="3F964737" w14:textId="77777777" w:rsidR="009411C0" w:rsidRPr="00E472F8" w:rsidRDefault="009411C0" w:rsidP="009411C0">
      <w:pPr>
        <w:widowControl/>
        <w:spacing w:before="120" w:after="120" w:line="360" w:lineRule="auto"/>
        <w:rPr>
          <w:rFonts w:eastAsia="Aptos"/>
          <w:szCs w:val="22"/>
          <w:lang w:eastAsia="en-US"/>
        </w:rPr>
      </w:pPr>
      <w:r w:rsidRPr="00E472F8">
        <w:rPr>
          <w:rFonts w:eastAsia="Aptos"/>
          <w:szCs w:val="22"/>
          <w:lang w:eastAsia="en-US"/>
        </w:rPr>
        <w:t>a Régiók Bizottságával való konzultációt követően,</w:t>
      </w:r>
    </w:p>
    <w:p w14:paraId="0336E6A5" w14:textId="77777777" w:rsidR="009411C0" w:rsidRPr="00E472F8" w:rsidRDefault="009411C0" w:rsidP="009411C0">
      <w:pPr>
        <w:widowControl/>
        <w:spacing w:before="120" w:after="120" w:line="360" w:lineRule="auto"/>
        <w:rPr>
          <w:rFonts w:eastAsia="Aptos"/>
          <w:szCs w:val="22"/>
          <w:lang w:eastAsia="en-US"/>
        </w:rPr>
      </w:pPr>
      <w:r w:rsidRPr="00E472F8">
        <w:rPr>
          <w:rFonts w:eastAsia="Aptos"/>
          <w:szCs w:val="22"/>
          <w:lang w:eastAsia="en-US"/>
        </w:rPr>
        <w:t>rendes jogalkotási eljárás keretében</w:t>
      </w:r>
      <w:r w:rsidRPr="00E472F8">
        <w:rPr>
          <w:rFonts w:eastAsia="Aptos"/>
          <w:b/>
          <w:bCs/>
          <w:szCs w:val="22"/>
          <w:vertAlign w:val="superscript"/>
          <w:lang w:eastAsia="en-US"/>
        </w:rPr>
        <w:footnoteReference w:id="3"/>
      </w:r>
      <w:r w:rsidRPr="00E472F8">
        <w:rPr>
          <w:rFonts w:eastAsia="Aptos"/>
          <w:szCs w:val="22"/>
          <w:lang w:eastAsia="en-US"/>
        </w:rPr>
        <w:t>,</w:t>
      </w:r>
    </w:p>
    <w:p w14:paraId="6C3AFD5D" w14:textId="77777777" w:rsidR="009411C0" w:rsidRPr="00E472F8" w:rsidRDefault="009411C0" w:rsidP="009411C0">
      <w:pPr>
        <w:widowControl/>
        <w:spacing w:before="120" w:after="120" w:line="360" w:lineRule="auto"/>
        <w:rPr>
          <w:rFonts w:eastAsia="Aptos"/>
          <w:noProof/>
          <w:szCs w:val="22"/>
          <w:lang w:eastAsia="en-US"/>
        </w:rPr>
      </w:pPr>
      <w:r w:rsidRPr="00E472F8">
        <w:rPr>
          <w:rFonts w:eastAsia="Aptos"/>
          <w:noProof/>
          <w:szCs w:val="22"/>
          <w:lang w:eastAsia="en-US"/>
        </w:rPr>
        <w:br w:type="page"/>
      </w:r>
    </w:p>
    <w:p w14:paraId="2E16C62F" w14:textId="77777777" w:rsidR="009411C0" w:rsidRPr="00E472F8" w:rsidRDefault="009411C0" w:rsidP="009411C0">
      <w:pPr>
        <w:widowControl/>
        <w:spacing w:before="120" w:after="120" w:line="360" w:lineRule="auto"/>
        <w:rPr>
          <w:rFonts w:eastAsia="Aptos"/>
          <w:noProof/>
          <w:szCs w:val="22"/>
          <w:lang w:eastAsia="en-US"/>
        </w:rPr>
      </w:pPr>
      <w:r w:rsidRPr="00E472F8">
        <w:rPr>
          <w:rFonts w:eastAsia="Aptos"/>
          <w:noProof/>
          <w:szCs w:val="22"/>
          <w:lang w:eastAsia="en-US"/>
        </w:rPr>
        <w:lastRenderedPageBreak/>
        <w:t>mivel:</w:t>
      </w:r>
    </w:p>
    <w:p w14:paraId="3ABDCB1F" w14:textId="77777777" w:rsidR="009411C0" w:rsidRPr="00E472F8" w:rsidRDefault="009411C0" w:rsidP="009411C0">
      <w:pPr>
        <w:widowControl/>
        <w:spacing w:before="120" w:after="120" w:line="360" w:lineRule="auto"/>
        <w:ind w:left="851" w:hanging="851"/>
        <w:rPr>
          <w:rFonts w:eastAsia="Aptos"/>
          <w:noProof/>
          <w:szCs w:val="22"/>
          <w:lang w:eastAsia="en-US"/>
        </w:rPr>
      </w:pPr>
      <w:bookmarkStart w:id="7" w:name="_Hlk211264391"/>
      <w:r w:rsidRPr="00E472F8">
        <w:rPr>
          <w:rFonts w:eastAsia="Aptos"/>
          <w:noProof/>
          <w:szCs w:val="22"/>
          <w:lang w:eastAsia="en-US"/>
        </w:rPr>
        <w:t>(1)</w:t>
      </w:r>
      <w:r w:rsidRPr="00E472F8">
        <w:rPr>
          <w:rFonts w:eastAsia="Aptos"/>
          <w:noProof/>
          <w:szCs w:val="22"/>
          <w:lang w:eastAsia="en-US"/>
        </w:rPr>
        <w:tab/>
        <w:t>Az Európai Közösség és a Svájci Államszövetség közötti, a vasúti és közúti áru- és személyszállításról szóló megállapodás</w:t>
      </w:r>
      <w:r w:rsidRPr="00E472F8">
        <w:rPr>
          <w:rFonts w:eastAsia="Aptos"/>
          <w:noProof/>
          <w:szCs w:val="22"/>
          <w:vertAlign w:val="superscript"/>
          <w:lang w:eastAsia="en-US"/>
        </w:rPr>
        <w:footnoteReference w:id="4"/>
      </w:r>
      <w:r w:rsidRPr="00E472F8">
        <w:rPr>
          <w:rFonts w:eastAsia="Aptos"/>
          <w:noProof/>
          <w:szCs w:val="22"/>
          <w:lang w:eastAsia="en-US"/>
        </w:rPr>
        <w:t xml:space="preserve"> (a továbbiakban: az EU-Svájc megállapodás) 20. cikkének (1) bekezdésével összhangban az EU-Svájc megállapodás ugyanazon Szerződő Felének területén található két pont között a másik Szerződő Fél területén letelepedett szolgáltatók által végzett, autóbusszal történő személyszállítás – ún. kabotázs – nem engedélyezett.</w:t>
      </w:r>
    </w:p>
    <w:p w14:paraId="1E263A22" w14:textId="77777777" w:rsidR="009411C0" w:rsidRPr="00E472F8" w:rsidRDefault="009411C0" w:rsidP="009411C0">
      <w:pPr>
        <w:widowControl/>
        <w:spacing w:before="120" w:after="120" w:line="360" w:lineRule="auto"/>
        <w:ind w:left="851" w:hanging="851"/>
        <w:rPr>
          <w:rFonts w:eastAsia="Aptos"/>
          <w:noProof/>
          <w:szCs w:val="22"/>
          <w:lang w:eastAsia="en-US"/>
        </w:rPr>
      </w:pPr>
      <w:r w:rsidRPr="00E472F8">
        <w:rPr>
          <w:rFonts w:eastAsia="Aptos"/>
          <w:noProof/>
          <w:szCs w:val="22"/>
          <w:lang w:eastAsia="en-US"/>
        </w:rPr>
        <w:t>(2)</w:t>
      </w:r>
      <w:r w:rsidRPr="00E472F8">
        <w:rPr>
          <w:rFonts w:eastAsia="Aptos"/>
          <w:noProof/>
          <w:szCs w:val="22"/>
          <w:lang w:eastAsia="en-US"/>
        </w:rPr>
        <w:tab/>
        <w:t>Az EU-Svájc megállapodás 20. cikkének (2) bekezdésével összhangban az EU-Svájc megállapodás 1999. június 21-i megkötésekor hatályban lévő, a tagállamok és Svájc között létrejött kétoldalú megállapodásokban meghatározott meglévő kabotázsjogok a továbbiakban is gyakorolhatók, feltéve, hogy az Unióban letelepedett szolgáltatók között nem áll fenn megkülönböztetés, és a verseny nem torzul. A közúti szállításról szóló, Ausztria és Svájc közötti, 1958. október 22-i kétoldalú megállapodás</w:t>
      </w:r>
      <w:r w:rsidRPr="00E472F8">
        <w:rPr>
          <w:rFonts w:eastAsia="Aptos"/>
          <w:noProof/>
          <w:szCs w:val="22"/>
          <w:vertAlign w:val="superscript"/>
          <w:lang w:eastAsia="en-US"/>
        </w:rPr>
        <w:footnoteReference w:id="5"/>
      </w:r>
      <w:r w:rsidRPr="00E472F8">
        <w:rPr>
          <w:rFonts w:eastAsia="Aptos"/>
          <w:noProof/>
          <w:szCs w:val="22"/>
          <w:lang w:eastAsia="en-US"/>
        </w:rPr>
        <w:t xml:space="preserve"> (a továbbiakban: az Ausztia és Svájc közötti megállapodás)</w:t>
      </w:r>
      <w:r w:rsidRPr="00E472F8">
        <w:rPr>
          <w:rFonts w:eastAsia="Aptos"/>
          <w:b/>
          <w:bCs/>
          <w:i/>
          <w:iCs/>
          <w:noProof/>
          <w:szCs w:val="22"/>
          <w:lang w:eastAsia="en-US"/>
        </w:rPr>
        <w:t xml:space="preserve"> </w:t>
      </w:r>
      <w:r w:rsidRPr="00E472F8">
        <w:rPr>
          <w:rFonts w:eastAsia="Aptos"/>
          <w:noProof/>
          <w:szCs w:val="22"/>
          <w:lang w:eastAsia="en-US"/>
        </w:rPr>
        <w:t>nem engedélyez kabotázsműveleteket a két ország között autóbusszal végzett nemzetközi személyszállítási szolgáltatások nyújtása során. Ezért az ilyen műveletek végzéséhez való jog nem tartozik az EU-Svájc megállapodás 20. cikke (2) bekezdésében meghatározott jogok közé.</w:t>
      </w:r>
    </w:p>
    <w:p w14:paraId="3B90E3F9" w14:textId="77777777" w:rsidR="009411C0" w:rsidRPr="00E472F8" w:rsidRDefault="009411C0" w:rsidP="009411C0">
      <w:pPr>
        <w:widowControl/>
        <w:spacing w:before="120" w:after="120" w:line="360" w:lineRule="auto"/>
        <w:ind w:left="851" w:hanging="851"/>
        <w:rPr>
          <w:rFonts w:eastAsia="Aptos"/>
          <w:noProof/>
          <w:szCs w:val="22"/>
          <w:lang w:eastAsia="en-US"/>
        </w:rPr>
      </w:pPr>
      <w:r w:rsidRPr="00E472F8">
        <w:rPr>
          <w:rFonts w:eastAsia="Aptos"/>
          <w:noProof/>
          <w:szCs w:val="22"/>
          <w:lang w:eastAsia="en-US"/>
        </w:rPr>
        <w:br w:type="page"/>
      </w:r>
    </w:p>
    <w:p w14:paraId="40869515" w14:textId="77777777" w:rsidR="009411C0" w:rsidRPr="00E472F8" w:rsidRDefault="009411C0" w:rsidP="009411C0">
      <w:pPr>
        <w:widowControl/>
        <w:spacing w:before="120" w:after="120" w:line="360" w:lineRule="auto"/>
        <w:ind w:left="851" w:hanging="851"/>
        <w:rPr>
          <w:rFonts w:eastAsia="Aptos"/>
          <w:noProof/>
          <w:szCs w:val="22"/>
          <w:lang w:eastAsia="en-US"/>
        </w:rPr>
      </w:pPr>
      <w:r w:rsidRPr="00E472F8">
        <w:rPr>
          <w:rFonts w:eastAsia="Aptos"/>
          <w:noProof/>
          <w:szCs w:val="22"/>
          <w:lang w:eastAsia="en-US"/>
        </w:rPr>
        <w:lastRenderedPageBreak/>
        <w:t>(3)</w:t>
      </w:r>
      <w:r w:rsidRPr="00E472F8">
        <w:rPr>
          <w:rFonts w:eastAsia="Aptos"/>
          <w:noProof/>
          <w:szCs w:val="22"/>
          <w:lang w:eastAsia="en-US"/>
        </w:rPr>
        <w:tab/>
        <w:t>Azon nemzetközi kötelezettségvállalások, amelyek engedik, hogy a Svájcban letelepedett szolgáltatók az Unión belül kabotázsműveleteket végezzenek, érinthetik az EU-Svájc megállapodás 20. cikkét, mivel az említett cikk nem engedélyez ilyen műveleteket.</w:t>
      </w:r>
    </w:p>
    <w:p w14:paraId="0612275D" w14:textId="77777777" w:rsidR="009411C0" w:rsidRPr="00E472F8" w:rsidRDefault="009411C0" w:rsidP="009411C0">
      <w:pPr>
        <w:widowControl/>
        <w:spacing w:before="120" w:after="120" w:line="360" w:lineRule="auto"/>
        <w:ind w:left="851" w:hanging="851"/>
        <w:rPr>
          <w:rFonts w:eastAsia="Aptos"/>
          <w:noProof/>
          <w:szCs w:val="22"/>
          <w:lang w:eastAsia="en-US"/>
        </w:rPr>
      </w:pPr>
      <w:r w:rsidRPr="00E472F8">
        <w:rPr>
          <w:rFonts w:eastAsia="Aptos"/>
          <w:noProof/>
          <w:szCs w:val="22"/>
          <w:lang w:eastAsia="en-US"/>
        </w:rPr>
        <w:t>(4)</w:t>
      </w:r>
      <w:r w:rsidRPr="00E472F8">
        <w:rPr>
          <w:rFonts w:eastAsia="Aptos"/>
          <w:noProof/>
          <w:szCs w:val="22"/>
          <w:lang w:eastAsia="en-US"/>
        </w:rPr>
        <w:tab/>
        <w:t>Továbbá, az 1073/2009/EK európai parlamenti és tanácsi rendelet</w:t>
      </w:r>
      <w:r w:rsidRPr="00E472F8">
        <w:rPr>
          <w:rFonts w:eastAsia="Aptos"/>
          <w:noProof/>
          <w:szCs w:val="22"/>
          <w:vertAlign w:val="superscript"/>
          <w:lang w:eastAsia="en-US"/>
        </w:rPr>
        <w:footnoteReference w:id="6"/>
      </w:r>
      <w:r w:rsidRPr="00E472F8">
        <w:rPr>
          <w:rFonts w:eastAsia="Aptos"/>
          <w:noProof/>
          <w:szCs w:val="22"/>
          <w:lang w:eastAsia="en-US"/>
        </w:rPr>
        <w:t xml:space="preserve"> kizárólag közösségi engedéllyel rendelkező szállítók számára engedi az Unión belüli kabotázsműveletek végzését bizonyos feltételek mellett. Az ilyen engedéllyel nem rendelkező, harmadik országbeli szolgáltatók számára ilyen fajta műveletek végzését engedő nemzetközi kötelezettségvállalások érinthetik az említett rendeletet.</w:t>
      </w:r>
    </w:p>
    <w:p w14:paraId="017CE15F" w14:textId="77777777" w:rsidR="009411C0" w:rsidRPr="00E472F8" w:rsidRDefault="009411C0" w:rsidP="009411C0">
      <w:pPr>
        <w:widowControl/>
        <w:spacing w:before="120" w:after="120" w:line="360" w:lineRule="auto"/>
        <w:ind w:left="851" w:hanging="851"/>
        <w:rPr>
          <w:rFonts w:eastAsia="Aptos"/>
          <w:noProof/>
          <w:szCs w:val="22"/>
          <w:lang w:eastAsia="en-US"/>
        </w:rPr>
      </w:pPr>
      <w:r w:rsidRPr="00E472F8">
        <w:rPr>
          <w:rFonts w:eastAsia="Aptos"/>
          <w:noProof/>
          <w:szCs w:val="22"/>
          <w:lang w:eastAsia="en-US"/>
        </w:rPr>
        <w:t>(5)</w:t>
      </w:r>
      <w:r w:rsidRPr="00E472F8">
        <w:rPr>
          <w:rFonts w:eastAsia="Aptos"/>
          <w:noProof/>
          <w:szCs w:val="22"/>
          <w:lang w:eastAsia="en-US"/>
        </w:rPr>
        <w:tab/>
        <w:t>Következésképpen az ilyen nemzetközi kötelezettségvállalások az Unió kizárólagos külső hatáskörébe tartoznak. A tagállamok csak akkor tárgyalhatnak ilyen kötelezettségvállalásokról, vagy tehetnek ilyen kötelezettségvállalásokat, ha arra az Európai Unió működéséről szóló szerződés (EUMSZ) 2. cikkének (1) bekezdésével összhangban az Uniótól felhatalmazást kapnak.</w:t>
      </w:r>
    </w:p>
    <w:p w14:paraId="2EDEB109" w14:textId="77777777" w:rsidR="009411C0" w:rsidRPr="00E472F8" w:rsidRDefault="009411C0" w:rsidP="009411C0">
      <w:pPr>
        <w:widowControl/>
        <w:spacing w:before="120" w:after="120" w:line="360" w:lineRule="auto"/>
        <w:ind w:left="851" w:hanging="851"/>
        <w:rPr>
          <w:rFonts w:eastAsia="Aptos"/>
          <w:noProof/>
          <w:szCs w:val="22"/>
          <w:lang w:eastAsia="en-US"/>
        </w:rPr>
      </w:pPr>
      <w:r w:rsidRPr="00E472F8">
        <w:rPr>
          <w:rFonts w:eastAsia="Aptos"/>
          <w:noProof/>
          <w:szCs w:val="22"/>
          <w:lang w:eastAsia="en-US"/>
        </w:rPr>
        <w:br w:type="page"/>
      </w:r>
    </w:p>
    <w:p w14:paraId="303A709A" w14:textId="77777777" w:rsidR="009411C0" w:rsidRPr="00E472F8" w:rsidRDefault="009411C0" w:rsidP="009411C0">
      <w:pPr>
        <w:widowControl/>
        <w:spacing w:before="120" w:after="120" w:line="360" w:lineRule="auto"/>
        <w:ind w:left="851" w:hanging="851"/>
        <w:rPr>
          <w:rFonts w:eastAsia="Aptos"/>
          <w:noProof/>
          <w:szCs w:val="22"/>
          <w:lang w:eastAsia="en-US"/>
        </w:rPr>
      </w:pPr>
      <w:r w:rsidRPr="00E472F8">
        <w:rPr>
          <w:rFonts w:eastAsia="Aptos"/>
          <w:noProof/>
          <w:szCs w:val="22"/>
          <w:lang w:eastAsia="en-US"/>
        </w:rPr>
        <w:lastRenderedPageBreak/>
        <w:t>(6)</w:t>
      </w:r>
      <w:r w:rsidRPr="00E472F8">
        <w:rPr>
          <w:rFonts w:eastAsia="Aptos"/>
          <w:noProof/>
          <w:szCs w:val="22"/>
          <w:lang w:eastAsia="en-US"/>
        </w:rPr>
        <w:tab/>
        <w:t>Az 1073/2009/EK rendeletben foglaltak szerint közösségi engedéllyel nem rendelkező harmadik országbeli szolgáltatók által az Unión belül végzett kabotázsműveletek érintik az autóbusszal végzett szolgáltatások említett rendelettel létrehozott belső piacának működését. Ezért szükséges, hogy az uniós jogalkotó adjon az EUMSZ 2. cikkének (1) bekezdése szerinti felhatalmazást az EUMSZ 91. cikkében említett jogalkotási eljárással összhangban.</w:t>
      </w:r>
    </w:p>
    <w:p w14:paraId="4CFE8A1D" w14:textId="77777777" w:rsidR="009411C0" w:rsidRPr="00E472F8" w:rsidRDefault="009411C0" w:rsidP="009411C0">
      <w:pPr>
        <w:widowControl/>
        <w:spacing w:before="120" w:after="120" w:line="360" w:lineRule="auto"/>
        <w:ind w:left="851" w:hanging="851"/>
        <w:rPr>
          <w:rFonts w:eastAsia="Aptos"/>
          <w:noProof/>
          <w:szCs w:val="22"/>
          <w:lang w:eastAsia="en-US"/>
        </w:rPr>
      </w:pPr>
      <w:r w:rsidRPr="00E472F8">
        <w:rPr>
          <w:rFonts w:eastAsia="Aptos"/>
          <w:noProof/>
          <w:szCs w:val="22"/>
          <w:lang w:eastAsia="en-US"/>
        </w:rPr>
        <w:t>(7)</w:t>
      </w:r>
      <w:r w:rsidRPr="00E472F8">
        <w:rPr>
          <w:rFonts w:eastAsia="Aptos"/>
          <w:noProof/>
          <w:szCs w:val="22"/>
          <w:lang w:eastAsia="en-US"/>
        </w:rPr>
        <w:tab/>
        <w:t>Ausztria – 2025. március 17-i levelében – felhatalmazást kért az Uniótól arra, hogy módosítsa az Ausztia és Svájc közötti</w:t>
      </w:r>
      <w:r w:rsidRPr="00E472F8">
        <w:rPr>
          <w:rFonts w:eastAsia="Aptos"/>
          <w:b/>
          <w:bCs/>
          <w:i/>
          <w:iCs/>
          <w:noProof/>
          <w:szCs w:val="22"/>
          <w:lang w:eastAsia="en-US"/>
        </w:rPr>
        <w:t xml:space="preserve"> </w:t>
      </w:r>
      <w:r w:rsidRPr="00E472F8">
        <w:rPr>
          <w:rFonts w:eastAsia="Aptos"/>
          <w:noProof/>
          <w:szCs w:val="22"/>
          <w:lang w:eastAsia="en-US"/>
        </w:rPr>
        <w:t>megállapodást abból a célból, hogy</w:t>
      </w:r>
      <w:r w:rsidRPr="00E472F8">
        <w:rPr>
          <w:rFonts w:eastAsia="Aptos"/>
          <w:b/>
          <w:bCs/>
          <w:i/>
          <w:iCs/>
          <w:noProof/>
          <w:szCs w:val="22"/>
          <w:lang w:eastAsia="en-US"/>
        </w:rPr>
        <w:t xml:space="preserve"> </w:t>
      </w:r>
      <w:r w:rsidRPr="00E472F8">
        <w:rPr>
          <w:rFonts w:eastAsia="Aptos"/>
          <w:noProof/>
          <w:szCs w:val="22"/>
          <w:lang w:eastAsia="en-US"/>
        </w:rPr>
        <w:t>kabotázsműveleteket engedélyezzen az Ausztria és Svájc határ menti régióiban autóbusszal végzett nemzetközi személyszállítási szolgáltatások nyújtása során</w:t>
      </w:r>
      <w:r w:rsidRPr="00E472F8">
        <w:rPr>
          <w:rFonts w:eastAsia="Aptos"/>
          <w:b/>
          <w:bCs/>
          <w:i/>
          <w:iCs/>
          <w:noProof/>
          <w:szCs w:val="22"/>
          <w:lang w:eastAsia="en-US"/>
        </w:rPr>
        <w:t>, ezáltal elősegítve a nagyobb területi kohéziót</w:t>
      </w:r>
      <w:r w:rsidRPr="00E472F8">
        <w:rPr>
          <w:rFonts w:eastAsia="Aptos"/>
          <w:noProof/>
          <w:szCs w:val="22"/>
          <w:lang w:eastAsia="en-US"/>
        </w:rPr>
        <w:t>.</w:t>
      </w:r>
    </w:p>
    <w:p w14:paraId="5C056BA3" w14:textId="77777777" w:rsidR="009411C0" w:rsidRPr="00E472F8" w:rsidRDefault="009411C0" w:rsidP="009411C0">
      <w:pPr>
        <w:widowControl/>
        <w:spacing w:before="120" w:after="120" w:line="360" w:lineRule="auto"/>
        <w:ind w:left="851" w:hanging="851"/>
        <w:rPr>
          <w:rFonts w:eastAsia="Aptos"/>
          <w:noProof/>
          <w:szCs w:val="22"/>
          <w:lang w:eastAsia="en-US"/>
        </w:rPr>
      </w:pPr>
      <w:r w:rsidRPr="00E472F8">
        <w:rPr>
          <w:rFonts w:eastAsia="Aptos"/>
          <w:noProof/>
          <w:szCs w:val="22"/>
          <w:lang w:eastAsia="en-US"/>
        </w:rPr>
        <w:t>(8)</w:t>
      </w:r>
      <w:r w:rsidRPr="00E472F8">
        <w:rPr>
          <w:rFonts w:eastAsia="Aptos"/>
          <w:noProof/>
          <w:szCs w:val="22"/>
          <w:lang w:eastAsia="en-US"/>
        </w:rPr>
        <w:tab/>
        <w:t>A kabotázsműveletek lehetővé teszik a járművek férőhelykihasználtságának növelését, ami fokozza az autóbusszal végzett nemzetközi személyszállítási szolgáltatások gazdasági hatékonyságát. Ezért helyénvaló ilyen műveleteket engedélyezni az Ausztria és Svájc határ menti régióiban autóbusszal végzett nemzetközi személyszállítási szolgáltatások nyújtása során. Ez tovább erősítheti az említett határ menti régiók szoros integrációját.</w:t>
      </w:r>
    </w:p>
    <w:p w14:paraId="56FF405A" w14:textId="77777777" w:rsidR="009411C0" w:rsidRPr="00E472F8" w:rsidRDefault="009411C0" w:rsidP="009411C0">
      <w:pPr>
        <w:widowControl/>
        <w:spacing w:before="120" w:after="120" w:line="360" w:lineRule="auto"/>
        <w:ind w:left="851" w:hanging="851"/>
        <w:rPr>
          <w:rFonts w:eastAsia="Aptos"/>
          <w:noProof/>
          <w:szCs w:val="22"/>
          <w:lang w:eastAsia="en-US"/>
        </w:rPr>
      </w:pPr>
      <w:r w:rsidRPr="00E472F8">
        <w:rPr>
          <w:rFonts w:eastAsia="Aptos"/>
          <w:noProof/>
          <w:szCs w:val="22"/>
          <w:lang w:eastAsia="en-US"/>
        </w:rPr>
        <w:br w:type="page"/>
      </w:r>
    </w:p>
    <w:p w14:paraId="1954AB5E" w14:textId="77777777" w:rsidR="009411C0" w:rsidRPr="00E472F8" w:rsidRDefault="009411C0" w:rsidP="009411C0">
      <w:pPr>
        <w:widowControl/>
        <w:spacing w:before="120" w:after="120" w:line="360" w:lineRule="auto"/>
        <w:ind w:left="851" w:hanging="851"/>
        <w:rPr>
          <w:rFonts w:eastAsia="Aptos"/>
          <w:noProof/>
          <w:szCs w:val="22"/>
          <w:lang w:eastAsia="en-US"/>
        </w:rPr>
      </w:pPr>
      <w:r w:rsidRPr="00E472F8">
        <w:rPr>
          <w:rFonts w:eastAsia="Aptos"/>
          <w:noProof/>
          <w:szCs w:val="22"/>
          <w:lang w:eastAsia="en-US"/>
        </w:rPr>
        <w:lastRenderedPageBreak/>
        <w:t>(9)</w:t>
      </w:r>
      <w:r w:rsidRPr="00E472F8">
        <w:rPr>
          <w:rFonts w:eastAsia="Aptos"/>
          <w:noProof/>
          <w:szCs w:val="22"/>
          <w:lang w:eastAsia="en-US"/>
        </w:rPr>
        <w:tab/>
        <w:t>Annak biztosítása érdekében, hogy az érintett kabotázsműveletek ne változtassák meg túlzott mértékben az autóbusszal végzett szolgáltatásoknak az 1073/2009/EK rendelettel létrehozott belső piacának működését, az ilyen kabotázsműveletek engedélyezését azon feltételhez kell kötni, hogy az Unión belül letelepedett szolgáltatók között ne álljon fel megkülönböztetés, és a verseny ne torzuljon.</w:t>
      </w:r>
    </w:p>
    <w:p w14:paraId="603EF37D" w14:textId="77777777" w:rsidR="009411C0" w:rsidRPr="00E472F8" w:rsidRDefault="009411C0" w:rsidP="009411C0">
      <w:pPr>
        <w:widowControl/>
        <w:spacing w:before="120" w:after="120" w:line="360" w:lineRule="auto"/>
        <w:ind w:left="851" w:hanging="851"/>
        <w:rPr>
          <w:rFonts w:eastAsia="Aptos"/>
          <w:noProof/>
          <w:szCs w:val="22"/>
          <w:lang w:eastAsia="en-US"/>
        </w:rPr>
      </w:pPr>
      <w:r w:rsidRPr="00E472F8">
        <w:rPr>
          <w:rFonts w:eastAsia="Aptos"/>
          <w:noProof/>
          <w:szCs w:val="22"/>
          <w:lang w:eastAsia="en-US"/>
        </w:rPr>
        <w:t>(10)</w:t>
      </w:r>
      <w:r w:rsidRPr="00E472F8">
        <w:rPr>
          <w:rFonts w:eastAsia="Aptos"/>
          <w:noProof/>
          <w:szCs w:val="22"/>
          <w:lang w:eastAsia="en-US"/>
        </w:rPr>
        <w:tab/>
        <w:t>Ugyanezen okból a kabotázsműveleteket csak Ausztria határ menti régióiban, az Ausztria és Svájc között autóbusszal végzett nemzetközi személyszállítási szolgáltatások nyújtása során szabad engedélyezni. E célból e határozat alkalmazásában</w:t>
      </w:r>
      <w:r w:rsidRPr="00E472F8">
        <w:rPr>
          <w:rFonts w:eastAsia="Aptos"/>
          <w:b/>
          <w:bCs/>
          <w:i/>
          <w:iCs/>
          <w:noProof/>
          <w:szCs w:val="22"/>
          <w:lang w:eastAsia="en-US"/>
        </w:rPr>
        <w:t xml:space="preserve"> </w:t>
      </w:r>
      <w:r w:rsidRPr="00E472F8">
        <w:rPr>
          <w:rFonts w:eastAsia="Aptos"/>
          <w:noProof/>
          <w:szCs w:val="22"/>
          <w:lang w:eastAsia="en-US"/>
        </w:rPr>
        <w:t>oly módon szükséges meghatározni Ausztria határ menti régióit, amely kellőképpen figyelembe veszi az 1073/2009/EK rendelet működését, lehetővé téve ugyanakkor az érintett műveletek hatékonyságának növelését,</w:t>
      </w:r>
    </w:p>
    <w:bookmarkEnd w:id="7"/>
    <w:p w14:paraId="6A0FE10B" w14:textId="77777777" w:rsidR="009411C0" w:rsidRPr="00E472F8" w:rsidRDefault="009411C0" w:rsidP="009411C0">
      <w:pPr>
        <w:keepNext/>
        <w:widowControl/>
        <w:spacing w:before="120" w:after="120" w:line="360" w:lineRule="auto"/>
        <w:rPr>
          <w:rFonts w:eastAsia="Aptos"/>
          <w:noProof/>
          <w:szCs w:val="22"/>
          <w:lang w:eastAsia="en-US"/>
        </w:rPr>
      </w:pPr>
      <w:r w:rsidRPr="00E472F8">
        <w:rPr>
          <w:rFonts w:eastAsia="Aptos"/>
          <w:noProof/>
          <w:szCs w:val="22"/>
          <w:lang w:eastAsia="en-US"/>
        </w:rPr>
        <w:t>ELFOGADTA EZT A HATÁROZATOT:</w:t>
      </w:r>
    </w:p>
    <w:p w14:paraId="7E394CA4" w14:textId="77777777" w:rsidR="009411C0" w:rsidRPr="00E472F8" w:rsidRDefault="009411C0" w:rsidP="009411C0">
      <w:pPr>
        <w:widowControl/>
        <w:spacing w:before="120" w:after="120" w:line="360" w:lineRule="auto"/>
        <w:rPr>
          <w:rFonts w:eastAsia="Aptos"/>
          <w:i/>
          <w:noProof/>
          <w:szCs w:val="22"/>
          <w:lang w:eastAsia="en-US"/>
        </w:rPr>
      </w:pPr>
      <w:r w:rsidRPr="00E472F8">
        <w:rPr>
          <w:rFonts w:eastAsia="Aptos"/>
          <w:noProof/>
          <w:szCs w:val="22"/>
          <w:lang w:eastAsia="en-US"/>
        </w:rPr>
        <w:br w:type="page"/>
      </w:r>
    </w:p>
    <w:p w14:paraId="773E3420" w14:textId="77777777" w:rsidR="009411C0" w:rsidRPr="00E472F8" w:rsidRDefault="009411C0" w:rsidP="009411C0">
      <w:pPr>
        <w:keepNext/>
        <w:widowControl/>
        <w:spacing w:before="120" w:after="120" w:line="360" w:lineRule="auto"/>
        <w:jc w:val="center"/>
        <w:rPr>
          <w:rFonts w:eastAsia="Aptos"/>
          <w:iCs/>
          <w:noProof/>
          <w:szCs w:val="22"/>
          <w:lang w:eastAsia="en-US"/>
        </w:rPr>
      </w:pPr>
      <w:r w:rsidRPr="00E472F8">
        <w:rPr>
          <w:rFonts w:eastAsia="Aptos"/>
          <w:iCs/>
          <w:noProof/>
          <w:szCs w:val="22"/>
          <w:lang w:eastAsia="en-US"/>
        </w:rPr>
        <w:lastRenderedPageBreak/>
        <w:t>1. cikk</w:t>
      </w:r>
    </w:p>
    <w:p w14:paraId="286295E7" w14:textId="77777777" w:rsidR="009411C0" w:rsidRPr="00E472F8" w:rsidRDefault="009411C0" w:rsidP="009411C0">
      <w:pPr>
        <w:widowControl/>
        <w:spacing w:before="120" w:after="120" w:line="360" w:lineRule="auto"/>
        <w:rPr>
          <w:rFonts w:eastAsia="Aptos"/>
          <w:noProof/>
          <w:szCs w:val="22"/>
          <w:lang w:eastAsia="en-US"/>
        </w:rPr>
      </w:pPr>
      <w:r w:rsidRPr="00E472F8">
        <w:rPr>
          <w:rFonts w:eastAsia="Aptos"/>
          <w:noProof/>
          <w:szCs w:val="22"/>
          <w:lang w:eastAsia="en-US"/>
        </w:rPr>
        <w:t>Ausztria felhatalmazást kap arra, hogy módosítsa a közúti szállításról szóló, Ausztria és Svájc közötti, 1958. október 22-i kétoldalú megállapodást (a továbbiakban: az Ausztia és Svájc közötti megállapodás) abból a célból, hogy kabotázsműveleteket engedélyezzen Ausztria és Svájc határ menti régióiban a két ország között autóbusszal végzett nemzetközi személyszállítási szolgáltatások nyújtása során, feltéve, hogy az Unióban letelepedett szolgáltatók között nem áll fenn megkülönböztetés, és a verseny nem torzul.</w:t>
      </w:r>
    </w:p>
    <w:p w14:paraId="691D9682" w14:textId="77777777" w:rsidR="009411C0" w:rsidRPr="00E472F8" w:rsidRDefault="009411C0" w:rsidP="009411C0">
      <w:pPr>
        <w:widowControl/>
        <w:spacing w:before="120" w:after="120" w:line="360" w:lineRule="auto"/>
        <w:rPr>
          <w:rFonts w:eastAsia="Aptos"/>
          <w:noProof/>
          <w:szCs w:val="22"/>
          <w:lang w:eastAsia="en-US"/>
        </w:rPr>
      </w:pPr>
      <w:r w:rsidRPr="00E472F8">
        <w:rPr>
          <w:rFonts w:eastAsia="Aptos"/>
          <w:noProof/>
          <w:szCs w:val="22"/>
          <w:lang w:eastAsia="en-US"/>
        </w:rPr>
        <w:t>A Vorarlberg régióban található Bludenz, Bregenz, Dornbirn és Feldkirch járást, valamint a Tirol régióban található Landeck járást Ausztria határ menti régióinak kell tekinteni az első bekezdés értelmében.</w:t>
      </w:r>
    </w:p>
    <w:p w14:paraId="2F23E008" w14:textId="77777777" w:rsidR="009411C0" w:rsidRPr="00E472F8" w:rsidRDefault="009411C0" w:rsidP="009411C0">
      <w:pPr>
        <w:widowControl/>
        <w:spacing w:before="120" w:after="120" w:line="360" w:lineRule="auto"/>
        <w:rPr>
          <w:rFonts w:eastAsia="Aptos"/>
          <w:i/>
          <w:noProof/>
          <w:szCs w:val="22"/>
          <w:lang w:eastAsia="en-US"/>
        </w:rPr>
      </w:pPr>
      <w:r w:rsidRPr="00E472F8">
        <w:rPr>
          <w:rFonts w:eastAsia="Aptos"/>
          <w:noProof/>
          <w:szCs w:val="22"/>
          <w:lang w:eastAsia="en-US"/>
        </w:rPr>
        <w:br w:type="page"/>
      </w:r>
    </w:p>
    <w:p w14:paraId="0E564E7A" w14:textId="77777777" w:rsidR="009411C0" w:rsidRPr="00E472F8" w:rsidRDefault="009411C0" w:rsidP="009411C0">
      <w:pPr>
        <w:keepNext/>
        <w:widowControl/>
        <w:spacing w:before="120" w:after="120" w:line="360" w:lineRule="auto"/>
        <w:jc w:val="center"/>
        <w:rPr>
          <w:rFonts w:eastAsia="Aptos"/>
          <w:iCs/>
          <w:noProof/>
          <w:szCs w:val="22"/>
          <w:lang w:eastAsia="en-US"/>
        </w:rPr>
      </w:pPr>
      <w:r w:rsidRPr="00E472F8">
        <w:rPr>
          <w:rFonts w:eastAsia="Aptos"/>
          <w:iCs/>
          <w:noProof/>
          <w:szCs w:val="22"/>
          <w:lang w:eastAsia="en-US"/>
        </w:rPr>
        <w:lastRenderedPageBreak/>
        <w:t>2. cikk</w:t>
      </w:r>
    </w:p>
    <w:p w14:paraId="200D614F" w14:textId="77777777" w:rsidR="009411C0" w:rsidRPr="00E472F8" w:rsidRDefault="009411C0" w:rsidP="009411C0">
      <w:pPr>
        <w:widowControl/>
        <w:spacing w:before="120" w:after="120" w:line="360" w:lineRule="auto"/>
        <w:rPr>
          <w:rFonts w:eastAsia="Aptos"/>
          <w:noProof/>
          <w:szCs w:val="22"/>
          <w:lang w:eastAsia="en-US"/>
        </w:rPr>
      </w:pPr>
      <w:r w:rsidRPr="00E472F8">
        <w:rPr>
          <w:rFonts w:eastAsia="Aptos"/>
          <w:noProof/>
          <w:szCs w:val="22"/>
          <w:lang w:eastAsia="en-US"/>
        </w:rPr>
        <w:t>Ausztria tájékoztatja a Bizottságot az Ausztia és Svájc közötti megállapodás e határozat 1. cikke szerinti módosításáról, és közli a Bizottsággal a módosított megállapodás szövegét.</w:t>
      </w:r>
    </w:p>
    <w:p w14:paraId="3C5AD603" w14:textId="77777777" w:rsidR="009411C0" w:rsidRPr="00E472F8" w:rsidRDefault="009411C0" w:rsidP="009411C0">
      <w:pPr>
        <w:widowControl/>
        <w:spacing w:before="120" w:after="120" w:line="360" w:lineRule="auto"/>
        <w:rPr>
          <w:rFonts w:eastAsia="Aptos"/>
          <w:noProof/>
          <w:szCs w:val="22"/>
          <w:lang w:eastAsia="en-US"/>
        </w:rPr>
      </w:pPr>
      <w:r w:rsidRPr="00E472F8">
        <w:rPr>
          <w:rFonts w:eastAsia="Aptos"/>
          <w:noProof/>
          <w:szCs w:val="22"/>
          <w:lang w:eastAsia="en-US"/>
        </w:rPr>
        <w:t>A Bizottság tájékoztatja erről ▌az Európai Parlamentet és a Tanácsot.</w:t>
      </w:r>
    </w:p>
    <w:p w14:paraId="03D1016B" w14:textId="77777777" w:rsidR="009411C0" w:rsidRPr="00E472F8" w:rsidRDefault="009411C0" w:rsidP="009411C0">
      <w:pPr>
        <w:keepNext/>
        <w:widowControl/>
        <w:spacing w:before="120" w:after="120" w:line="360" w:lineRule="auto"/>
        <w:jc w:val="center"/>
        <w:rPr>
          <w:rFonts w:eastAsia="Aptos"/>
          <w:iCs/>
          <w:noProof/>
          <w:szCs w:val="22"/>
          <w:lang w:eastAsia="en-US"/>
        </w:rPr>
      </w:pPr>
      <w:r w:rsidRPr="00E472F8">
        <w:rPr>
          <w:rFonts w:eastAsia="Aptos"/>
          <w:iCs/>
          <w:noProof/>
          <w:szCs w:val="22"/>
          <w:lang w:eastAsia="en-US"/>
        </w:rPr>
        <w:t>3. cikk</w:t>
      </w:r>
    </w:p>
    <w:p w14:paraId="04300E90" w14:textId="77777777" w:rsidR="009411C0" w:rsidRPr="00E472F8" w:rsidRDefault="009411C0" w:rsidP="009411C0">
      <w:pPr>
        <w:widowControl/>
        <w:spacing w:before="120" w:after="120" w:line="360" w:lineRule="auto"/>
        <w:rPr>
          <w:rFonts w:eastAsia="Aptos"/>
          <w:noProof/>
          <w:szCs w:val="22"/>
          <w:lang w:eastAsia="en-US"/>
        </w:rPr>
      </w:pPr>
      <w:r w:rsidRPr="00E472F8">
        <w:rPr>
          <w:rFonts w:eastAsia="Aptos"/>
          <w:noProof/>
          <w:szCs w:val="22"/>
          <w:lang w:eastAsia="en-US"/>
        </w:rPr>
        <w:t>Ennek a határozatnak az Osztrák Köztársaság a címzettje.</w:t>
      </w:r>
    </w:p>
    <w:p w14:paraId="42AB4FA1" w14:textId="77777777" w:rsidR="009411C0" w:rsidRPr="00E472F8" w:rsidRDefault="009411C0" w:rsidP="009411C0">
      <w:pPr>
        <w:widowControl/>
        <w:spacing w:before="120" w:after="120" w:line="360" w:lineRule="auto"/>
        <w:rPr>
          <w:rFonts w:eastAsia="Aptos"/>
          <w:noProof/>
          <w:szCs w:val="22"/>
          <w:lang w:eastAsia="en-US"/>
        </w:rPr>
      </w:pPr>
      <w:r w:rsidRPr="00E472F8">
        <w:rPr>
          <w:rFonts w:eastAsia="Aptos"/>
          <w:noProof/>
          <w:szCs w:val="22"/>
          <w:lang w:eastAsia="en-US"/>
        </w:rPr>
        <w:t>Kelt ▌…,</w:t>
      </w:r>
    </w:p>
    <w:p w14:paraId="411A987F" w14:textId="77777777" w:rsidR="009411C0" w:rsidRPr="00E472F8" w:rsidRDefault="009411C0" w:rsidP="009411C0">
      <w:pPr>
        <w:keepNext/>
        <w:widowControl/>
        <w:tabs>
          <w:tab w:val="left" w:pos="5669"/>
        </w:tabs>
        <w:spacing w:before="720" w:line="360" w:lineRule="auto"/>
        <w:rPr>
          <w:rFonts w:eastAsia="Aptos"/>
          <w:i/>
          <w:szCs w:val="22"/>
          <w:lang w:eastAsia="en-US"/>
        </w:rPr>
      </w:pPr>
      <w:r w:rsidRPr="00E472F8">
        <w:rPr>
          <w:rFonts w:eastAsia="Aptos"/>
          <w:i/>
          <w:szCs w:val="22"/>
          <w:lang w:eastAsia="en-US"/>
        </w:rPr>
        <w:t>az Európai Parlament részéről</w:t>
      </w:r>
      <w:r w:rsidRPr="00E472F8">
        <w:rPr>
          <w:rFonts w:eastAsia="Aptos"/>
          <w:i/>
          <w:szCs w:val="22"/>
          <w:lang w:eastAsia="en-US"/>
        </w:rPr>
        <w:tab/>
        <w:t>a Tanács részéről</w:t>
      </w:r>
    </w:p>
    <w:p w14:paraId="34592524" w14:textId="77777777" w:rsidR="009411C0" w:rsidRPr="009411C0" w:rsidRDefault="009411C0" w:rsidP="009411C0">
      <w:pPr>
        <w:widowControl/>
        <w:tabs>
          <w:tab w:val="left" w:pos="5669"/>
        </w:tabs>
        <w:spacing w:line="360" w:lineRule="auto"/>
        <w:rPr>
          <w:rFonts w:eastAsia="Aptos"/>
          <w:i/>
          <w:noProof/>
          <w:szCs w:val="22"/>
          <w:lang w:eastAsia="en-US"/>
        </w:rPr>
      </w:pPr>
      <w:r w:rsidRPr="00E472F8">
        <w:rPr>
          <w:rFonts w:eastAsia="Aptos"/>
          <w:i/>
          <w:szCs w:val="22"/>
          <w:lang w:eastAsia="en-US"/>
        </w:rPr>
        <w:t>az elnök</w:t>
      </w:r>
      <w:r w:rsidRPr="00E472F8">
        <w:rPr>
          <w:rFonts w:eastAsia="Aptos"/>
          <w:i/>
          <w:szCs w:val="22"/>
          <w:lang w:eastAsia="en-US"/>
        </w:rPr>
        <w:tab/>
        <w:t>az elnök</w:t>
      </w:r>
    </w:p>
    <w:p w14:paraId="51763BD0" w14:textId="01939BFC" w:rsidR="00E365E1" w:rsidRPr="00543DBB" w:rsidRDefault="00E365E1" w:rsidP="007968BD"/>
    <w:sectPr w:rsidR="00E365E1" w:rsidRPr="00543DBB" w:rsidSect="00543DB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9332B" w14:textId="77777777" w:rsidR="007968BD" w:rsidRPr="00543DBB" w:rsidRDefault="007968BD">
      <w:r w:rsidRPr="00543DBB">
        <w:separator/>
      </w:r>
    </w:p>
  </w:endnote>
  <w:endnote w:type="continuationSeparator" w:id="0">
    <w:p w14:paraId="348BDA3B" w14:textId="77777777" w:rsidR="007968BD" w:rsidRPr="00543DBB" w:rsidRDefault="007968BD">
      <w:r w:rsidRPr="00543D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A489" w14:textId="77777777" w:rsidR="00064002" w:rsidRPr="00543DB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6E6F" w14:textId="77777777" w:rsidR="00064002" w:rsidRPr="00543DB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D4DF" w14:textId="77777777" w:rsidR="00064002" w:rsidRPr="00543D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BCAE6" w14:textId="77777777" w:rsidR="007968BD" w:rsidRPr="00543DBB" w:rsidRDefault="007968BD">
      <w:r w:rsidRPr="00543DBB">
        <w:separator/>
      </w:r>
    </w:p>
  </w:footnote>
  <w:footnote w:type="continuationSeparator" w:id="0">
    <w:p w14:paraId="7CD89AEA" w14:textId="77777777" w:rsidR="007968BD" w:rsidRPr="00543DBB" w:rsidRDefault="007968BD">
      <w:r w:rsidRPr="00543DBB">
        <w:continuationSeparator/>
      </w:r>
    </w:p>
  </w:footnote>
  <w:footnote w:id="1">
    <w:p w14:paraId="5181D055" w14:textId="5695C8EB" w:rsidR="000A7340" w:rsidRPr="00543DBB" w:rsidRDefault="000A7340" w:rsidP="00543DBB">
      <w:pPr>
        <w:pStyle w:val="FootnoteText"/>
        <w:ind w:left="567" w:hanging="567"/>
        <w:rPr>
          <w:sz w:val="24"/>
          <w:lang w:val="hu-HU"/>
        </w:rPr>
      </w:pPr>
      <w:r w:rsidRPr="00543DBB">
        <w:rPr>
          <w:rStyle w:val="FootnoteReference"/>
          <w:sz w:val="24"/>
          <w:lang w:val="hu-HU"/>
        </w:rPr>
        <w:footnoteRef/>
      </w:r>
      <w:r w:rsidR="00543DBB" w:rsidRPr="00543DBB">
        <w:rPr>
          <w:sz w:val="24"/>
          <w:lang w:val="hu-HU"/>
        </w:rPr>
        <w:t xml:space="preserve"> </w:t>
      </w:r>
      <w:r w:rsidR="00543DBB" w:rsidRPr="00543DBB">
        <w:rPr>
          <w:sz w:val="24"/>
          <w:lang w:val="hu-HU"/>
        </w:rPr>
        <w:tab/>
      </w:r>
      <w:r w:rsidRPr="00543DBB">
        <w:rPr>
          <w:sz w:val="24"/>
          <w:lang w:val="hu-HU"/>
        </w:rPr>
        <w:t xml:space="preserve">HL C, C/2026/1970, 2026.4.28., ELI: </w:t>
      </w:r>
      <w:hyperlink r:id="rId1" w:history="1">
        <w:r w:rsidRPr="00543DBB">
          <w:rPr>
            <w:rStyle w:val="Hyperlink"/>
            <w:sz w:val="24"/>
            <w:lang w:val="hu-HU"/>
          </w:rPr>
          <w:t>http://data.europa.eu/eli/C/2026/1970/oj</w:t>
        </w:r>
      </w:hyperlink>
      <w:r w:rsidR="00CD2154">
        <w:rPr>
          <w:sz w:val="24"/>
          <w:lang w:val="hu-HU"/>
        </w:rPr>
        <w:t>.</w:t>
      </w:r>
    </w:p>
  </w:footnote>
  <w:footnote w:id="2">
    <w:p w14:paraId="5AF2AA39" w14:textId="77777777" w:rsidR="009411C0" w:rsidRPr="009411C0" w:rsidRDefault="009411C0" w:rsidP="009411C0">
      <w:pPr>
        <w:pStyle w:val="FootnoteText"/>
        <w:ind w:left="851" w:hanging="851"/>
        <w:rPr>
          <w:color w:val="000000"/>
          <w:sz w:val="24"/>
          <w:szCs w:val="24"/>
          <w:lang w:val="de-DE"/>
        </w:rPr>
      </w:pPr>
      <w:r w:rsidRPr="003B2FAC">
        <w:rPr>
          <w:rStyle w:val="FootnoteReference"/>
          <w:b/>
          <w:bCs/>
          <w:sz w:val="24"/>
          <w:szCs w:val="24"/>
        </w:rPr>
        <w:footnoteRef/>
      </w:r>
      <w:r w:rsidRPr="009411C0">
        <w:rPr>
          <w:sz w:val="24"/>
          <w:szCs w:val="24"/>
          <w:lang w:val="de-DE"/>
        </w:rPr>
        <w:tab/>
      </w:r>
      <w:r w:rsidRPr="009411C0">
        <w:rPr>
          <w:color w:val="000000"/>
          <w:sz w:val="24"/>
          <w:szCs w:val="24"/>
          <w:lang w:val="de-DE"/>
        </w:rPr>
        <w:t>HL C, C/2026/1970, 2026.4.28., ELI: </w:t>
      </w:r>
      <w:hyperlink r:id="rId2" w:history="1">
        <w:r w:rsidRPr="009411C0">
          <w:rPr>
            <w:rStyle w:val="Hyperlink"/>
            <w:sz w:val="24"/>
            <w:szCs w:val="24"/>
            <w:lang w:val="de-DE"/>
          </w:rPr>
          <w:t>http://data.europa.eu/eli/C/2026/1970/oj</w:t>
        </w:r>
      </w:hyperlink>
      <w:r w:rsidRPr="009411C0">
        <w:rPr>
          <w:color w:val="000000"/>
          <w:sz w:val="24"/>
          <w:szCs w:val="24"/>
          <w:lang w:val="de-DE"/>
        </w:rPr>
        <w:t>.</w:t>
      </w:r>
    </w:p>
  </w:footnote>
  <w:footnote w:id="3">
    <w:p w14:paraId="2A7925E0" w14:textId="5F5C963F" w:rsidR="009411C0" w:rsidRPr="00E472F8" w:rsidRDefault="009411C0" w:rsidP="009411C0">
      <w:pPr>
        <w:pStyle w:val="FootnoteText"/>
        <w:ind w:left="851" w:hanging="851"/>
        <w:rPr>
          <w:sz w:val="24"/>
          <w:szCs w:val="24"/>
          <w:lang w:val="pt-PT"/>
        </w:rPr>
      </w:pPr>
      <w:r w:rsidRPr="003B2FAC">
        <w:rPr>
          <w:rStyle w:val="FootnoteReference"/>
          <w:sz w:val="24"/>
          <w:szCs w:val="24"/>
        </w:rPr>
        <w:footnoteRef/>
      </w:r>
      <w:r w:rsidRPr="00E472F8">
        <w:rPr>
          <w:sz w:val="24"/>
          <w:szCs w:val="24"/>
          <w:lang w:val="pt-PT"/>
        </w:rPr>
        <w:tab/>
        <w:t xml:space="preserve">Az Európai Parlament </w:t>
      </w:r>
      <w:r w:rsidR="000775DD" w:rsidRPr="00E472F8">
        <w:rPr>
          <w:sz w:val="24"/>
          <w:szCs w:val="24"/>
          <w:lang w:val="pt-PT"/>
        </w:rPr>
        <w:t xml:space="preserve">2026. </w:t>
      </w:r>
      <w:proofErr w:type="spellStart"/>
      <w:r w:rsidR="000775DD" w:rsidRPr="00E472F8">
        <w:rPr>
          <w:sz w:val="24"/>
          <w:szCs w:val="24"/>
          <w:lang w:val="pt-PT"/>
        </w:rPr>
        <w:t>július</w:t>
      </w:r>
      <w:proofErr w:type="spellEnd"/>
      <w:r w:rsidR="000775DD" w:rsidRPr="00E472F8">
        <w:rPr>
          <w:sz w:val="24"/>
          <w:szCs w:val="24"/>
          <w:lang w:val="pt-PT"/>
        </w:rPr>
        <w:t xml:space="preserve"> 7-</w:t>
      </w:r>
      <w:r w:rsidRPr="00E472F8">
        <w:rPr>
          <w:sz w:val="24"/>
          <w:szCs w:val="24"/>
          <w:lang w:val="pt-PT"/>
        </w:rPr>
        <w:t xml:space="preserve">i </w:t>
      </w:r>
      <w:proofErr w:type="spellStart"/>
      <w:r w:rsidRPr="00E472F8">
        <w:rPr>
          <w:sz w:val="24"/>
          <w:szCs w:val="24"/>
          <w:lang w:val="pt-PT"/>
        </w:rPr>
        <w:t>álláspontja</w:t>
      </w:r>
      <w:proofErr w:type="spellEnd"/>
      <w:r w:rsidRPr="00E472F8">
        <w:rPr>
          <w:sz w:val="24"/>
          <w:szCs w:val="24"/>
          <w:lang w:val="pt-PT"/>
        </w:rPr>
        <w:t>.</w:t>
      </w:r>
    </w:p>
  </w:footnote>
  <w:footnote w:id="4">
    <w:p w14:paraId="04AEBBB3" w14:textId="77777777" w:rsidR="009411C0" w:rsidRPr="009411C0" w:rsidRDefault="009411C0" w:rsidP="009411C0">
      <w:pPr>
        <w:pStyle w:val="FootnoteText"/>
        <w:ind w:left="851" w:hanging="851"/>
        <w:rPr>
          <w:sz w:val="24"/>
          <w:szCs w:val="24"/>
          <w:lang w:val="de-DE"/>
        </w:rPr>
      </w:pPr>
      <w:r w:rsidRPr="003B2FAC">
        <w:rPr>
          <w:rStyle w:val="FootnoteReference"/>
          <w:sz w:val="24"/>
          <w:szCs w:val="24"/>
        </w:rPr>
        <w:footnoteRef/>
      </w:r>
      <w:r w:rsidRPr="009411C0">
        <w:rPr>
          <w:sz w:val="24"/>
          <w:szCs w:val="24"/>
          <w:lang w:val="de-DE"/>
        </w:rPr>
        <w:tab/>
        <w:t>HL L 114., 2002.4.30., 91. o., ELI: </w:t>
      </w:r>
      <w:hyperlink r:id="rId3" w:tooltip="Az ELI (európai jogszabály-azonosító) URI-hivatkozása révén biztosít hozzáférést a dokumentumhoz." w:history="1">
        <w:r w:rsidRPr="009411C0">
          <w:rPr>
            <w:rStyle w:val="Hyperlink"/>
            <w:sz w:val="24"/>
            <w:szCs w:val="24"/>
            <w:lang w:val="de-DE"/>
          </w:rPr>
          <w:t>http://data.europa.eu/eli/agree_internation/2002/309(3)/oj</w:t>
        </w:r>
      </w:hyperlink>
      <w:r w:rsidRPr="009411C0">
        <w:rPr>
          <w:sz w:val="24"/>
          <w:szCs w:val="24"/>
          <w:lang w:val="de-DE"/>
        </w:rPr>
        <w:t>.</w:t>
      </w:r>
    </w:p>
  </w:footnote>
  <w:footnote w:id="5">
    <w:p w14:paraId="3E6373C8" w14:textId="77777777" w:rsidR="009411C0" w:rsidRPr="009411C0" w:rsidRDefault="009411C0" w:rsidP="009411C0">
      <w:pPr>
        <w:pStyle w:val="FootnoteText"/>
        <w:ind w:left="851" w:hanging="851"/>
        <w:rPr>
          <w:sz w:val="24"/>
          <w:szCs w:val="24"/>
          <w:lang w:val="de-DE"/>
        </w:rPr>
      </w:pPr>
      <w:r w:rsidRPr="003B2FAC">
        <w:rPr>
          <w:rStyle w:val="FootnoteReference"/>
          <w:sz w:val="24"/>
          <w:szCs w:val="24"/>
        </w:rPr>
        <w:footnoteRef/>
      </w:r>
      <w:r w:rsidRPr="009411C0">
        <w:rPr>
          <w:sz w:val="24"/>
          <w:szCs w:val="24"/>
          <w:lang w:val="de-DE"/>
        </w:rPr>
        <w:tab/>
        <w:t>BGBl. (</w:t>
      </w:r>
      <w:proofErr w:type="spellStart"/>
      <w:r w:rsidRPr="009411C0">
        <w:rPr>
          <w:sz w:val="24"/>
          <w:szCs w:val="24"/>
          <w:lang w:val="de-DE"/>
        </w:rPr>
        <w:t>Ausztria</w:t>
      </w:r>
      <w:proofErr w:type="spellEnd"/>
      <w:r w:rsidRPr="009411C0">
        <w:rPr>
          <w:sz w:val="24"/>
          <w:szCs w:val="24"/>
          <w:lang w:val="de-DE"/>
        </w:rPr>
        <w:t xml:space="preserve">) 123/1959. </w:t>
      </w:r>
      <w:proofErr w:type="spellStart"/>
      <w:r w:rsidRPr="009411C0">
        <w:rPr>
          <w:sz w:val="24"/>
          <w:szCs w:val="24"/>
          <w:lang w:val="de-DE"/>
        </w:rPr>
        <w:t>sz</w:t>
      </w:r>
      <w:proofErr w:type="spellEnd"/>
      <w:r w:rsidRPr="009411C0">
        <w:rPr>
          <w:sz w:val="24"/>
          <w:szCs w:val="24"/>
          <w:lang w:val="de-DE"/>
        </w:rPr>
        <w:t>.</w:t>
      </w:r>
    </w:p>
  </w:footnote>
  <w:footnote w:id="6">
    <w:p w14:paraId="085D8A83" w14:textId="77777777" w:rsidR="009411C0" w:rsidRPr="009411C0" w:rsidRDefault="009411C0" w:rsidP="009411C0">
      <w:pPr>
        <w:pStyle w:val="FootnoteText"/>
        <w:ind w:left="851" w:hanging="851"/>
        <w:rPr>
          <w:sz w:val="24"/>
          <w:szCs w:val="24"/>
          <w:lang w:val="de-DE"/>
        </w:rPr>
      </w:pPr>
      <w:r w:rsidRPr="003B2FAC">
        <w:rPr>
          <w:rStyle w:val="FootnoteReference"/>
          <w:sz w:val="24"/>
          <w:szCs w:val="24"/>
        </w:rPr>
        <w:footnoteRef/>
      </w:r>
      <w:r w:rsidRPr="009411C0">
        <w:rPr>
          <w:sz w:val="24"/>
          <w:szCs w:val="24"/>
          <w:lang w:val="de-DE"/>
        </w:rPr>
        <w:tab/>
      </w:r>
      <w:proofErr w:type="spellStart"/>
      <w:r w:rsidRPr="009411C0">
        <w:rPr>
          <w:sz w:val="24"/>
          <w:szCs w:val="24"/>
          <w:lang w:val="de-DE"/>
        </w:rPr>
        <w:t>Az</w:t>
      </w:r>
      <w:proofErr w:type="spellEnd"/>
      <w:r w:rsidRPr="009411C0">
        <w:rPr>
          <w:sz w:val="24"/>
          <w:szCs w:val="24"/>
          <w:lang w:val="de-DE"/>
        </w:rPr>
        <w:t xml:space="preserve"> </w:t>
      </w:r>
      <w:proofErr w:type="spellStart"/>
      <w:r w:rsidRPr="009411C0">
        <w:rPr>
          <w:sz w:val="24"/>
          <w:szCs w:val="24"/>
          <w:lang w:val="de-DE"/>
        </w:rPr>
        <w:t>Európai</w:t>
      </w:r>
      <w:proofErr w:type="spellEnd"/>
      <w:r w:rsidRPr="009411C0">
        <w:rPr>
          <w:sz w:val="24"/>
          <w:szCs w:val="24"/>
          <w:lang w:val="de-DE"/>
        </w:rPr>
        <w:t xml:space="preserve"> Parlament </w:t>
      </w:r>
      <w:proofErr w:type="spellStart"/>
      <w:r w:rsidRPr="009411C0">
        <w:rPr>
          <w:sz w:val="24"/>
          <w:szCs w:val="24"/>
          <w:lang w:val="de-DE"/>
        </w:rPr>
        <w:t>és</w:t>
      </w:r>
      <w:proofErr w:type="spellEnd"/>
      <w:r w:rsidRPr="009411C0">
        <w:rPr>
          <w:sz w:val="24"/>
          <w:szCs w:val="24"/>
          <w:lang w:val="de-DE"/>
        </w:rPr>
        <w:t xml:space="preserve"> a </w:t>
      </w:r>
      <w:proofErr w:type="spellStart"/>
      <w:r w:rsidRPr="009411C0">
        <w:rPr>
          <w:sz w:val="24"/>
          <w:szCs w:val="24"/>
          <w:lang w:val="de-DE"/>
        </w:rPr>
        <w:t>Tanács</w:t>
      </w:r>
      <w:proofErr w:type="spellEnd"/>
      <w:r w:rsidRPr="009411C0">
        <w:rPr>
          <w:sz w:val="24"/>
          <w:szCs w:val="24"/>
          <w:lang w:val="de-DE"/>
        </w:rPr>
        <w:t xml:space="preserve"> 1073/2009/EK </w:t>
      </w:r>
      <w:proofErr w:type="spellStart"/>
      <w:r w:rsidRPr="009411C0">
        <w:rPr>
          <w:sz w:val="24"/>
          <w:szCs w:val="24"/>
          <w:lang w:val="de-DE"/>
        </w:rPr>
        <w:t>rendelete</w:t>
      </w:r>
      <w:proofErr w:type="spellEnd"/>
      <w:r w:rsidRPr="009411C0">
        <w:rPr>
          <w:sz w:val="24"/>
          <w:szCs w:val="24"/>
          <w:lang w:val="de-DE"/>
        </w:rPr>
        <w:t xml:space="preserve"> (2009. </w:t>
      </w:r>
      <w:proofErr w:type="spellStart"/>
      <w:r w:rsidRPr="009411C0">
        <w:rPr>
          <w:sz w:val="24"/>
          <w:szCs w:val="24"/>
          <w:lang w:val="de-DE"/>
        </w:rPr>
        <w:t>október</w:t>
      </w:r>
      <w:proofErr w:type="spellEnd"/>
      <w:r w:rsidRPr="009411C0">
        <w:rPr>
          <w:sz w:val="24"/>
          <w:szCs w:val="24"/>
          <w:lang w:val="de-DE"/>
        </w:rPr>
        <w:t xml:space="preserve"> 21.) </w:t>
      </w:r>
      <w:proofErr w:type="spellStart"/>
      <w:r w:rsidRPr="009411C0">
        <w:rPr>
          <w:sz w:val="24"/>
          <w:szCs w:val="24"/>
          <w:lang w:val="de-DE"/>
        </w:rPr>
        <w:t>az</w:t>
      </w:r>
      <w:proofErr w:type="spellEnd"/>
      <w:r w:rsidRPr="009411C0">
        <w:rPr>
          <w:sz w:val="24"/>
          <w:szCs w:val="24"/>
          <w:lang w:val="de-DE"/>
        </w:rPr>
        <w:t xml:space="preserve"> </w:t>
      </w:r>
      <w:proofErr w:type="spellStart"/>
      <w:r w:rsidRPr="009411C0">
        <w:rPr>
          <w:sz w:val="24"/>
          <w:szCs w:val="24"/>
          <w:lang w:val="de-DE"/>
        </w:rPr>
        <w:t>autóbusszal</w:t>
      </w:r>
      <w:proofErr w:type="spellEnd"/>
      <w:r w:rsidRPr="009411C0">
        <w:rPr>
          <w:sz w:val="24"/>
          <w:szCs w:val="24"/>
          <w:lang w:val="de-DE"/>
        </w:rPr>
        <w:t xml:space="preserve"> </w:t>
      </w:r>
      <w:proofErr w:type="spellStart"/>
      <w:r w:rsidRPr="009411C0">
        <w:rPr>
          <w:sz w:val="24"/>
          <w:szCs w:val="24"/>
          <w:lang w:val="de-DE"/>
        </w:rPr>
        <w:t>végzett</w:t>
      </w:r>
      <w:proofErr w:type="spellEnd"/>
      <w:r w:rsidRPr="009411C0">
        <w:rPr>
          <w:sz w:val="24"/>
          <w:szCs w:val="24"/>
          <w:lang w:val="de-DE"/>
        </w:rPr>
        <w:t xml:space="preserve"> </w:t>
      </w:r>
      <w:proofErr w:type="spellStart"/>
      <w:r w:rsidRPr="009411C0">
        <w:rPr>
          <w:sz w:val="24"/>
          <w:szCs w:val="24"/>
          <w:lang w:val="de-DE"/>
        </w:rPr>
        <w:t>személyszállítás</w:t>
      </w:r>
      <w:proofErr w:type="spellEnd"/>
      <w:r w:rsidRPr="009411C0">
        <w:rPr>
          <w:sz w:val="24"/>
          <w:szCs w:val="24"/>
          <w:lang w:val="de-DE"/>
        </w:rPr>
        <w:t xml:space="preserve"> </w:t>
      </w:r>
      <w:proofErr w:type="spellStart"/>
      <w:r w:rsidRPr="009411C0">
        <w:rPr>
          <w:sz w:val="24"/>
          <w:szCs w:val="24"/>
          <w:lang w:val="de-DE"/>
        </w:rPr>
        <w:t>nemzetközi</w:t>
      </w:r>
      <w:proofErr w:type="spellEnd"/>
      <w:r w:rsidRPr="009411C0">
        <w:rPr>
          <w:sz w:val="24"/>
          <w:szCs w:val="24"/>
          <w:lang w:val="de-DE"/>
        </w:rPr>
        <w:t xml:space="preserve"> </w:t>
      </w:r>
      <w:proofErr w:type="spellStart"/>
      <w:r w:rsidRPr="009411C0">
        <w:rPr>
          <w:sz w:val="24"/>
          <w:szCs w:val="24"/>
          <w:lang w:val="de-DE"/>
        </w:rPr>
        <w:t>piacához</w:t>
      </w:r>
      <w:proofErr w:type="spellEnd"/>
      <w:r w:rsidRPr="009411C0">
        <w:rPr>
          <w:sz w:val="24"/>
          <w:szCs w:val="24"/>
          <w:lang w:val="de-DE"/>
        </w:rPr>
        <w:t xml:space="preserve"> </w:t>
      </w:r>
      <w:proofErr w:type="spellStart"/>
      <w:r w:rsidRPr="009411C0">
        <w:rPr>
          <w:sz w:val="24"/>
          <w:szCs w:val="24"/>
          <w:lang w:val="de-DE"/>
        </w:rPr>
        <w:t>való</w:t>
      </w:r>
      <w:proofErr w:type="spellEnd"/>
      <w:r w:rsidRPr="009411C0">
        <w:rPr>
          <w:sz w:val="24"/>
          <w:szCs w:val="24"/>
          <w:lang w:val="de-DE"/>
        </w:rPr>
        <w:t xml:space="preserve"> </w:t>
      </w:r>
      <w:proofErr w:type="spellStart"/>
      <w:r w:rsidRPr="009411C0">
        <w:rPr>
          <w:sz w:val="24"/>
          <w:szCs w:val="24"/>
          <w:lang w:val="de-DE"/>
        </w:rPr>
        <w:t>hozzáférés</w:t>
      </w:r>
      <w:proofErr w:type="spellEnd"/>
      <w:r w:rsidRPr="009411C0">
        <w:rPr>
          <w:sz w:val="24"/>
          <w:szCs w:val="24"/>
          <w:lang w:val="de-DE"/>
        </w:rPr>
        <w:t xml:space="preserve"> </w:t>
      </w:r>
      <w:proofErr w:type="spellStart"/>
      <w:r w:rsidRPr="009411C0">
        <w:rPr>
          <w:sz w:val="24"/>
          <w:szCs w:val="24"/>
          <w:lang w:val="de-DE"/>
        </w:rPr>
        <w:t>közös</w:t>
      </w:r>
      <w:proofErr w:type="spellEnd"/>
      <w:r w:rsidRPr="009411C0">
        <w:rPr>
          <w:sz w:val="24"/>
          <w:szCs w:val="24"/>
          <w:lang w:val="de-DE"/>
        </w:rPr>
        <w:t xml:space="preserve"> </w:t>
      </w:r>
      <w:proofErr w:type="spellStart"/>
      <w:r w:rsidRPr="009411C0">
        <w:rPr>
          <w:sz w:val="24"/>
          <w:szCs w:val="24"/>
          <w:lang w:val="de-DE"/>
        </w:rPr>
        <w:t>szabályairól</w:t>
      </w:r>
      <w:proofErr w:type="spellEnd"/>
      <w:r w:rsidRPr="009411C0">
        <w:rPr>
          <w:sz w:val="24"/>
          <w:szCs w:val="24"/>
          <w:lang w:val="de-DE"/>
        </w:rPr>
        <w:t xml:space="preserve"> </w:t>
      </w:r>
      <w:proofErr w:type="spellStart"/>
      <w:r w:rsidRPr="009411C0">
        <w:rPr>
          <w:sz w:val="24"/>
          <w:szCs w:val="24"/>
          <w:lang w:val="de-DE"/>
        </w:rPr>
        <w:t>és</w:t>
      </w:r>
      <w:proofErr w:type="spellEnd"/>
      <w:r w:rsidRPr="009411C0">
        <w:rPr>
          <w:sz w:val="24"/>
          <w:szCs w:val="24"/>
          <w:lang w:val="de-DE"/>
        </w:rPr>
        <w:t xml:space="preserve"> </w:t>
      </w:r>
      <w:proofErr w:type="spellStart"/>
      <w:r w:rsidRPr="009411C0">
        <w:rPr>
          <w:sz w:val="24"/>
          <w:szCs w:val="24"/>
          <w:lang w:val="de-DE"/>
        </w:rPr>
        <w:t>az</w:t>
      </w:r>
      <w:proofErr w:type="spellEnd"/>
      <w:r w:rsidRPr="009411C0">
        <w:rPr>
          <w:sz w:val="24"/>
          <w:szCs w:val="24"/>
          <w:lang w:val="de-DE"/>
        </w:rPr>
        <w:t xml:space="preserve"> 561/2006/EK </w:t>
      </w:r>
      <w:proofErr w:type="spellStart"/>
      <w:r w:rsidRPr="009411C0">
        <w:rPr>
          <w:sz w:val="24"/>
          <w:szCs w:val="24"/>
          <w:lang w:val="de-DE"/>
        </w:rPr>
        <w:t>rendelet</w:t>
      </w:r>
      <w:proofErr w:type="spellEnd"/>
      <w:r w:rsidRPr="009411C0">
        <w:rPr>
          <w:sz w:val="24"/>
          <w:szCs w:val="24"/>
          <w:lang w:val="de-DE"/>
        </w:rPr>
        <w:t xml:space="preserve"> </w:t>
      </w:r>
      <w:proofErr w:type="spellStart"/>
      <w:r w:rsidRPr="009411C0">
        <w:rPr>
          <w:sz w:val="24"/>
          <w:szCs w:val="24"/>
          <w:lang w:val="de-DE"/>
        </w:rPr>
        <w:t>módosításáról</w:t>
      </w:r>
      <w:proofErr w:type="spellEnd"/>
      <w:r w:rsidRPr="009411C0">
        <w:rPr>
          <w:sz w:val="24"/>
          <w:szCs w:val="24"/>
          <w:lang w:val="de-DE"/>
        </w:rPr>
        <w:t xml:space="preserve"> (HL L 300., 2009.11.14., 88. o., ELI: </w:t>
      </w:r>
      <w:hyperlink r:id="rId4" w:tooltip="Az ELI (európai jogszabály-azonosító) URI-hivatkozása révén biztosít hozzáférést a dokumentumhoz." w:history="1">
        <w:r w:rsidRPr="009411C0">
          <w:rPr>
            <w:rStyle w:val="Hyperlink"/>
            <w:sz w:val="24"/>
            <w:szCs w:val="24"/>
            <w:lang w:val="de-DE"/>
          </w:rPr>
          <w:t>http://data.europa.eu/eli/reg/2009/1073/oj</w:t>
        </w:r>
      </w:hyperlink>
      <w:r w:rsidRPr="009411C0">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15D2" w14:textId="77777777" w:rsidR="00064002" w:rsidRPr="00543DB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0A104" w14:textId="77777777" w:rsidR="00064002" w:rsidRPr="00543DB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1CF5A" w14:textId="77777777" w:rsidR="00064002" w:rsidRPr="00543D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9830965">
    <w:abstractNumId w:val="9"/>
  </w:num>
  <w:num w:numId="2" w16cid:durableId="425031191">
    <w:abstractNumId w:val="9"/>
  </w:num>
  <w:num w:numId="3" w16cid:durableId="1405058268">
    <w:abstractNumId w:val="7"/>
  </w:num>
  <w:num w:numId="4" w16cid:durableId="169027267">
    <w:abstractNumId w:val="7"/>
  </w:num>
  <w:num w:numId="5" w16cid:durableId="1114599463">
    <w:abstractNumId w:val="6"/>
  </w:num>
  <w:num w:numId="6" w16cid:durableId="2107456767">
    <w:abstractNumId w:val="6"/>
  </w:num>
  <w:num w:numId="7" w16cid:durableId="1785152877">
    <w:abstractNumId w:val="5"/>
  </w:num>
  <w:num w:numId="8" w16cid:durableId="1535731252">
    <w:abstractNumId w:val="5"/>
  </w:num>
  <w:num w:numId="9" w16cid:durableId="544483802">
    <w:abstractNumId w:val="4"/>
  </w:num>
  <w:num w:numId="10" w16cid:durableId="1880513729">
    <w:abstractNumId w:val="4"/>
  </w:num>
  <w:num w:numId="11" w16cid:durableId="501555388">
    <w:abstractNumId w:val="8"/>
  </w:num>
  <w:num w:numId="12" w16cid:durableId="1917468635">
    <w:abstractNumId w:val="8"/>
  </w:num>
  <w:num w:numId="13" w16cid:durableId="849560801">
    <w:abstractNumId w:val="3"/>
  </w:num>
  <w:num w:numId="14" w16cid:durableId="29035204">
    <w:abstractNumId w:val="3"/>
  </w:num>
  <w:num w:numId="15" w16cid:durableId="1767194901">
    <w:abstractNumId w:val="2"/>
  </w:num>
  <w:num w:numId="16" w16cid:durableId="414475188">
    <w:abstractNumId w:val="2"/>
  </w:num>
  <w:num w:numId="17" w16cid:durableId="432476726">
    <w:abstractNumId w:val="1"/>
  </w:num>
  <w:num w:numId="18" w16cid:durableId="955327728">
    <w:abstractNumId w:val="1"/>
  </w:num>
  <w:num w:numId="19" w16cid:durableId="867376618">
    <w:abstractNumId w:val="0"/>
  </w:num>
  <w:num w:numId="20" w16cid:durableId="14969695">
    <w:abstractNumId w:val="0"/>
  </w:num>
  <w:num w:numId="21" w16cid:durableId="1595868587">
    <w:abstractNumId w:val="9"/>
  </w:num>
  <w:num w:numId="22" w16cid:durableId="1041784001">
    <w:abstractNumId w:val="7"/>
  </w:num>
  <w:num w:numId="23" w16cid:durableId="1255364257">
    <w:abstractNumId w:val="6"/>
  </w:num>
  <w:num w:numId="24" w16cid:durableId="950085908">
    <w:abstractNumId w:val="5"/>
  </w:num>
  <w:num w:numId="25" w16cid:durableId="121652402">
    <w:abstractNumId w:val="4"/>
  </w:num>
  <w:num w:numId="26" w16cid:durableId="988247698">
    <w:abstractNumId w:val="8"/>
  </w:num>
  <w:num w:numId="27" w16cid:durableId="1982224947">
    <w:abstractNumId w:val="3"/>
  </w:num>
  <w:num w:numId="28" w16cid:durableId="366302189">
    <w:abstractNumId w:val="2"/>
  </w:num>
  <w:num w:numId="29" w16cid:durableId="1255474099">
    <w:abstractNumId w:val="1"/>
  </w:num>
  <w:num w:numId="30" w16cid:durableId="414938935">
    <w:abstractNumId w:val="0"/>
  </w:num>
  <w:num w:numId="31" w16cid:durableId="1768427820">
    <w:abstractNumId w:val="9"/>
  </w:num>
  <w:num w:numId="32" w16cid:durableId="1522163228">
    <w:abstractNumId w:val="7"/>
  </w:num>
  <w:num w:numId="33" w16cid:durableId="297220897">
    <w:abstractNumId w:val="6"/>
  </w:num>
  <w:num w:numId="34" w16cid:durableId="1169901620">
    <w:abstractNumId w:val="5"/>
  </w:num>
  <w:num w:numId="35" w16cid:durableId="1010765709">
    <w:abstractNumId w:val="4"/>
  </w:num>
  <w:num w:numId="36" w16cid:durableId="2014338078">
    <w:abstractNumId w:val="8"/>
  </w:num>
  <w:num w:numId="37" w16cid:durableId="1651254608">
    <w:abstractNumId w:val="3"/>
  </w:num>
  <w:num w:numId="38" w16cid:durableId="272565878">
    <w:abstractNumId w:val="2"/>
  </w:num>
  <w:num w:numId="39" w16cid:durableId="1591696248">
    <w:abstractNumId w:val="1"/>
  </w:num>
  <w:num w:numId="40" w16cid:durableId="663701139">
    <w:abstractNumId w:val="0"/>
  </w:num>
  <w:num w:numId="41" w16cid:durableId="769786699">
    <w:abstractNumId w:val="10"/>
  </w:num>
  <w:num w:numId="42" w16cid:durableId="102305763">
    <w:abstractNumId w:val="10"/>
  </w:num>
  <w:num w:numId="43" w16cid:durableId="747076840">
    <w:abstractNumId w:val="10"/>
  </w:num>
  <w:num w:numId="44" w16cid:durableId="19513571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HU"/>
    <w:docVar w:name="dvnumam" w:val="2"/>
    <w:docVar w:name="dvpe" w:val="785.404"/>
    <w:docVar w:name="dvrapporteur" w:val="Előadó: "/>
    <w:docVar w:name="dvtitre" w:val="Az Európai Parlament 2026. július 7-i jogalkotási állásfoglalása Ausztriának a Svájccal kötött, közúti szállításról szóló meglévő kétoldalú megállapodásának a két ország között, a határ menti régiókban autóbusszal végzett nemzetközi közúti személyszállítási szolgáltatások nyújtása során folytatott kabotázsműveletek engedélyezése céljából történő módosítására való felhatalmazásáról szóló európai parlamenti és tanácsi határozatra irányuló javaslatról(COM(2025)0773 – C10-0367/2025 – 2025/0407(COD))"/>
  </w:docVars>
  <w:rsids>
    <w:rsidRoot w:val="007968BD"/>
    <w:rsid w:val="00002272"/>
    <w:rsid w:val="00064002"/>
    <w:rsid w:val="000677B9"/>
    <w:rsid w:val="000775DD"/>
    <w:rsid w:val="000831BA"/>
    <w:rsid w:val="000A42CC"/>
    <w:rsid w:val="000A7340"/>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090D"/>
    <w:rsid w:val="00514517"/>
    <w:rsid w:val="00543DBB"/>
    <w:rsid w:val="00545827"/>
    <w:rsid w:val="00560270"/>
    <w:rsid w:val="005C2568"/>
    <w:rsid w:val="005F1B17"/>
    <w:rsid w:val="006037C0"/>
    <w:rsid w:val="00621A80"/>
    <w:rsid w:val="00625B5D"/>
    <w:rsid w:val="006631B6"/>
    <w:rsid w:val="00680577"/>
    <w:rsid w:val="0068356C"/>
    <w:rsid w:val="006F74FA"/>
    <w:rsid w:val="00731ADD"/>
    <w:rsid w:val="00734777"/>
    <w:rsid w:val="00747932"/>
    <w:rsid w:val="00751A4A"/>
    <w:rsid w:val="00756632"/>
    <w:rsid w:val="00762C74"/>
    <w:rsid w:val="00786EC0"/>
    <w:rsid w:val="007968BD"/>
    <w:rsid w:val="007D1690"/>
    <w:rsid w:val="007E22AD"/>
    <w:rsid w:val="00817416"/>
    <w:rsid w:val="00842779"/>
    <w:rsid w:val="00865F67"/>
    <w:rsid w:val="00881A7B"/>
    <w:rsid w:val="008840E5"/>
    <w:rsid w:val="00887B3E"/>
    <w:rsid w:val="008C2AC6"/>
    <w:rsid w:val="00930C23"/>
    <w:rsid w:val="0093193B"/>
    <w:rsid w:val="009411C0"/>
    <w:rsid w:val="009509D8"/>
    <w:rsid w:val="00950B64"/>
    <w:rsid w:val="00981893"/>
    <w:rsid w:val="009C0B87"/>
    <w:rsid w:val="00A1687D"/>
    <w:rsid w:val="00A43E52"/>
    <w:rsid w:val="00A4678D"/>
    <w:rsid w:val="00A778C7"/>
    <w:rsid w:val="00A9379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2154"/>
    <w:rsid w:val="00CF071A"/>
    <w:rsid w:val="00D058B8"/>
    <w:rsid w:val="00D56C11"/>
    <w:rsid w:val="00D834A0"/>
    <w:rsid w:val="00D872DF"/>
    <w:rsid w:val="00D91E21"/>
    <w:rsid w:val="00DA7FCD"/>
    <w:rsid w:val="00E365E1"/>
    <w:rsid w:val="00E472F8"/>
    <w:rsid w:val="00E820A4"/>
    <w:rsid w:val="00EB006A"/>
    <w:rsid w:val="00EB4772"/>
    <w:rsid w:val="00ED169E"/>
    <w:rsid w:val="00ED4235"/>
    <w:rsid w:val="00F04346"/>
    <w:rsid w:val="00F075DC"/>
    <w:rsid w:val="00F149E9"/>
    <w:rsid w:val="00F5134D"/>
    <w:rsid w:val="00F74202"/>
    <w:rsid w:val="00F87713"/>
    <w:rsid w:val="00FA42B9"/>
    <w:rsid w:val="00FB4360"/>
    <w:rsid w:val="00FD0C70"/>
    <w:rsid w:val="00FD688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E8520F"/>
  <w15:chartTrackingRefBased/>
  <w15:docId w15:val="{1BE80312-259B-48A0-82E3-A8F2E8BEA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BVI fnr,Footnote symbol,(Footnote Reference),Footnote,Voetnootverwijzing,Times 10 Point,Exposant 3 Point,Footnote reference number,note TESI, BVI fnr,Footnote symboFußnotenzeichen,Footnote sign,Footnote Reference/,4_G,Nota"/>
    <w:link w:val="CharCharChar1"/>
    <w:uiPriority w:val="99"/>
    <w:rsid w:val="00395FA1"/>
    <w:rPr>
      <w:b w:val="0"/>
      <w:vertAlign w:val="superscript"/>
    </w:rPr>
  </w:style>
  <w:style w:type="paragraph" w:styleId="FootnoteText">
    <w:name w:val="footnote text"/>
    <w:aliases w:val="Fußnotentextf,fn,Schriftart: 9 pt,Schriftart: 10 pt,Schriftart: 8 pt,WB-Fußnotentext,o,Podrozdział,Schriftart: 8 p,Char,Tekst przypisu,WB-Fuﬂnotentext,Voetnoottekst Char,Voetnoottekst Char1,Footnotes,ft,-E Fußnotentext,Fußno,Char1,fr"/>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n Char,Schriftart: 9 pt Char,Schriftart: 10 pt Char,Schriftart: 8 pt Char,WB-Fußnotentext Char,o Char,Podrozdział Char,Schriftart: 8 p Char,Char Char,Tekst przypisu Char,WB-Fuﬂnotentext Char,Voetnoottekst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0A7340"/>
    <w:rPr>
      <w:b/>
    </w:rPr>
  </w:style>
  <w:style w:type="paragraph" w:customStyle="1" w:styleId="AmJustText">
    <w:name w:val="AmJustText"/>
    <w:basedOn w:val="Normal"/>
    <w:rsid w:val="000A7340"/>
    <w:pPr>
      <w:spacing w:after="240"/>
    </w:pPr>
    <w:rPr>
      <w:i/>
    </w:rPr>
  </w:style>
  <w:style w:type="paragraph" w:customStyle="1" w:styleId="NormalHanging12a">
    <w:name w:val="NormalHanging12a"/>
    <w:basedOn w:val="Normal"/>
    <w:rsid w:val="000A7340"/>
    <w:pPr>
      <w:spacing w:after="240"/>
      <w:ind w:left="567" w:hanging="567"/>
    </w:pPr>
  </w:style>
  <w:style w:type="paragraph" w:customStyle="1" w:styleId="AmJustTitle">
    <w:name w:val="AmJustTitle"/>
    <w:basedOn w:val="Normal"/>
    <w:next w:val="AmJustText"/>
    <w:rsid w:val="000A7340"/>
    <w:pPr>
      <w:keepNext/>
      <w:spacing w:before="240" w:after="240"/>
      <w:jc w:val="center"/>
    </w:pPr>
    <w:rPr>
      <w:i/>
    </w:rPr>
  </w:style>
  <w:style w:type="paragraph" w:customStyle="1" w:styleId="AmNumberTabs">
    <w:name w:val="AmNumberTabs"/>
    <w:basedOn w:val="Normal"/>
    <w:rsid w:val="000A734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0A7340"/>
    <w:pPr>
      <w:spacing w:before="480" w:after="240"/>
    </w:pPr>
  </w:style>
  <w:style w:type="character" w:customStyle="1" w:styleId="Normal6Char">
    <w:name w:val="Normal6 Char"/>
    <w:basedOn w:val="DefaultParagraphFont"/>
    <w:link w:val="Normal6"/>
    <w:locked/>
    <w:rsid w:val="000A7340"/>
    <w:rPr>
      <w:sz w:val="24"/>
      <w:lang w:val="hu-HU"/>
    </w:rPr>
  </w:style>
  <w:style w:type="paragraph" w:customStyle="1" w:styleId="Normal6">
    <w:name w:val="Normal6"/>
    <w:basedOn w:val="Normal"/>
    <w:link w:val="Normal6Char"/>
    <w:rsid w:val="000A7340"/>
    <w:pPr>
      <w:spacing w:after="120"/>
    </w:pPr>
  </w:style>
  <w:style w:type="character" w:customStyle="1" w:styleId="NormalBoldChar">
    <w:name w:val="NormalBold Char"/>
    <w:basedOn w:val="DefaultParagraphFont"/>
    <w:link w:val="NormalBold"/>
    <w:locked/>
    <w:rsid w:val="000A7340"/>
    <w:rPr>
      <w:b/>
      <w:sz w:val="24"/>
      <w:lang w:val="hu-HU"/>
    </w:rPr>
  </w:style>
  <w:style w:type="paragraph" w:customStyle="1" w:styleId="ColumnHeading">
    <w:name w:val="ColumnHeading"/>
    <w:basedOn w:val="Normal"/>
    <w:rsid w:val="000A7340"/>
    <w:pPr>
      <w:spacing w:after="240"/>
      <w:jc w:val="center"/>
    </w:pPr>
    <w:rPr>
      <w:i/>
    </w:rPr>
  </w:style>
  <w:style w:type="character" w:styleId="Hyperlink">
    <w:name w:val="Hyperlink"/>
    <w:basedOn w:val="DefaultParagraphFont"/>
    <w:uiPriority w:val="99"/>
    <w:rsid w:val="000A7340"/>
    <w:rPr>
      <w:color w:val="0563C1" w:themeColor="hyperlink"/>
      <w:u w:val="single"/>
    </w:rPr>
  </w:style>
  <w:style w:type="paragraph" w:styleId="Revision">
    <w:name w:val="Revision"/>
    <w:hidden/>
    <w:uiPriority w:val="99"/>
    <w:semiHidden/>
    <w:rsid w:val="00CD2154"/>
    <w:rPr>
      <w:sz w:val="24"/>
      <w:lang w:val="hu-HU"/>
    </w:rPr>
  </w:style>
  <w:style w:type="paragraph" w:customStyle="1" w:styleId="NormalCenter12a">
    <w:name w:val="NormalCenter12a"/>
    <w:basedOn w:val="Normal"/>
    <w:rsid w:val="00FA42B9"/>
    <w:pPr>
      <w:spacing w:after="240"/>
      <w:jc w:val="center"/>
    </w:pPr>
  </w:style>
  <w:style w:type="paragraph" w:customStyle="1" w:styleId="AmHeadingConsam">
    <w:name w:val="AmHeadingConsam"/>
    <w:basedOn w:val="Normal"/>
    <w:next w:val="NormalCenter12a"/>
    <w:rsid w:val="00FA42B9"/>
    <w:pPr>
      <w:spacing w:before="720" w:after="240"/>
      <w:jc w:val="center"/>
    </w:pPr>
  </w:style>
  <w:style w:type="paragraph" w:customStyle="1" w:styleId="CharCharChar1">
    <w:name w:val="Char Char Char1"/>
    <w:basedOn w:val="Normal"/>
    <w:link w:val="FootnoteReference"/>
    <w:uiPriority w:val="99"/>
    <w:rsid w:val="00FA42B9"/>
    <w:pPr>
      <w:widowControl/>
      <w:spacing w:after="160" w:line="240" w:lineRule="exact"/>
      <w:jc w:val="both"/>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02/309(3)/oj" TargetMode="External"/><Relationship Id="rId2" Type="http://schemas.openxmlformats.org/officeDocument/2006/relationships/hyperlink" Target="http://data.europa.eu/eli/C/2026/1970/oj" TargetMode="External"/><Relationship Id="rId1" Type="http://schemas.openxmlformats.org/officeDocument/2006/relationships/hyperlink" Target="http://data.europa.eu/eli/C/2026/1970/oj" TargetMode="External"/><Relationship Id="rId4"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1010</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2026-07-07T10:48:00Z</dcterms:created>
  <dcterms:modified xsi:type="dcterms:W3CDTF">2026-07-07T10:48:00Z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P10_TA-PROV(2026)0241_A10-0174_2026_HU_net_</vt:lpwstr>
  </property>
  <property fmtid="{D5CDD505-2E9C-101B-9397-08002B2CF9AE}" pid="4" name="&lt;Type&gt;">
    <vt:lpwstr>RR</vt:lpwstr>
  </property>
</Properties>
</file>