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6199" w14:paraId="5416C6DA" w14:textId="77777777" w:rsidTr="0010095E">
        <w:trPr>
          <w:trHeight w:hRule="exact" w:val="1418"/>
        </w:trPr>
        <w:tc>
          <w:tcPr>
            <w:tcW w:w="6804" w:type="dxa"/>
            <w:shd w:val="clear" w:color="auto" w:fill="auto"/>
            <w:vAlign w:val="center"/>
          </w:tcPr>
          <w:p w14:paraId="2390E39B" w14:textId="77777777" w:rsidR="00751A4A" w:rsidRPr="005C6199" w:rsidRDefault="00503783" w:rsidP="0010095E">
            <w:pPr>
              <w:pStyle w:val="EPName"/>
            </w:pPr>
            <w:r w:rsidRPr="005C6199">
              <w:t>Eiropas Parlaments</w:t>
            </w:r>
          </w:p>
          <w:p w14:paraId="08787054" w14:textId="77777777" w:rsidR="00751A4A" w:rsidRPr="005C6199" w:rsidRDefault="005F1B17" w:rsidP="005F1B17">
            <w:pPr>
              <w:pStyle w:val="EPTerm"/>
              <w:rPr>
                <w:rStyle w:val="HideTWBExt"/>
                <w:noProof w:val="0"/>
                <w:vanish w:val="0"/>
                <w:color w:val="auto"/>
              </w:rPr>
            </w:pPr>
            <w:r w:rsidRPr="005C6199">
              <w:t>2024</w:t>
            </w:r>
            <w:r w:rsidR="00817416" w:rsidRPr="005C6199">
              <w:t>-202</w:t>
            </w:r>
            <w:r w:rsidRPr="005C6199">
              <w:t>9</w:t>
            </w:r>
          </w:p>
        </w:tc>
        <w:tc>
          <w:tcPr>
            <w:tcW w:w="2268" w:type="dxa"/>
            <w:shd w:val="clear" w:color="auto" w:fill="auto"/>
          </w:tcPr>
          <w:p w14:paraId="0F79F0C7" w14:textId="77777777" w:rsidR="00751A4A" w:rsidRPr="005C6199" w:rsidRDefault="00187494" w:rsidP="0010095E">
            <w:pPr>
              <w:pStyle w:val="EPLogo"/>
            </w:pPr>
            <w:r w:rsidRPr="005C6199">
              <w:rPr>
                <w:noProof/>
                <w:lang w:eastAsia="ja-JP"/>
              </w:rPr>
              <w:drawing>
                <wp:inline distT="0" distB="0" distL="0" distR="0" wp14:anchorId="79AC2B50" wp14:editId="5D06A1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D77AC1" w14:textId="77777777" w:rsidR="00D058B8" w:rsidRPr="005C6199" w:rsidRDefault="00D058B8" w:rsidP="004C5D52">
      <w:pPr>
        <w:pStyle w:val="LineTop"/>
      </w:pPr>
    </w:p>
    <w:p w14:paraId="4D8D049F" w14:textId="77777777" w:rsidR="00680577" w:rsidRPr="005C6199" w:rsidRDefault="00503783" w:rsidP="00680577">
      <w:pPr>
        <w:pStyle w:val="EPBodyTA1"/>
      </w:pPr>
      <w:r w:rsidRPr="005C6199">
        <w:t>PIEŅEMTIE TEKSTI</w:t>
      </w:r>
    </w:p>
    <w:p w14:paraId="35F71EAE" w14:textId="77777777" w:rsidR="00D058B8" w:rsidRPr="005C6199" w:rsidRDefault="00D058B8" w:rsidP="00D058B8">
      <w:pPr>
        <w:pStyle w:val="LineBottom"/>
      </w:pPr>
    </w:p>
    <w:p w14:paraId="6460C7A9" w14:textId="5675B532" w:rsidR="00503783" w:rsidRPr="005C6199" w:rsidRDefault="00503783" w:rsidP="00503783">
      <w:pPr>
        <w:pStyle w:val="ATHeading1"/>
      </w:pPr>
      <w:bookmarkStart w:id="0" w:name="TANumber"/>
      <w:r w:rsidRPr="005C6199">
        <w:t>P10_TA(2026)0</w:t>
      </w:r>
      <w:r w:rsidR="005C6199" w:rsidRPr="005C6199">
        <w:t>241</w:t>
      </w:r>
      <w:bookmarkEnd w:id="0"/>
    </w:p>
    <w:p w14:paraId="6FD87F0D" w14:textId="6077678A" w:rsidR="00503783" w:rsidRPr="005C6199" w:rsidRDefault="000E59C3" w:rsidP="000E59C3">
      <w:pPr>
        <w:pStyle w:val="ATHeading2"/>
      </w:pPr>
      <w:bookmarkStart w:id="1" w:name="title"/>
      <w:r w:rsidRPr="005C6199">
        <w:t>Starptautiski pasažieru autopārvadājumu pakalpojumi ar autobusiem pierobežas reģionos: kabotāžas pārvadājumi starp Austriju un Šveici</w:t>
      </w:r>
      <w:bookmarkEnd w:id="1"/>
    </w:p>
    <w:p w14:paraId="5F8EFBB3" w14:textId="77777777" w:rsidR="00503783" w:rsidRPr="005C6199" w:rsidRDefault="00503783" w:rsidP="00503783">
      <w:pPr>
        <w:rPr>
          <w:i/>
          <w:vanish/>
        </w:rPr>
      </w:pPr>
      <w:r w:rsidRPr="005C6199">
        <w:rPr>
          <w:i/>
        </w:rPr>
        <w:fldChar w:fldCharType="begin"/>
      </w:r>
      <w:r w:rsidRPr="005C6199">
        <w:rPr>
          <w:i/>
        </w:rPr>
        <w:instrText xml:space="preserve"> TC"(</w:instrText>
      </w:r>
      <w:bookmarkStart w:id="2" w:name="DocNumber"/>
      <w:r w:rsidRPr="005C6199">
        <w:rPr>
          <w:i/>
        </w:rPr>
        <w:instrText>A10-0174/2026</w:instrText>
      </w:r>
      <w:bookmarkEnd w:id="2"/>
      <w:r w:rsidRPr="005C6199">
        <w:rPr>
          <w:i/>
        </w:rPr>
        <w:instrText xml:space="preserve"> - Referente: Elissavet Vozemberg-Vrionidi)"\l3 \n&gt; \* MERGEFORMAT </w:instrText>
      </w:r>
      <w:r w:rsidRPr="005C6199">
        <w:rPr>
          <w:i/>
        </w:rPr>
        <w:fldChar w:fldCharType="end"/>
      </w:r>
    </w:p>
    <w:p w14:paraId="0B5AE41D" w14:textId="77777777" w:rsidR="00503783" w:rsidRPr="005C6199" w:rsidRDefault="00503783" w:rsidP="00503783">
      <w:pPr>
        <w:rPr>
          <w:vanish/>
        </w:rPr>
      </w:pPr>
      <w:bookmarkStart w:id="3" w:name="Commission"/>
      <w:r w:rsidRPr="005C6199">
        <w:rPr>
          <w:vanish/>
        </w:rPr>
        <w:t>Transporta un tūrisma komiteja</w:t>
      </w:r>
      <w:bookmarkEnd w:id="3"/>
    </w:p>
    <w:p w14:paraId="38EDD718" w14:textId="77777777" w:rsidR="00503783" w:rsidRPr="005C6199" w:rsidRDefault="00503783" w:rsidP="00503783">
      <w:pPr>
        <w:rPr>
          <w:vanish/>
        </w:rPr>
      </w:pPr>
      <w:bookmarkStart w:id="4" w:name="PE"/>
      <w:r w:rsidRPr="005C6199">
        <w:rPr>
          <w:vanish/>
        </w:rPr>
        <w:t>PE785.404</w:t>
      </w:r>
      <w:bookmarkEnd w:id="4"/>
    </w:p>
    <w:p w14:paraId="17619427" w14:textId="5B052261" w:rsidR="00503783" w:rsidRPr="005C6199" w:rsidRDefault="00503783" w:rsidP="00503783">
      <w:pPr>
        <w:pStyle w:val="ATHeading3"/>
      </w:pPr>
      <w:bookmarkStart w:id="5" w:name="Sujet"/>
      <w:r w:rsidRPr="005C6199">
        <w:t xml:space="preserve">Eiropas Parlamenta 2026. gada </w:t>
      </w:r>
      <w:r w:rsidR="00972C4B" w:rsidRPr="005C6199">
        <w:t>7</w:t>
      </w:r>
      <w:r w:rsidR="0074529C" w:rsidRPr="005C6199">
        <w:t>. jūlija</w:t>
      </w:r>
      <w:r w:rsidRPr="005C6199">
        <w:t xml:space="preserve"> normatīvā rezolūcija par priekšlikumu Eiropas Parlamenta un Padomes lēmumam, ar ko Austriju pilnvaro grozīt tās spēkā esošo divpusējo autotransporta nolīgumu ar Šveici, lai atļautu kabotāžas pārvadājumus, kad pierobežas reģionos starp abām valstīm tiek sniegti starptautiski pasažieru autopārvadājumu pakalpojumi ar autobusiem</w:t>
      </w:r>
      <w:bookmarkEnd w:id="5"/>
      <w:r w:rsidRPr="005C6199">
        <w:t xml:space="preserve"> </w:t>
      </w:r>
      <w:bookmarkStart w:id="6" w:name="References"/>
      <w:r w:rsidRPr="005C6199">
        <w:t>(COM(2025)0773 – C10-0367/2025 – 2025/0407(COD))</w:t>
      </w:r>
      <w:bookmarkEnd w:id="6"/>
    </w:p>
    <w:p w14:paraId="327E1910" w14:textId="77777777" w:rsidR="007A3971" w:rsidRPr="005C6199" w:rsidRDefault="007A3971" w:rsidP="007A3971">
      <w:pPr>
        <w:pStyle w:val="NormalBold12a"/>
      </w:pPr>
      <w:r w:rsidRPr="005C6199">
        <w:t>(Parastā likumdošanas procedūra: pirmais lasījums)</w:t>
      </w:r>
    </w:p>
    <w:p w14:paraId="2A9443F2" w14:textId="77777777" w:rsidR="007A3971" w:rsidRPr="005C6199" w:rsidRDefault="007A3971" w:rsidP="007A3971">
      <w:pPr>
        <w:pStyle w:val="EPComma"/>
      </w:pPr>
      <w:r w:rsidRPr="005C6199">
        <w:rPr>
          <w:i/>
        </w:rPr>
        <w:t>Eiropas Parlaments,</w:t>
      </w:r>
    </w:p>
    <w:p w14:paraId="14FF592F" w14:textId="77777777" w:rsidR="007A3971" w:rsidRPr="005C6199" w:rsidRDefault="007A3971" w:rsidP="007A3971">
      <w:pPr>
        <w:pStyle w:val="NormalHanging12a"/>
      </w:pPr>
      <w:r w:rsidRPr="005C6199">
        <w:t>–</w:t>
      </w:r>
      <w:r w:rsidRPr="005C6199">
        <w:tab/>
        <w:t>ņemot vērā Komisijas priekšlikumu Eiropas Parlamentam un Padomei (COM(2025)0773),</w:t>
      </w:r>
    </w:p>
    <w:p w14:paraId="230D1161" w14:textId="58D2D02F" w:rsidR="007A3971" w:rsidRPr="005C6199" w:rsidRDefault="007A3971" w:rsidP="007A3971">
      <w:pPr>
        <w:pStyle w:val="NormalHanging12a"/>
      </w:pPr>
      <w:r w:rsidRPr="005C6199">
        <w:t>–</w:t>
      </w:r>
      <w:r w:rsidRPr="005C6199">
        <w:tab/>
        <w:t>ņemot vērā Līguma par Eiropas Savienības darbību 294. panta 2. punktu, 2. panta 1.</w:t>
      </w:r>
      <w:r w:rsidR="001D231A" w:rsidRPr="005C6199">
        <w:t> </w:t>
      </w:r>
      <w:r w:rsidRPr="005C6199">
        <w:t>punktu un 91. pantu, saskaņā ar kuriem Komisija tam ir iesniegusi priekšlikumu (C10</w:t>
      </w:r>
      <w:r w:rsidRPr="005C6199">
        <w:noBreakHyphen/>
        <w:t>0367/2025),</w:t>
      </w:r>
    </w:p>
    <w:p w14:paraId="47607DA5" w14:textId="77777777" w:rsidR="007A3971" w:rsidRPr="005C6199" w:rsidRDefault="007A3971" w:rsidP="007A3971">
      <w:pPr>
        <w:pStyle w:val="NormalHanging12a"/>
      </w:pPr>
      <w:r w:rsidRPr="005C6199">
        <w:t>–</w:t>
      </w:r>
      <w:r w:rsidRPr="005C6199">
        <w:tab/>
        <w:t>ņemot vērā Līguma par Eiropas Savienības darbību 294. panta 3. punktu,</w:t>
      </w:r>
    </w:p>
    <w:p w14:paraId="351E27D8" w14:textId="0E843967" w:rsidR="00972C4B" w:rsidRPr="005C6199" w:rsidRDefault="00972C4B" w:rsidP="00972C4B">
      <w:pPr>
        <w:spacing w:after="240"/>
        <w:ind w:left="567" w:hanging="567"/>
      </w:pPr>
      <w:r w:rsidRPr="005C6199">
        <w:t>–</w:t>
      </w:r>
      <w:r w:rsidRPr="005C6199">
        <w:tab/>
        <w:t>ņemot vērā 2026. gada 10. jūnija vēstulē Padomes pārstāvja pausto apņemšanos apstiprināt Eiropas Parlamenta nostāju saskaņā ar Līguma par Eiropas Savienības darbību 294. panta 4. punktu,</w:t>
      </w:r>
    </w:p>
    <w:p w14:paraId="5BC100C0" w14:textId="77777777" w:rsidR="007A3971" w:rsidRPr="005C6199" w:rsidRDefault="007A3971" w:rsidP="007A3971">
      <w:pPr>
        <w:pStyle w:val="NormalHanging12a"/>
      </w:pPr>
      <w:r w:rsidRPr="005C6199">
        <w:t>–</w:t>
      </w:r>
      <w:r w:rsidRPr="005C6199">
        <w:tab/>
        <w:t>ņemot vērā Juridiskās komitejas atzinumu par ierosināto juridisko pamatu,</w:t>
      </w:r>
    </w:p>
    <w:p w14:paraId="1646AF7A" w14:textId="77777777" w:rsidR="007A3971" w:rsidRPr="005C6199" w:rsidRDefault="007A3971" w:rsidP="007A3971">
      <w:pPr>
        <w:pStyle w:val="NormalHanging12a"/>
      </w:pPr>
      <w:r w:rsidRPr="005C6199">
        <w:t>–</w:t>
      </w:r>
      <w:r w:rsidRPr="005C6199">
        <w:tab/>
        <w:t>ņemot vērā Eiropas Ekonomikas un sociālo lietu komitejas 2026. gada 21. janvāra atzinumu</w:t>
      </w:r>
      <w:r w:rsidRPr="005C6199">
        <w:rPr>
          <w:vertAlign w:val="superscript"/>
        </w:rPr>
        <w:footnoteReference w:id="1"/>
      </w:r>
      <w:r w:rsidRPr="005C6199">
        <w:t>,</w:t>
      </w:r>
    </w:p>
    <w:p w14:paraId="30C69A1D" w14:textId="77777777" w:rsidR="007A3971" w:rsidRPr="005C6199" w:rsidRDefault="007A3971" w:rsidP="007A3971">
      <w:pPr>
        <w:pStyle w:val="NormalHanging12a"/>
      </w:pPr>
      <w:r w:rsidRPr="005C6199">
        <w:t>–</w:t>
      </w:r>
      <w:r w:rsidRPr="005C6199">
        <w:tab/>
        <w:t>apspriedies ar Reģionu komiteju,</w:t>
      </w:r>
    </w:p>
    <w:p w14:paraId="4E130641" w14:textId="77777777" w:rsidR="007A3971" w:rsidRPr="005C6199" w:rsidRDefault="007A3971" w:rsidP="007A3971">
      <w:pPr>
        <w:pStyle w:val="NormalHanging12a"/>
      </w:pPr>
      <w:r w:rsidRPr="005C6199">
        <w:lastRenderedPageBreak/>
        <w:t>–</w:t>
      </w:r>
      <w:r w:rsidRPr="005C6199">
        <w:tab/>
        <w:t>ņemot vērā Reglamenta 60. un 41. pantu,</w:t>
      </w:r>
    </w:p>
    <w:p w14:paraId="4AE3BC89" w14:textId="77777777" w:rsidR="007A3971" w:rsidRPr="005C6199" w:rsidRDefault="007A3971" w:rsidP="007A3971">
      <w:pPr>
        <w:pStyle w:val="NormalHanging12a"/>
      </w:pPr>
      <w:r w:rsidRPr="005C6199">
        <w:t>–</w:t>
      </w:r>
      <w:r w:rsidRPr="005C6199">
        <w:tab/>
        <w:t>ņemot vērā Transporta un tūrisma komitejas ziņojumu (A10-0174/2026),</w:t>
      </w:r>
    </w:p>
    <w:p w14:paraId="1DC4B434" w14:textId="77777777" w:rsidR="007A3971" w:rsidRPr="005C6199" w:rsidRDefault="007A3971" w:rsidP="007A3971">
      <w:pPr>
        <w:pStyle w:val="NormalHanging12a"/>
      </w:pPr>
      <w:r w:rsidRPr="005C6199">
        <w:t>1.</w:t>
      </w:r>
      <w:r w:rsidRPr="005C6199">
        <w:tab/>
        <w:t>pieņem pirmajā lasījumā turpmāk izklāstīto nostāju;</w:t>
      </w:r>
    </w:p>
    <w:p w14:paraId="0295D3A5" w14:textId="277C0FE5" w:rsidR="001A71F9" w:rsidRPr="005C6199" w:rsidRDefault="007A3971" w:rsidP="007A3971">
      <w:pPr>
        <w:pStyle w:val="NormalHanging12a"/>
        <w:sectPr w:rsidR="001A71F9" w:rsidRPr="005C6199" w:rsidSect="003D17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C6199">
        <w:t>2.</w:t>
      </w:r>
      <w:r w:rsidRPr="005C6199">
        <w:tab/>
        <w:t>uzdod priekšsēdētājai Parlamenta nostāju nosūtīt Padomei, Komisijai</w:t>
      </w:r>
      <w:r w:rsidR="00972C4B" w:rsidRPr="005C6199">
        <w:t xml:space="preserve">, kā arī </w:t>
      </w:r>
      <w:r w:rsidRPr="005C6199">
        <w:t>dalībvalstu parlamentiem.</w:t>
      </w:r>
    </w:p>
    <w:p w14:paraId="7F19BEC1" w14:textId="2EE6177A" w:rsidR="00972C4B" w:rsidRPr="005C6199" w:rsidRDefault="00972C4B" w:rsidP="00972C4B">
      <w:pPr>
        <w:pStyle w:val="Normal12Hanging"/>
        <w:tabs>
          <w:tab w:val="left" w:pos="357"/>
        </w:tabs>
        <w:rPr>
          <w:b/>
        </w:rPr>
      </w:pPr>
      <w:r w:rsidRPr="005C6199">
        <w:rPr>
          <w:b/>
        </w:rPr>
        <w:lastRenderedPageBreak/>
        <w:t>P10_TC1-COD(2025)0407</w:t>
      </w:r>
    </w:p>
    <w:p w14:paraId="0F6FB8EF" w14:textId="49E8A2BE" w:rsidR="00972C4B" w:rsidRPr="005C6199" w:rsidRDefault="00972C4B" w:rsidP="00972C4B">
      <w:pPr>
        <w:pStyle w:val="AmNumberTabs"/>
        <w:rPr>
          <w:rFonts w:eastAsia="Calibri"/>
          <w:b w:val="0"/>
          <w:bCs/>
          <w:szCs w:val="22"/>
          <w:lang w:eastAsia="en-US"/>
        </w:rPr>
      </w:pPr>
      <w:r w:rsidRPr="005C6199">
        <w:t xml:space="preserve">Eiropas Parlamenta nostāja, pieņemta pirmajā lasījumā 2026. gada 7. jūlijā, lai pieņemtu Eiropas Parlamenta un Padomes Regulu (ES) 2026/..., </w:t>
      </w:r>
      <w:r w:rsidRPr="005C6199">
        <w:rPr>
          <w:rFonts w:eastAsia="Calibri"/>
          <w:bCs/>
          <w:szCs w:val="22"/>
          <w:lang w:eastAsia="en-US"/>
        </w:rPr>
        <w:t xml:space="preserve">ar ko Austriju pilnvaro grozīt tās divpusējo autotransporta nolīgumu ar Šveici, lai atļautu kabotāžas pārvadājumus, kad tiek sniegti starptautiski pasažieru pārvadājumu pakalpojumi ar autobusiem pierobežas reģionos starp abām valstīm </w:t>
      </w:r>
    </w:p>
    <w:p w14:paraId="4C166764" w14:textId="77777777" w:rsidR="00972C4B" w:rsidRPr="005C6199" w:rsidRDefault="00972C4B" w:rsidP="00972C4B">
      <w:pPr>
        <w:widowControl/>
        <w:spacing w:before="60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EIROPAS </w:t>
      </w:r>
      <w:r w:rsidRPr="005C6199">
        <w:rPr>
          <w:rFonts w:eastAsia="Calibri"/>
          <w:szCs w:val="22"/>
          <w:lang w:eastAsia="en-US"/>
        </w:rPr>
        <w:t>PARLAMENTS</w:t>
      </w:r>
      <w:r w:rsidRPr="005C6199">
        <w:rPr>
          <w:rFonts w:eastAsia="Calibri" w:cs="Arial"/>
          <w:kern w:val="2"/>
          <w:szCs w:val="22"/>
          <w:lang w:eastAsia="en-US"/>
          <w14:ligatures w14:val="standardContextual"/>
        </w:rPr>
        <w:t xml:space="preserve"> UN EIROPAS SAVIENĪBAS PADOME,</w:t>
      </w:r>
    </w:p>
    <w:p w14:paraId="12893482"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ņemot vērā </w:t>
      </w:r>
      <w:r w:rsidRPr="005C6199">
        <w:rPr>
          <w:rFonts w:eastAsia="Calibri"/>
          <w:szCs w:val="22"/>
          <w:lang w:eastAsia="en-US"/>
        </w:rPr>
        <w:t>Līgumu</w:t>
      </w:r>
      <w:r w:rsidRPr="005C6199">
        <w:rPr>
          <w:rFonts w:eastAsia="Calibri" w:cs="Arial"/>
          <w:kern w:val="2"/>
          <w:szCs w:val="22"/>
          <w:lang w:eastAsia="en-US"/>
          <w14:ligatures w14:val="standardContextual"/>
        </w:rPr>
        <w:t xml:space="preserve"> par Eiropas Savienības darbību un jo īpaši tā 91. pantu,</w:t>
      </w:r>
    </w:p>
    <w:p w14:paraId="34B01626"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ņemot vērā Eiropas Komisijas priekšlikumu,</w:t>
      </w:r>
    </w:p>
    <w:p w14:paraId="624E8F1D"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pēc </w:t>
      </w:r>
      <w:r w:rsidRPr="005C6199">
        <w:rPr>
          <w:rFonts w:eastAsia="Calibri"/>
          <w:szCs w:val="22"/>
          <w:lang w:eastAsia="en-US"/>
        </w:rPr>
        <w:t>leģislatīvā</w:t>
      </w:r>
      <w:r w:rsidRPr="005C6199">
        <w:rPr>
          <w:rFonts w:eastAsia="Calibri" w:cs="Arial"/>
          <w:kern w:val="2"/>
          <w:szCs w:val="22"/>
          <w:lang w:eastAsia="en-US"/>
          <w14:ligatures w14:val="standardContextual"/>
        </w:rPr>
        <w:t xml:space="preserve"> akta projekta nosūtīšanas valstu parlamentiem,</w:t>
      </w:r>
    </w:p>
    <w:p w14:paraId="7AD5272B"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ņemot vērā Eiropas Ekonomikas un sociālo lietu komitejas atzinumu</w:t>
      </w:r>
      <w:r w:rsidRPr="005C6199">
        <w:rPr>
          <w:rFonts w:eastAsia="Calibri" w:cs="Arial"/>
          <w:kern w:val="2"/>
          <w:szCs w:val="22"/>
          <w:vertAlign w:val="superscript"/>
          <w:lang w:eastAsia="en-US"/>
          <w14:ligatures w14:val="standardContextual"/>
        </w:rPr>
        <w:footnoteReference w:id="2"/>
      </w:r>
      <w:r w:rsidRPr="005C6199">
        <w:rPr>
          <w:rFonts w:eastAsia="Calibri" w:cs="Arial"/>
          <w:kern w:val="2"/>
          <w:szCs w:val="22"/>
          <w:lang w:eastAsia="en-US"/>
          <w14:ligatures w14:val="standardContextual"/>
        </w:rPr>
        <w:t>,</w:t>
      </w:r>
    </w:p>
    <w:p w14:paraId="5E4CA271"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pēc apspriešanās ar Reģionu komiteju,</w:t>
      </w:r>
    </w:p>
    <w:p w14:paraId="3D00B2C6"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saskaņā ar </w:t>
      </w:r>
      <w:r w:rsidRPr="005C6199">
        <w:rPr>
          <w:rFonts w:eastAsia="Calibri"/>
          <w:szCs w:val="22"/>
          <w:lang w:eastAsia="en-US"/>
        </w:rPr>
        <w:t>parasto</w:t>
      </w:r>
      <w:r w:rsidRPr="005C6199">
        <w:rPr>
          <w:rFonts w:eastAsia="Calibri" w:cs="Arial"/>
          <w:kern w:val="2"/>
          <w:szCs w:val="22"/>
          <w:lang w:eastAsia="en-US"/>
          <w14:ligatures w14:val="standardContextual"/>
        </w:rPr>
        <w:t xml:space="preserve"> likumdošanas procedūru</w:t>
      </w:r>
      <w:r w:rsidRPr="005C6199">
        <w:rPr>
          <w:rFonts w:eastAsia="Calibri" w:cs="Arial"/>
          <w:kern w:val="2"/>
          <w:szCs w:val="22"/>
          <w:vertAlign w:val="superscript"/>
          <w:lang w:eastAsia="en-US"/>
          <w14:ligatures w14:val="standardContextual"/>
        </w:rPr>
        <w:footnoteReference w:id="3"/>
      </w:r>
      <w:r w:rsidRPr="005C6199">
        <w:rPr>
          <w:rFonts w:eastAsia="Calibri" w:cs="Arial"/>
          <w:kern w:val="2"/>
          <w:szCs w:val="22"/>
          <w:lang w:eastAsia="en-US"/>
          <w14:ligatures w14:val="standardContextual"/>
        </w:rPr>
        <w:t>,</w:t>
      </w:r>
    </w:p>
    <w:p w14:paraId="5ED73B15" w14:textId="77777777" w:rsidR="00972C4B" w:rsidRPr="005C6199" w:rsidRDefault="00972C4B" w:rsidP="00972C4B">
      <w:pPr>
        <w:widowControl/>
        <w:spacing w:after="200" w:line="276"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br w:type="page"/>
      </w:r>
    </w:p>
    <w:p w14:paraId="020276B7"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lastRenderedPageBreak/>
        <w:t>tā kā:</w:t>
      </w:r>
    </w:p>
    <w:p w14:paraId="3390F50A" w14:textId="77777777" w:rsidR="00972C4B" w:rsidRPr="005C6199" w:rsidRDefault="00972C4B" w:rsidP="00972C4B">
      <w:pPr>
        <w:widowControl/>
        <w:spacing w:before="120" w:after="120" w:line="360" w:lineRule="auto"/>
        <w:ind w:left="851" w:hanging="851"/>
        <w:rPr>
          <w:rFonts w:eastAsia="Calibri"/>
          <w:szCs w:val="22"/>
          <w:lang w:eastAsia="en-US"/>
        </w:rPr>
      </w:pPr>
      <w:bookmarkStart w:id="7" w:name="_Hlk211264391"/>
      <w:r w:rsidRPr="005C6199">
        <w:rPr>
          <w:rFonts w:eastAsia="Calibri"/>
          <w:szCs w:val="22"/>
          <w:lang w:eastAsia="en-US"/>
        </w:rPr>
        <w:t>(1)</w:t>
      </w:r>
      <w:r w:rsidRPr="005C6199">
        <w:rPr>
          <w:rFonts w:eastAsia="Calibri"/>
          <w:szCs w:val="22"/>
          <w:lang w:eastAsia="en-US"/>
        </w:rPr>
        <w:tab/>
        <w:t>Saskaņā ar Nolīguma starp Eiropas Savienību un Šveices Konfederāciju par preču un pasažieru dzelzceļa un autotransporta pārvadājumiem</w:t>
      </w:r>
      <w:r w:rsidRPr="005C6199">
        <w:rPr>
          <w:rFonts w:eastAsia="Calibri"/>
          <w:szCs w:val="22"/>
          <w:vertAlign w:val="superscript"/>
          <w:lang w:eastAsia="en-US"/>
        </w:rPr>
        <w:footnoteReference w:id="4"/>
      </w:r>
      <w:r w:rsidRPr="005C6199">
        <w:rPr>
          <w:rFonts w:eastAsia="Calibri"/>
          <w:szCs w:val="22"/>
          <w:lang w:eastAsia="en-US"/>
        </w:rPr>
        <w:t xml:space="preserve"> (“ES un Šveices nolīgums”) 20. panta 1. punktu pasažieru pārvadājumi ar autobusiem starp divām vietām, kas atrodas vienas ES un Šveices nolīguma Līgumslēdzējas puses teritorijā, pārvadātājiem, kas iedibināti otras Līgumslēdzējas puses teritorijā, t. s. “kabotāža”, nav atļauti.</w:t>
      </w:r>
    </w:p>
    <w:p w14:paraId="5B156111"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(2)</w:t>
      </w:r>
      <w:r w:rsidRPr="005C6199">
        <w:rPr>
          <w:rFonts w:eastAsia="Calibri"/>
          <w:szCs w:val="22"/>
          <w:lang w:eastAsia="en-US"/>
        </w:rPr>
        <w:tab/>
        <w:t xml:space="preserve">Saskaņā ar ES un Šveices nolīguma 20. panta 2. punktu esošās kabotāžas tiesības, kas noteiktas divpusējos nolīgumos, kuri noslēgti starp dalībvalstīm un Šveici un bija spēkā brīdī, kad 1999. gada 21. jūnijā tika noslēgts ES un Šveices nolīgums, var turpināt izmantot, ar noteikumu, ka nenotiek diskriminācija starp Savienībā iedibinātiem pārvadātājiem un netiek traucēta konkurence. 1958. gada 22. oktobra divpusējais autotransporta nolīgums starp Austriju un Šveici </w:t>
      </w:r>
      <w:r w:rsidRPr="005C6199">
        <w:rPr>
          <w:rFonts w:eastAsia="Calibri"/>
          <w:b/>
          <w:bCs/>
          <w:szCs w:val="22"/>
          <w:vertAlign w:val="superscript"/>
          <w:lang w:eastAsia="en-US"/>
        </w:rPr>
        <w:footnoteReference w:id="5"/>
      </w:r>
      <w:r w:rsidRPr="005C6199">
        <w:rPr>
          <w:rFonts w:eastAsia="Calibri"/>
          <w:szCs w:val="22"/>
          <w:lang w:eastAsia="en-US"/>
        </w:rPr>
        <w:t xml:space="preserve"> (“Austrijas un Šveices nolīgums”) neatļauj kabotāžas pārvadājumus, kad tiek sniegti starptautiski pasažieru pārvadājumu pakalpojumi ar autobusiem starp abām valstīm. Tāpēc tiesības veikt šādus pārvadājumus nav starp tām tiesībām, kas noteiktas ES un Šveices nolīguma 20. panta 2. punktā.</w:t>
      </w:r>
    </w:p>
    <w:p w14:paraId="5E39B140" w14:textId="77777777" w:rsidR="00972C4B" w:rsidRPr="005C6199" w:rsidRDefault="00972C4B" w:rsidP="00972C4B">
      <w:pPr>
        <w:widowControl/>
        <w:spacing w:after="200" w:line="276" w:lineRule="auto"/>
        <w:rPr>
          <w:rFonts w:eastAsia="Calibri"/>
          <w:szCs w:val="22"/>
          <w:lang w:eastAsia="en-US"/>
        </w:rPr>
      </w:pPr>
      <w:r w:rsidRPr="005C6199">
        <w:rPr>
          <w:rFonts w:eastAsia="Calibri" w:cs="Arial"/>
          <w:kern w:val="2"/>
          <w:szCs w:val="22"/>
          <w:lang w:eastAsia="en-US"/>
          <w14:ligatures w14:val="standardContextual"/>
        </w:rPr>
        <w:br w:type="page"/>
      </w:r>
    </w:p>
    <w:p w14:paraId="6651C98D"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lastRenderedPageBreak/>
        <w:t>(3)</w:t>
      </w:r>
      <w:r w:rsidRPr="005C6199">
        <w:rPr>
          <w:rFonts w:eastAsia="Calibri"/>
          <w:szCs w:val="22"/>
          <w:lang w:eastAsia="en-US"/>
        </w:rPr>
        <w:tab/>
        <w:t>Starptautiskās saistības, kas ļauj Šveicē iedibinātiem pārvadātājiem veikt kabotāžas pārvadājumus Savienībā, var ietekmēt ES un Šveices nolīguma 20. pantu, jo minētais pants neatļauj šādus pārvadājumus.</w:t>
      </w:r>
    </w:p>
    <w:p w14:paraId="6AAE163D"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(4)</w:t>
      </w:r>
      <w:r w:rsidRPr="005C6199">
        <w:rPr>
          <w:rFonts w:eastAsia="Calibri"/>
          <w:szCs w:val="22"/>
          <w:lang w:eastAsia="en-US"/>
        </w:rPr>
        <w:tab/>
        <w:t>Turklāt Eiropas Parlamenta un Padomes Regula (EK) Nr. 1073/2009</w:t>
      </w:r>
      <w:r w:rsidRPr="005C6199">
        <w:rPr>
          <w:rFonts w:eastAsia="Calibri"/>
          <w:szCs w:val="22"/>
          <w:vertAlign w:val="superscript"/>
          <w:lang w:eastAsia="en-US"/>
        </w:rPr>
        <w:footnoteReference w:id="6"/>
      </w:r>
      <w:r w:rsidRPr="005C6199">
        <w:rPr>
          <w:rFonts w:eastAsia="Calibri"/>
          <w:szCs w:val="22"/>
          <w:lang w:eastAsia="en-US"/>
        </w:rPr>
        <w:t xml:space="preserve"> atļauj kabotāžas pārvadājumus Savienībā ar konkrētiem nosacījumiem veikt tikai tiem pārvadātājiem, kam ir Kopienas atļauja. Starptautiskās saistības, kas atļauj trešo valstu pārvadātājiem, kuriem nav šādas atļaujas, veikt šāda veida pārvadājumus, var ietekmēt minēto regulu.</w:t>
      </w:r>
    </w:p>
    <w:p w14:paraId="33981134"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(5)</w:t>
      </w:r>
      <w:r w:rsidRPr="005C6199">
        <w:rPr>
          <w:rFonts w:eastAsia="Calibri"/>
          <w:szCs w:val="22"/>
          <w:lang w:eastAsia="en-US"/>
        </w:rPr>
        <w:tab/>
        <w:t>Tādējādi šādas starptautiskās saistības ir Savienības ekskluzīvā ārējā kompetencē. Dalībvalstis var risināt sarunas vai uzņemties šādas saistības tikai tad, ja Savienība tās ir pilnvarojusi saskaņā ar Līguma par Eiropas Savienības darbību (LESD) 2. panta 1. punktu.</w:t>
      </w:r>
    </w:p>
    <w:p w14:paraId="6BD8D912" w14:textId="77777777" w:rsidR="00972C4B" w:rsidRPr="005C6199" w:rsidRDefault="00972C4B" w:rsidP="00972C4B">
      <w:pPr>
        <w:widowControl/>
        <w:spacing w:after="200" w:line="276" w:lineRule="auto"/>
        <w:rPr>
          <w:rFonts w:eastAsia="Calibri"/>
          <w:szCs w:val="22"/>
          <w:lang w:eastAsia="en-US"/>
        </w:rPr>
      </w:pPr>
      <w:r w:rsidRPr="005C6199">
        <w:rPr>
          <w:rFonts w:eastAsia="Calibri" w:cs="Arial"/>
          <w:kern w:val="2"/>
          <w:szCs w:val="22"/>
          <w:lang w:eastAsia="en-US"/>
          <w14:ligatures w14:val="standardContextual"/>
        </w:rPr>
        <w:br w:type="page"/>
      </w:r>
    </w:p>
    <w:p w14:paraId="790C77EE"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lastRenderedPageBreak/>
        <w:t>(6)</w:t>
      </w:r>
      <w:r w:rsidRPr="005C6199">
        <w:rPr>
          <w:rFonts w:eastAsia="Calibri"/>
          <w:szCs w:val="22"/>
          <w:lang w:eastAsia="en-US"/>
        </w:rPr>
        <w:tab/>
        <w:t>Kabotāžas pārvadājumi, ko Savienībā veic trešo valstu pārvadātāji, kuriem nav Kopienas atļaujas, kas paredzēta Regulā (EK) Nr. 1073/2009, ietekmē autobusu pārvadājumu iekšējā tirgus darbību, kas noteikta ar minēto regulu. Tāpēc ir nepieciešams, ka Savienības likumdevējs saskaņā ar LESD 91. pantā minēto likumdošanas procedūru piešķir pilnvarojumu, ievērojot LESD 2. panta 1. punktu.</w:t>
      </w:r>
    </w:p>
    <w:p w14:paraId="6E61D0FB"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(7)</w:t>
      </w:r>
      <w:r w:rsidRPr="005C6199">
        <w:rPr>
          <w:rFonts w:eastAsia="Calibri"/>
          <w:szCs w:val="22"/>
          <w:lang w:eastAsia="en-US"/>
        </w:rPr>
        <w:tab/>
        <w:t>Austrija 2025. gada 17. marta vēstulē lūdza Savienības pilnvarojumu grozīt Austrijas un Šveices nolīgumu, lai atļautu kabotāžas pārvadājumus, kad tiek sniegti starptautiski pasažieru pārvadājumu pakalpojumi ar autobusiem Austrijas un Šveices pierobežas reģionos, tādējādi sekmējot lielāku teritoriālo kohēziju.</w:t>
      </w:r>
    </w:p>
    <w:p w14:paraId="399B2033"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(8)</w:t>
      </w:r>
      <w:r w:rsidRPr="005C6199">
        <w:rPr>
          <w:rFonts w:eastAsia="Calibri"/>
          <w:szCs w:val="22"/>
          <w:lang w:eastAsia="en-US"/>
        </w:rPr>
        <w:tab/>
        <w:t>Kabotāžas pārvadājumi ļauj palielināt transportlīdzekļu noslodzes koeficientu, kas uzlabo ekonomisko efektivitāti starptautisku pasažieru pārvadājumu pakalpojumiem ar autobusiem. Tāpēc ir lietderīgi atļaut šādus pārvadājumus, kad tiek sniegti starptautiski pasažieru pārvadājumu pakalpojumi ar autobusiem Austrijas un Šveices pierobežas reģionos. Tas varētu vēl vairāk stiprināt minēto pierobežas reģionu ciešo integrāciju.</w:t>
      </w:r>
    </w:p>
    <w:p w14:paraId="0F2F177A" w14:textId="77777777" w:rsidR="00972C4B" w:rsidRPr="005C6199" w:rsidRDefault="00972C4B" w:rsidP="00972C4B">
      <w:pPr>
        <w:widowControl/>
        <w:spacing w:after="200" w:line="276" w:lineRule="auto"/>
        <w:rPr>
          <w:rFonts w:eastAsia="Calibri"/>
          <w:szCs w:val="22"/>
          <w:lang w:eastAsia="en-US"/>
        </w:rPr>
      </w:pPr>
      <w:r w:rsidRPr="005C6199">
        <w:rPr>
          <w:rFonts w:eastAsia="Calibri" w:cs="Arial"/>
          <w:kern w:val="2"/>
          <w:szCs w:val="22"/>
          <w:lang w:eastAsia="en-US"/>
          <w14:ligatures w14:val="standardContextual"/>
        </w:rPr>
        <w:br w:type="page"/>
      </w:r>
    </w:p>
    <w:p w14:paraId="1CA459B9"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lastRenderedPageBreak/>
        <w:t>(9)</w:t>
      </w:r>
      <w:r w:rsidRPr="005C6199">
        <w:rPr>
          <w:rFonts w:eastAsia="Calibri"/>
          <w:szCs w:val="22"/>
          <w:lang w:eastAsia="en-US"/>
        </w:rPr>
        <w:tab/>
        <w:t xml:space="preserve">Lai nodrošinātu, ka attiecīgie kabotāžas pārvadājumi pārmērīgi nemaina ar Regulu (EK) Nr. 1073/2009 izveidotā autobusu pārvadājumu iekšējā tirgus darbību, šādu kabotāžas pārvadājumu atļaujai vajadzētu būt ar nosacījumu, ka nenotiek diskriminācija starp pārvadātājiem, kuri iedibināti Savienībā, un netiek traucēta konkurence. </w:t>
      </w:r>
    </w:p>
    <w:p w14:paraId="6812BCBC" w14:textId="77777777" w:rsidR="00972C4B" w:rsidRPr="005C6199" w:rsidRDefault="00972C4B" w:rsidP="00972C4B">
      <w:pPr>
        <w:widowControl/>
        <w:spacing w:before="120" w:after="120" w:line="360" w:lineRule="auto"/>
        <w:ind w:left="851" w:hanging="851"/>
        <w:rPr>
          <w:rFonts w:eastAsia="Calibri"/>
          <w:szCs w:val="22"/>
          <w:lang w:eastAsia="en-US"/>
        </w:rPr>
      </w:pPr>
      <w:r w:rsidRPr="005C6199">
        <w:rPr>
          <w:rFonts w:eastAsia="Calibri"/>
          <w:szCs w:val="22"/>
          <w:lang w:eastAsia="en-US"/>
        </w:rPr>
        <w:t>(10)</w:t>
      </w:r>
      <w:r w:rsidRPr="005C6199">
        <w:rPr>
          <w:rFonts w:eastAsia="Calibri"/>
          <w:szCs w:val="22"/>
          <w:lang w:eastAsia="en-US"/>
        </w:rPr>
        <w:tab/>
        <w:t>Tā paša iemesla dēļ kabotāžas pārvadājumi Austrijas pierobežas apgabalos būtu jāatļauj tikai tad, kad tiek sniegti starptautiski pasažieru pārvadājumu pakalpojumi ar autobusiem starp Austriju un Šveici. Šim nolūkam ir nepieciešams definēt Austrijas pierobežas reģionus šā lēmuma nolūkos tā, lai pienācīgi ņemtu vērā Regulas (EK) Nr. 1073/2009 darbību, vienlaikus ļaujot palielināt attiecīgo pārvadājumu efektivitāti,</w:t>
      </w:r>
    </w:p>
    <w:bookmarkEnd w:id="7"/>
    <w:p w14:paraId="31DF70C8" w14:textId="77777777" w:rsidR="00972C4B" w:rsidRPr="005C6199" w:rsidRDefault="00972C4B" w:rsidP="00972C4B">
      <w:pPr>
        <w:keepNext/>
        <w:widowControl/>
        <w:spacing w:before="120" w:after="120"/>
        <w:jc w:val="both"/>
        <w:rPr>
          <w:rFonts w:eastAsia="Calibri"/>
          <w:szCs w:val="22"/>
          <w:lang w:eastAsia="en-US"/>
        </w:rPr>
      </w:pPr>
      <w:r w:rsidRPr="005C6199">
        <w:rPr>
          <w:rFonts w:eastAsia="Calibri"/>
          <w:szCs w:val="22"/>
          <w:lang w:eastAsia="en-US"/>
        </w:rPr>
        <w:t>IR PIEŅĒMUŠI ŠO LĒMUMU.</w:t>
      </w:r>
    </w:p>
    <w:p w14:paraId="63F6857E" w14:textId="77777777" w:rsidR="00972C4B" w:rsidRPr="005C6199" w:rsidRDefault="00972C4B" w:rsidP="00972C4B">
      <w:pPr>
        <w:widowControl/>
        <w:spacing w:after="200" w:line="276" w:lineRule="auto"/>
        <w:rPr>
          <w:rFonts w:eastAsia="Calibri"/>
          <w:i/>
          <w:szCs w:val="22"/>
          <w:lang w:eastAsia="en-US"/>
        </w:rPr>
      </w:pPr>
      <w:r w:rsidRPr="005C6199">
        <w:rPr>
          <w:rFonts w:eastAsia="Calibri" w:cs="Arial"/>
          <w:kern w:val="2"/>
          <w:szCs w:val="22"/>
          <w:lang w:eastAsia="en-US"/>
          <w14:ligatures w14:val="standardContextual"/>
        </w:rPr>
        <w:br w:type="page"/>
      </w:r>
    </w:p>
    <w:p w14:paraId="036C0EA4" w14:textId="77777777" w:rsidR="00972C4B" w:rsidRPr="005C6199" w:rsidRDefault="00972C4B" w:rsidP="00972C4B">
      <w:pPr>
        <w:keepNext/>
        <w:widowControl/>
        <w:spacing w:before="120" w:after="120" w:line="360" w:lineRule="auto"/>
        <w:jc w:val="center"/>
        <w:rPr>
          <w:rFonts w:eastAsia="Calibri"/>
          <w:i/>
          <w:szCs w:val="22"/>
          <w:lang w:eastAsia="en-US"/>
        </w:rPr>
      </w:pPr>
      <w:r w:rsidRPr="005C6199">
        <w:rPr>
          <w:rFonts w:eastAsia="Calibri"/>
          <w:i/>
          <w:szCs w:val="22"/>
          <w:lang w:eastAsia="en-US"/>
        </w:rPr>
        <w:lastRenderedPageBreak/>
        <w:t>1. pants</w:t>
      </w:r>
    </w:p>
    <w:p w14:paraId="637A5137"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Ar šo Austrija tiek pilnvarota grozīt 1958. gada 22. oktobra divpusējo autotransporta nolīgumu starp Austriju un Šveici (“Austrijas un Šveices nolīgums”), lai atļautu kabotāžas pārvadājumus Austrijas un Šveices pierobežas reģionos, kad tiek sniegti starptautiski pasažieru pārvadājumu pakalpojumi ar autobusiem starp abām valstīm, ar noteikumu, ka nenotiek diskriminācija starp Savienībā iedibinātiem pārvadātājiem un </w:t>
      </w:r>
      <w:r w:rsidRPr="005C6199">
        <w:rPr>
          <w:rFonts w:eastAsia="Calibri"/>
          <w:szCs w:val="22"/>
          <w:lang w:eastAsia="en-US"/>
        </w:rPr>
        <w:t>netiek</w:t>
      </w:r>
      <w:r w:rsidRPr="005C6199">
        <w:rPr>
          <w:rFonts w:eastAsia="Calibri" w:cs="Arial"/>
          <w:kern w:val="2"/>
          <w:szCs w:val="22"/>
          <w:lang w:eastAsia="en-US"/>
          <w14:ligatures w14:val="standardContextual"/>
        </w:rPr>
        <w:t xml:space="preserve"> traucēta konkurence.</w:t>
      </w:r>
    </w:p>
    <w:p w14:paraId="668A8830"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Par Austrijas </w:t>
      </w:r>
      <w:r w:rsidRPr="005C6199">
        <w:rPr>
          <w:rFonts w:eastAsia="Calibri"/>
          <w:szCs w:val="22"/>
          <w:lang w:eastAsia="en-US"/>
        </w:rPr>
        <w:t>pierobežas</w:t>
      </w:r>
      <w:r w:rsidRPr="005C6199">
        <w:rPr>
          <w:rFonts w:eastAsia="Calibri" w:cs="Arial"/>
          <w:kern w:val="2"/>
          <w:szCs w:val="22"/>
          <w:lang w:eastAsia="en-US"/>
          <w14:ligatures w14:val="standardContextual"/>
        </w:rPr>
        <w:t xml:space="preserve"> reģioniem pirmās daļas nozīmē uzskata </w:t>
      </w:r>
      <w:proofErr w:type="spellStart"/>
      <w:r w:rsidRPr="005C6199">
        <w:rPr>
          <w:rFonts w:eastAsia="Calibri" w:cs="Arial"/>
          <w:kern w:val="2"/>
          <w:szCs w:val="22"/>
          <w:lang w:eastAsia="en-US"/>
          <w14:ligatures w14:val="standardContextual"/>
        </w:rPr>
        <w:t>Blūdencas</w:t>
      </w:r>
      <w:proofErr w:type="spellEnd"/>
      <w:r w:rsidRPr="005C6199">
        <w:rPr>
          <w:rFonts w:eastAsia="Calibri" w:cs="Arial"/>
          <w:kern w:val="2"/>
          <w:szCs w:val="22"/>
          <w:lang w:eastAsia="en-US"/>
          <w14:ligatures w14:val="standardContextual"/>
        </w:rPr>
        <w:t xml:space="preserve">, </w:t>
      </w:r>
      <w:proofErr w:type="spellStart"/>
      <w:r w:rsidRPr="005C6199">
        <w:rPr>
          <w:rFonts w:eastAsia="Calibri" w:cs="Arial"/>
          <w:kern w:val="2"/>
          <w:szCs w:val="22"/>
          <w:lang w:eastAsia="en-US"/>
          <w14:ligatures w14:val="standardContextual"/>
        </w:rPr>
        <w:t>Brēgencas</w:t>
      </w:r>
      <w:proofErr w:type="spellEnd"/>
      <w:r w:rsidRPr="005C6199">
        <w:rPr>
          <w:rFonts w:eastAsia="Calibri" w:cs="Arial"/>
          <w:kern w:val="2"/>
          <w:szCs w:val="22"/>
          <w:lang w:eastAsia="en-US"/>
          <w14:ligatures w14:val="standardContextual"/>
        </w:rPr>
        <w:t xml:space="preserve">, </w:t>
      </w:r>
      <w:proofErr w:type="spellStart"/>
      <w:r w:rsidRPr="005C6199">
        <w:rPr>
          <w:rFonts w:eastAsia="Calibri" w:cs="Arial"/>
          <w:kern w:val="2"/>
          <w:szCs w:val="22"/>
          <w:lang w:eastAsia="en-US"/>
          <w14:ligatures w14:val="standardContextual"/>
        </w:rPr>
        <w:t>Dornbirnes</w:t>
      </w:r>
      <w:proofErr w:type="spellEnd"/>
      <w:r w:rsidRPr="005C6199">
        <w:rPr>
          <w:rFonts w:eastAsia="Calibri" w:cs="Arial"/>
          <w:kern w:val="2"/>
          <w:szCs w:val="22"/>
          <w:lang w:eastAsia="en-US"/>
          <w14:ligatures w14:val="standardContextual"/>
        </w:rPr>
        <w:t xml:space="preserve"> un </w:t>
      </w:r>
      <w:proofErr w:type="spellStart"/>
      <w:r w:rsidRPr="005C6199">
        <w:rPr>
          <w:rFonts w:eastAsia="Calibri" w:cs="Arial"/>
          <w:kern w:val="2"/>
          <w:szCs w:val="22"/>
          <w:lang w:eastAsia="en-US"/>
          <w14:ligatures w14:val="standardContextual"/>
        </w:rPr>
        <w:t>Feldkirhas</w:t>
      </w:r>
      <w:proofErr w:type="spellEnd"/>
      <w:r w:rsidRPr="005C6199">
        <w:rPr>
          <w:rFonts w:eastAsia="Calibri" w:cs="Arial"/>
          <w:kern w:val="2"/>
          <w:szCs w:val="22"/>
          <w:lang w:eastAsia="en-US"/>
          <w14:ligatures w14:val="standardContextual"/>
        </w:rPr>
        <w:t xml:space="preserve"> administratīvos apgabalus, kas atrodas </w:t>
      </w:r>
      <w:proofErr w:type="spellStart"/>
      <w:r w:rsidRPr="005C6199">
        <w:rPr>
          <w:rFonts w:eastAsia="Calibri" w:cs="Arial"/>
          <w:kern w:val="2"/>
          <w:szCs w:val="22"/>
          <w:lang w:eastAsia="en-US"/>
          <w14:ligatures w14:val="standardContextual"/>
        </w:rPr>
        <w:t>Forarlbergas</w:t>
      </w:r>
      <w:proofErr w:type="spellEnd"/>
      <w:r w:rsidRPr="005C6199">
        <w:rPr>
          <w:rFonts w:eastAsia="Calibri" w:cs="Arial"/>
          <w:kern w:val="2"/>
          <w:szCs w:val="22"/>
          <w:lang w:eastAsia="en-US"/>
          <w14:ligatures w14:val="standardContextual"/>
        </w:rPr>
        <w:t xml:space="preserve"> reģionā, un </w:t>
      </w:r>
      <w:proofErr w:type="spellStart"/>
      <w:r w:rsidRPr="005C6199">
        <w:rPr>
          <w:rFonts w:eastAsia="Calibri" w:cs="Arial"/>
          <w:kern w:val="2"/>
          <w:szCs w:val="22"/>
          <w:lang w:eastAsia="en-US"/>
          <w14:ligatures w14:val="standardContextual"/>
        </w:rPr>
        <w:t>Landekas</w:t>
      </w:r>
      <w:proofErr w:type="spellEnd"/>
      <w:r w:rsidRPr="005C6199">
        <w:rPr>
          <w:rFonts w:eastAsia="Calibri" w:cs="Arial"/>
          <w:kern w:val="2"/>
          <w:szCs w:val="22"/>
          <w:lang w:eastAsia="en-US"/>
          <w14:ligatures w14:val="standardContextual"/>
        </w:rPr>
        <w:t xml:space="preserve"> apgabalu, kas atrodas Tiroles reģionā.</w:t>
      </w:r>
    </w:p>
    <w:p w14:paraId="6B979824" w14:textId="77777777" w:rsidR="00972C4B" w:rsidRPr="005C6199" w:rsidRDefault="00972C4B" w:rsidP="00972C4B">
      <w:pPr>
        <w:widowControl/>
        <w:spacing w:after="200" w:line="276" w:lineRule="auto"/>
        <w:rPr>
          <w:rFonts w:eastAsia="Calibri"/>
          <w:i/>
          <w:szCs w:val="22"/>
          <w:lang w:eastAsia="en-US"/>
        </w:rPr>
      </w:pPr>
      <w:r w:rsidRPr="005C6199">
        <w:rPr>
          <w:rFonts w:eastAsia="Calibri" w:cs="Arial"/>
          <w:kern w:val="2"/>
          <w:szCs w:val="22"/>
          <w:lang w:eastAsia="en-US"/>
          <w14:ligatures w14:val="standardContextual"/>
        </w:rPr>
        <w:br w:type="page"/>
      </w:r>
    </w:p>
    <w:p w14:paraId="31B47CD6" w14:textId="77777777" w:rsidR="00972C4B" w:rsidRPr="005C6199" w:rsidRDefault="00972C4B" w:rsidP="00972C4B">
      <w:pPr>
        <w:keepNext/>
        <w:widowControl/>
        <w:spacing w:before="120" w:after="120" w:line="360" w:lineRule="auto"/>
        <w:jc w:val="center"/>
        <w:rPr>
          <w:rFonts w:eastAsia="Calibri"/>
          <w:i/>
          <w:szCs w:val="22"/>
          <w:lang w:eastAsia="en-US"/>
        </w:rPr>
      </w:pPr>
      <w:r w:rsidRPr="005C6199">
        <w:rPr>
          <w:rFonts w:eastAsia="Calibri"/>
          <w:i/>
          <w:szCs w:val="22"/>
          <w:lang w:eastAsia="en-US"/>
        </w:rPr>
        <w:lastRenderedPageBreak/>
        <w:t>2. pants</w:t>
      </w:r>
    </w:p>
    <w:p w14:paraId="7425FCF9"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Austrija informē Komisiju par Austrijas un Šveices nolīguma grozīšanu, ievērojot šā lēmuma 1. </w:t>
      </w:r>
      <w:r w:rsidRPr="005C6199">
        <w:rPr>
          <w:rFonts w:eastAsia="Calibri"/>
          <w:szCs w:val="22"/>
          <w:lang w:eastAsia="en-US"/>
        </w:rPr>
        <w:t>pantu,</w:t>
      </w:r>
      <w:r w:rsidRPr="005C6199">
        <w:rPr>
          <w:rFonts w:eastAsia="Calibri" w:cs="Arial"/>
          <w:kern w:val="2"/>
          <w:szCs w:val="22"/>
          <w:lang w:eastAsia="en-US"/>
          <w14:ligatures w14:val="standardContextual"/>
        </w:rPr>
        <w:t xml:space="preserve"> un paziņo Komisijai grozītā nolīguma tekstu.</w:t>
      </w:r>
    </w:p>
    <w:p w14:paraId="7066D77D"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Komisija par to informē Eiropas Parlamentu un Padomi.</w:t>
      </w:r>
    </w:p>
    <w:p w14:paraId="3465BA24" w14:textId="77777777" w:rsidR="00972C4B" w:rsidRPr="005C6199" w:rsidRDefault="00972C4B" w:rsidP="00972C4B">
      <w:pPr>
        <w:keepNext/>
        <w:widowControl/>
        <w:spacing w:before="360" w:after="120"/>
        <w:jc w:val="center"/>
        <w:rPr>
          <w:rFonts w:eastAsia="Calibri"/>
          <w:i/>
          <w:szCs w:val="22"/>
          <w:lang w:eastAsia="en-US"/>
        </w:rPr>
      </w:pPr>
      <w:r w:rsidRPr="005C6199">
        <w:rPr>
          <w:rFonts w:eastAsia="Calibri"/>
          <w:i/>
          <w:szCs w:val="22"/>
          <w:lang w:eastAsia="en-US"/>
        </w:rPr>
        <w:t>3. pants</w:t>
      </w:r>
    </w:p>
    <w:p w14:paraId="3DA2C7ED" w14:textId="77777777" w:rsidR="00972C4B" w:rsidRPr="005C6199" w:rsidRDefault="00972C4B" w:rsidP="00972C4B">
      <w:pPr>
        <w:widowControl/>
        <w:spacing w:before="120" w:after="120" w:line="360" w:lineRule="auto"/>
        <w:rPr>
          <w:rFonts w:eastAsia="Calibri" w:cs="Arial"/>
          <w:kern w:val="2"/>
          <w:szCs w:val="22"/>
          <w:lang w:eastAsia="en-US"/>
          <w14:ligatures w14:val="standardContextual"/>
        </w:rPr>
      </w:pPr>
      <w:r w:rsidRPr="005C6199">
        <w:rPr>
          <w:rFonts w:eastAsia="Calibri" w:cs="Arial"/>
          <w:kern w:val="2"/>
          <w:szCs w:val="22"/>
          <w:lang w:eastAsia="en-US"/>
          <w14:ligatures w14:val="standardContextual"/>
        </w:rPr>
        <w:t xml:space="preserve">Šis lēmums ir adresēts </w:t>
      </w:r>
      <w:r w:rsidRPr="005C6199">
        <w:rPr>
          <w:rFonts w:eastAsia="Calibri"/>
          <w:szCs w:val="22"/>
          <w:lang w:eastAsia="en-US"/>
        </w:rPr>
        <w:t>Austrijas</w:t>
      </w:r>
      <w:r w:rsidRPr="005C6199">
        <w:rPr>
          <w:rFonts w:eastAsia="Calibri" w:cs="Arial"/>
          <w:kern w:val="2"/>
          <w:szCs w:val="22"/>
          <w:lang w:eastAsia="en-US"/>
          <w14:ligatures w14:val="standardContextual"/>
        </w:rPr>
        <w:t xml:space="preserve"> Republikai.</w:t>
      </w:r>
    </w:p>
    <w:p w14:paraId="28DCA890" w14:textId="77777777" w:rsidR="00972C4B" w:rsidRPr="005C6199" w:rsidRDefault="00972C4B" w:rsidP="00972C4B">
      <w:pPr>
        <w:keepNext/>
        <w:widowControl/>
        <w:spacing w:before="120"/>
        <w:jc w:val="both"/>
        <w:rPr>
          <w:rFonts w:eastAsia="Calibri"/>
          <w:noProof/>
          <w:szCs w:val="22"/>
          <w:lang w:eastAsia="en-US"/>
        </w:rPr>
      </w:pPr>
      <w:r w:rsidRPr="005C6199">
        <w:rPr>
          <w:rFonts w:eastAsia="Calibri"/>
          <w:noProof/>
          <w:szCs w:val="22"/>
          <w:lang w:eastAsia="en-US"/>
        </w:rPr>
        <w:t>...,</w:t>
      </w:r>
    </w:p>
    <w:p w14:paraId="343B7182" w14:textId="77777777" w:rsidR="00972C4B" w:rsidRPr="005C6199" w:rsidRDefault="00972C4B" w:rsidP="00972C4B">
      <w:pPr>
        <w:keepNext/>
        <w:widowControl/>
        <w:tabs>
          <w:tab w:val="left" w:pos="5669"/>
        </w:tabs>
        <w:spacing w:before="720" w:line="360" w:lineRule="auto"/>
        <w:rPr>
          <w:rFonts w:eastAsia="Calibri"/>
          <w:i/>
          <w:noProof/>
          <w:szCs w:val="22"/>
          <w:lang w:eastAsia="en-US"/>
        </w:rPr>
      </w:pPr>
      <w:r w:rsidRPr="005C6199">
        <w:rPr>
          <w:rFonts w:eastAsia="Calibri"/>
          <w:i/>
          <w:noProof/>
          <w:szCs w:val="22"/>
          <w:lang w:eastAsia="en-US"/>
        </w:rPr>
        <w:t>Eiropas Parlamenta vārdā –</w:t>
      </w:r>
      <w:r w:rsidRPr="005C6199">
        <w:rPr>
          <w:rFonts w:eastAsia="Calibri"/>
          <w:i/>
          <w:noProof/>
          <w:szCs w:val="22"/>
          <w:lang w:eastAsia="en-US"/>
        </w:rPr>
        <w:tab/>
        <w:t>Padomes vārdā –</w:t>
      </w:r>
    </w:p>
    <w:p w14:paraId="677E4FDB" w14:textId="77777777" w:rsidR="00972C4B" w:rsidRPr="005C6199" w:rsidRDefault="00972C4B" w:rsidP="00972C4B">
      <w:pPr>
        <w:widowControl/>
        <w:tabs>
          <w:tab w:val="left" w:pos="5669"/>
        </w:tabs>
        <w:spacing w:line="360" w:lineRule="auto"/>
        <w:rPr>
          <w:rFonts w:eastAsia="Calibri"/>
          <w:i/>
          <w:noProof/>
          <w:szCs w:val="22"/>
          <w:lang w:eastAsia="en-US"/>
        </w:rPr>
      </w:pPr>
      <w:r w:rsidRPr="005C6199">
        <w:rPr>
          <w:rFonts w:eastAsia="Calibri"/>
          <w:i/>
          <w:noProof/>
          <w:szCs w:val="22"/>
          <w:lang w:eastAsia="en-US"/>
        </w:rPr>
        <w:t>priekšsēdētāja</w:t>
      </w:r>
      <w:r w:rsidRPr="005C6199">
        <w:rPr>
          <w:rFonts w:eastAsia="Calibri"/>
          <w:i/>
          <w:noProof/>
          <w:szCs w:val="22"/>
          <w:lang w:eastAsia="en-US"/>
        </w:rPr>
        <w:tab/>
        <w:t>priekšsēdētājs / priekšsēdētāja</w:t>
      </w:r>
    </w:p>
    <w:p w14:paraId="78314205" w14:textId="77777777" w:rsidR="00972C4B" w:rsidRPr="005C6199" w:rsidRDefault="00972C4B" w:rsidP="005C619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line="360" w:lineRule="auto"/>
      </w:pPr>
    </w:p>
    <w:sectPr w:rsidR="00972C4B" w:rsidRPr="005C6199" w:rsidSect="003D17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FD8E9" w14:textId="77777777" w:rsidR="00503783" w:rsidRPr="003D1726" w:rsidRDefault="00503783">
      <w:r w:rsidRPr="003D1726">
        <w:separator/>
      </w:r>
    </w:p>
  </w:endnote>
  <w:endnote w:type="continuationSeparator" w:id="0">
    <w:p w14:paraId="37E0B98F" w14:textId="77777777" w:rsidR="00503783" w:rsidRPr="003D1726" w:rsidRDefault="00503783">
      <w:r w:rsidRPr="003D17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F797" w14:textId="77777777" w:rsidR="00064002" w:rsidRPr="003D17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5875B" w14:textId="77777777" w:rsidR="00064002" w:rsidRPr="003D17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2EAB" w14:textId="77777777" w:rsidR="00064002" w:rsidRPr="003D17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01A44" w14:textId="77777777" w:rsidR="00503783" w:rsidRPr="003D1726" w:rsidRDefault="00503783">
      <w:r w:rsidRPr="003D1726">
        <w:separator/>
      </w:r>
    </w:p>
  </w:footnote>
  <w:footnote w:type="continuationSeparator" w:id="0">
    <w:p w14:paraId="26A220FC" w14:textId="77777777" w:rsidR="00503783" w:rsidRPr="003D1726" w:rsidRDefault="00503783">
      <w:r w:rsidRPr="003D1726">
        <w:continuationSeparator/>
      </w:r>
    </w:p>
  </w:footnote>
  <w:footnote w:id="1">
    <w:p w14:paraId="0D47C8CF" w14:textId="015974B0" w:rsidR="007A3971" w:rsidRPr="003D1726" w:rsidRDefault="007A3971" w:rsidP="003D1726">
      <w:pPr>
        <w:pStyle w:val="FootnoteText"/>
        <w:ind w:left="567" w:hanging="567"/>
        <w:rPr>
          <w:sz w:val="24"/>
          <w:lang w:val="lv-LV"/>
        </w:rPr>
      </w:pPr>
      <w:r w:rsidRPr="003D1726">
        <w:rPr>
          <w:rStyle w:val="FootnoteReference"/>
          <w:sz w:val="24"/>
          <w:lang w:val="lv-LV"/>
        </w:rPr>
        <w:footnoteRef/>
      </w:r>
      <w:r w:rsidR="003D1726" w:rsidRPr="003D1726">
        <w:rPr>
          <w:sz w:val="24"/>
          <w:lang w:val="lv-LV"/>
        </w:rPr>
        <w:t xml:space="preserve"> </w:t>
      </w:r>
      <w:r w:rsidR="003D1726" w:rsidRPr="003D1726">
        <w:rPr>
          <w:sz w:val="24"/>
          <w:lang w:val="lv-LV"/>
        </w:rPr>
        <w:tab/>
      </w:r>
      <w:r w:rsidRPr="003D1726">
        <w:rPr>
          <w:sz w:val="24"/>
          <w:lang w:val="lv-LV"/>
        </w:rPr>
        <w:t xml:space="preserve">OV C, C/2026/1970, 28.4.2026., ELI: </w:t>
      </w:r>
      <w:hyperlink r:id="rId1" w:history="1">
        <w:r w:rsidRPr="003D1726">
          <w:rPr>
            <w:rStyle w:val="Hyperlink"/>
            <w:sz w:val="24"/>
            <w:lang w:val="lv-LV"/>
          </w:rPr>
          <w:t>http://data.europa.eu/eli/C/2026/1970/oj</w:t>
        </w:r>
      </w:hyperlink>
    </w:p>
  </w:footnote>
  <w:footnote w:id="2">
    <w:p w14:paraId="16D54CD0" w14:textId="3CC267EE" w:rsidR="00972C4B" w:rsidRPr="00994DD7" w:rsidRDefault="00972C4B" w:rsidP="00972C4B">
      <w:pPr>
        <w:pStyle w:val="FootnoteText"/>
        <w:ind w:left="567" w:hanging="567"/>
        <w:rPr>
          <w:color w:val="000000"/>
          <w:sz w:val="24"/>
          <w:szCs w:val="24"/>
          <w:lang w:val="fi-FI"/>
        </w:rPr>
      </w:pPr>
      <w:r w:rsidRPr="00994DD7">
        <w:rPr>
          <w:rStyle w:val="FootnoteReference"/>
          <w:sz w:val="24"/>
          <w:szCs w:val="24"/>
        </w:rPr>
        <w:footnoteRef/>
      </w:r>
      <w:r w:rsidRPr="00994DD7">
        <w:rPr>
          <w:sz w:val="24"/>
          <w:szCs w:val="24"/>
          <w:lang w:val="fi-FI"/>
        </w:rPr>
        <w:t xml:space="preserve"> </w:t>
      </w:r>
      <w:r w:rsidRPr="00994DD7">
        <w:rPr>
          <w:sz w:val="24"/>
          <w:szCs w:val="24"/>
          <w:lang w:val="fi-FI"/>
        </w:rPr>
        <w:tab/>
        <w:t xml:space="preserve">OV C, C/2026/1970, 28.4.2026., ELI: </w:t>
      </w:r>
      <w:hyperlink r:id="rId2" w:history="1">
        <w:r w:rsidRPr="00E71297">
          <w:rPr>
            <w:rStyle w:val="Hyperlink"/>
            <w:sz w:val="24"/>
            <w:szCs w:val="24"/>
            <w:lang w:val="fi-FI"/>
          </w:rPr>
          <w:t>http://data.europa.eu/eli/C/2026/1970/oj</w:t>
        </w:r>
      </w:hyperlink>
      <w:r w:rsidRPr="00994DD7">
        <w:rPr>
          <w:sz w:val="24"/>
          <w:szCs w:val="24"/>
          <w:lang w:val="fi-FI"/>
        </w:rPr>
        <w:t>.</w:t>
      </w:r>
    </w:p>
  </w:footnote>
  <w:footnote w:id="3">
    <w:p w14:paraId="0FF086A8" w14:textId="43F82D42" w:rsidR="00972C4B" w:rsidRPr="005C6199" w:rsidRDefault="00972C4B" w:rsidP="00972C4B">
      <w:pPr>
        <w:pStyle w:val="FootnoteText"/>
        <w:ind w:left="567" w:hanging="567"/>
        <w:rPr>
          <w:sz w:val="24"/>
          <w:szCs w:val="24"/>
          <w:lang w:val="pt-PT"/>
        </w:rPr>
      </w:pPr>
      <w:r w:rsidRPr="00994DD7">
        <w:rPr>
          <w:rStyle w:val="FootnoteReference"/>
          <w:sz w:val="24"/>
          <w:szCs w:val="24"/>
        </w:rPr>
        <w:footnoteRef/>
      </w:r>
      <w:r w:rsidRPr="005C6199">
        <w:rPr>
          <w:sz w:val="24"/>
          <w:szCs w:val="24"/>
          <w:lang w:val="pt-PT"/>
        </w:rPr>
        <w:t xml:space="preserve"> </w:t>
      </w:r>
      <w:r w:rsidRPr="005C6199">
        <w:rPr>
          <w:sz w:val="24"/>
          <w:szCs w:val="24"/>
          <w:lang w:val="pt-PT"/>
        </w:rPr>
        <w:tab/>
      </w:r>
      <w:proofErr w:type="spellStart"/>
      <w:r w:rsidRPr="005C6199">
        <w:rPr>
          <w:sz w:val="24"/>
          <w:szCs w:val="24"/>
          <w:lang w:val="pt-PT"/>
        </w:rPr>
        <w:t>Eiropas</w:t>
      </w:r>
      <w:proofErr w:type="spellEnd"/>
      <w:r w:rsidRPr="005C6199">
        <w:rPr>
          <w:sz w:val="24"/>
          <w:szCs w:val="24"/>
          <w:lang w:val="pt-PT"/>
        </w:rPr>
        <w:t xml:space="preserve"> Parlamenta </w:t>
      </w:r>
      <w:r w:rsidR="00E71297" w:rsidRPr="005C6199">
        <w:rPr>
          <w:sz w:val="24"/>
          <w:szCs w:val="24"/>
          <w:lang w:val="pt-PT"/>
        </w:rPr>
        <w:t xml:space="preserve">2026. gada 7. </w:t>
      </w:r>
      <w:proofErr w:type="spellStart"/>
      <w:r w:rsidR="00E71297" w:rsidRPr="005C6199">
        <w:rPr>
          <w:sz w:val="24"/>
          <w:szCs w:val="24"/>
          <w:lang w:val="pt-PT"/>
        </w:rPr>
        <w:t>jūlija</w:t>
      </w:r>
      <w:proofErr w:type="spellEnd"/>
      <w:r w:rsidR="00E71297" w:rsidRPr="005C6199">
        <w:rPr>
          <w:sz w:val="24"/>
          <w:szCs w:val="24"/>
          <w:lang w:val="pt-PT"/>
        </w:rPr>
        <w:t xml:space="preserve"> </w:t>
      </w:r>
      <w:proofErr w:type="spellStart"/>
      <w:r w:rsidRPr="005C6199">
        <w:rPr>
          <w:sz w:val="24"/>
          <w:szCs w:val="24"/>
          <w:lang w:val="pt-PT"/>
        </w:rPr>
        <w:t>nostāja</w:t>
      </w:r>
      <w:proofErr w:type="spellEnd"/>
      <w:r w:rsidRPr="005C6199">
        <w:rPr>
          <w:sz w:val="24"/>
          <w:szCs w:val="24"/>
          <w:lang w:val="pt-PT"/>
        </w:rPr>
        <w:t>.</w:t>
      </w:r>
    </w:p>
  </w:footnote>
  <w:footnote w:id="4">
    <w:p w14:paraId="196A8C43" w14:textId="77777777" w:rsidR="00972C4B" w:rsidRPr="005C6199" w:rsidRDefault="00972C4B" w:rsidP="00972C4B">
      <w:pPr>
        <w:pStyle w:val="FootnoteText"/>
        <w:ind w:left="567" w:hanging="567"/>
        <w:rPr>
          <w:sz w:val="24"/>
          <w:szCs w:val="24"/>
          <w:lang w:val="sv-SE"/>
        </w:rPr>
      </w:pPr>
      <w:r w:rsidRPr="00994DD7">
        <w:rPr>
          <w:rStyle w:val="FootnoteReference"/>
          <w:sz w:val="24"/>
          <w:szCs w:val="24"/>
        </w:rPr>
        <w:footnoteRef/>
      </w:r>
      <w:r w:rsidRPr="005C6199">
        <w:rPr>
          <w:sz w:val="24"/>
          <w:szCs w:val="24"/>
          <w:lang w:val="sv-SE"/>
        </w:rPr>
        <w:t xml:space="preserve"> </w:t>
      </w:r>
      <w:r w:rsidRPr="005C6199">
        <w:rPr>
          <w:sz w:val="24"/>
          <w:szCs w:val="24"/>
          <w:lang w:val="sv-SE"/>
        </w:rPr>
        <w:tab/>
        <w:t>OV L 114, 30.4.2002., 91. lpp., ELI: </w:t>
      </w:r>
      <w:hyperlink r:id="rId3" w:tooltip="Nodrošina piekļuvi šim dokumentam pēc tā ELI URI." w:history="1">
        <w:r w:rsidRPr="005C6199">
          <w:rPr>
            <w:rStyle w:val="Hyperlink"/>
            <w:sz w:val="24"/>
            <w:szCs w:val="24"/>
            <w:lang w:val="sv-SE"/>
          </w:rPr>
          <w:t>http://data.europa.eu/eli/agree_internation/2002/309(3)/oj</w:t>
        </w:r>
      </w:hyperlink>
      <w:r w:rsidRPr="005C6199">
        <w:rPr>
          <w:sz w:val="24"/>
          <w:szCs w:val="24"/>
          <w:lang w:val="sv-SE"/>
        </w:rPr>
        <w:t>.</w:t>
      </w:r>
    </w:p>
  </w:footnote>
  <w:footnote w:id="5">
    <w:p w14:paraId="2793A6C8" w14:textId="77777777" w:rsidR="00972C4B" w:rsidRPr="005C6199" w:rsidRDefault="00972C4B" w:rsidP="00972C4B">
      <w:pPr>
        <w:pStyle w:val="FootnoteText"/>
        <w:ind w:left="567" w:hanging="567"/>
        <w:rPr>
          <w:sz w:val="24"/>
          <w:szCs w:val="24"/>
          <w:lang w:val="sv-SE"/>
        </w:rPr>
      </w:pPr>
      <w:r w:rsidRPr="00994DD7">
        <w:rPr>
          <w:rStyle w:val="FootnoteReference"/>
          <w:sz w:val="24"/>
          <w:szCs w:val="24"/>
        </w:rPr>
        <w:footnoteRef/>
      </w:r>
      <w:r w:rsidRPr="005C6199">
        <w:rPr>
          <w:i/>
          <w:sz w:val="24"/>
          <w:szCs w:val="24"/>
          <w:lang w:val="sv-SE"/>
        </w:rPr>
        <w:t xml:space="preserve"> </w:t>
      </w:r>
      <w:r w:rsidRPr="005C6199">
        <w:rPr>
          <w:i/>
          <w:sz w:val="24"/>
          <w:szCs w:val="24"/>
          <w:lang w:val="sv-SE"/>
        </w:rPr>
        <w:tab/>
        <w:t>BGBl.</w:t>
      </w:r>
      <w:r w:rsidRPr="005C6199">
        <w:rPr>
          <w:sz w:val="24"/>
          <w:szCs w:val="24"/>
          <w:lang w:val="sv-SE"/>
        </w:rPr>
        <w:t xml:space="preserve"> (Austrija) Nr. 123/1959.</w:t>
      </w:r>
    </w:p>
  </w:footnote>
  <w:footnote w:id="6">
    <w:p w14:paraId="66720239" w14:textId="77777777" w:rsidR="00972C4B" w:rsidRPr="005C6199" w:rsidRDefault="00972C4B" w:rsidP="00972C4B">
      <w:pPr>
        <w:pStyle w:val="FootnoteText"/>
        <w:ind w:left="567" w:hanging="567"/>
        <w:rPr>
          <w:sz w:val="24"/>
          <w:szCs w:val="24"/>
          <w:lang w:val="sv-SE"/>
        </w:rPr>
      </w:pPr>
      <w:r w:rsidRPr="00994DD7">
        <w:rPr>
          <w:rStyle w:val="FootnoteReference"/>
          <w:sz w:val="24"/>
          <w:szCs w:val="24"/>
        </w:rPr>
        <w:footnoteRef/>
      </w:r>
      <w:r w:rsidRPr="005C6199">
        <w:rPr>
          <w:sz w:val="24"/>
          <w:szCs w:val="24"/>
          <w:lang w:val="sv-SE"/>
        </w:rPr>
        <w:t xml:space="preserve"> </w:t>
      </w:r>
      <w:r w:rsidRPr="005C6199">
        <w:rPr>
          <w:sz w:val="24"/>
          <w:szCs w:val="24"/>
          <w:lang w:val="sv-SE"/>
        </w:rPr>
        <w:tab/>
        <w:t>Eiropas Parlamenta un Padomes Regula (EK) Nr. 1073/2009 (2009. gada 21. oktobris) par kopīgiem noteikumiem attiecībā uz piekļuvi starptautiskajam autobusu pārvadājumu tirgum un ar ko groza Regulu (EK) Nr. 561/2006 (OV L 300, 14.11.2009., 88. lpp., ELI: </w:t>
      </w:r>
      <w:hyperlink r:id="rId4" w:tooltip="Nodrošina piekļuvi šim dokumentam pēc tā ELI URI." w:history="1">
        <w:r w:rsidRPr="005C6199">
          <w:rPr>
            <w:rStyle w:val="Hyperlink"/>
            <w:sz w:val="24"/>
            <w:szCs w:val="24"/>
            <w:lang w:val="sv-SE"/>
          </w:rPr>
          <w:t>http://data.europa.eu/</w:t>
        </w:r>
        <w:proofErr w:type="spellStart"/>
        <w:r w:rsidRPr="005C6199">
          <w:rPr>
            <w:rStyle w:val="Hyperlink"/>
            <w:sz w:val="24"/>
            <w:szCs w:val="24"/>
            <w:lang w:val="sv-SE"/>
          </w:rPr>
          <w:t>eli</w:t>
        </w:r>
        <w:proofErr w:type="spellEnd"/>
        <w:r w:rsidRPr="005C6199">
          <w:rPr>
            <w:rStyle w:val="Hyperlink"/>
            <w:sz w:val="24"/>
            <w:szCs w:val="24"/>
            <w:lang w:val="sv-SE"/>
          </w:rPr>
          <w:t>/</w:t>
        </w:r>
        <w:proofErr w:type="spellStart"/>
        <w:r w:rsidRPr="005C6199">
          <w:rPr>
            <w:rStyle w:val="Hyperlink"/>
            <w:sz w:val="24"/>
            <w:szCs w:val="24"/>
            <w:lang w:val="sv-SE"/>
          </w:rPr>
          <w:t>reg</w:t>
        </w:r>
        <w:proofErr w:type="spellEnd"/>
        <w:r w:rsidRPr="005C6199">
          <w:rPr>
            <w:rStyle w:val="Hyperlink"/>
            <w:sz w:val="24"/>
            <w:szCs w:val="24"/>
            <w:lang w:val="sv-SE"/>
          </w:rPr>
          <w:t>/2009/1073/oj</w:t>
        </w:r>
      </w:hyperlink>
      <w:r w:rsidRPr="005C6199">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C3A5" w14:textId="77777777" w:rsidR="00064002" w:rsidRPr="003D17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8873" w14:textId="77777777" w:rsidR="00064002" w:rsidRPr="003D17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EB81" w14:textId="77777777" w:rsidR="00064002" w:rsidRPr="003D17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73860B1"/>
    <w:multiLevelType w:val="hybridMultilevel"/>
    <w:tmpl w:val="370AF940"/>
    <w:lvl w:ilvl="0" w:tplc="2F74F6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6138165">
    <w:abstractNumId w:val="9"/>
  </w:num>
  <w:num w:numId="2" w16cid:durableId="228729693">
    <w:abstractNumId w:val="9"/>
  </w:num>
  <w:num w:numId="3" w16cid:durableId="1280336611">
    <w:abstractNumId w:val="7"/>
  </w:num>
  <w:num w:numId="4" w16cid:durableId="2116557346">
    <w:abstractNumId w:val="7"/>
  </w:num>
  <w:num w:numId="5" w16cid:durableId="1686249770">
    <w:abstractNumId w:val="6"/>
  </w:num>
  <w:num w:numId="6" w16cid:durableId="261032488">
    <w:abstractNumId w:val="6"/>
  </w:num>
  <w:num w:numId="7" w16cid:durableId="1357385295">
    <w:abstractNumId w:val="5"/>
  </w:num>
  <w:num w:numId="8" w16cid:durableId="1436362516">
    <w:abstractNumId w:val="5"/>
  </w:num>
  <w:num w:numId="9" w16cid:durableId="795568007">
    <w:abstractNumId w:val="4"/>
  </w:num>
  <w:num w:numId="10" w16cid:durableId="203248634">
    <w:abstractNumId w:val="4"/>
  </w:num>
  <w:num w:numId="11" w16cid:durableId="1820415169">
    <w:abstractNumId w:val="8"/>
  </w:num>
  <w:num w:numId="12" w16cid:durableId="1833372633">
    <w:abstractNumId w:val="8"/>
  </w:num>
  <w:num w:numId="13" w16cid:durableId="201135758">
    <w:abstractNumId w:val="3"/>
  </w:num>
  <w:num w:numId="14" w16cid:durableId="273245799">
    <w:abstractNumId w:val="3"/>
  </w:num>
  <w:num w:numId="15" w16cid:durableId="351952549">
    <w:abstractNumId w:val="2"/>
  </w:num>
  <w:num w:numId="16" w16cid:durableId="696856819">
    <w:abstractNumId w:val="2"/>
  </w:num>
  <w:num w:numId="17" w16cid:durableId="1030256583">
    <w:abstractNumId w:val="1"/>
  </w:num>
  <w:num w:numId="18" w16cid:durableId="973173039">
    <w:abstractNumId w:val="1"/>
  </w:num>
  <w:num w:numId="19" w16cid:durableId="2091466598">
    <w:abstractNumId w:val="0"/>
  </w:num>
  <w:num w:numId="20" w16cid:durableId="897128482">
    <w:abstractNumId w:val="0"/>
  </w:num>
  <w:num w:numId="21" w16cid:durableId="784035166">
    <w:abstractNumId w:val="9"/>
  </w:num>
  <w:num w:numId="22" w16cid:durableId="1127700821">
    <w:abstractNumId w:val="7"/>
  </w:num>
  <w:num w:numId="23" w16cid:durableId="1365445338">
    <w:abstractNumId w:val="6"/>
  </w:num>
  <w:num w:numId="24" w16cid:durableId="911282159">
    <w:abstractNumId w:val="5"/>
  </w:num>
  <w:num w:numId="25" w16cid:durableId="129330157">
    <w:abstractNumId w:val="4"/>
  </w:num>
  <w:num w:numId="26" w16cid:durableId="1777216451">
    <w:abstractNumId w:val="8"/>
  </w:num>
  <w:num w:numId="27" w16cid:durableId="853034238">
    <w:abstractNumId w:val="3"/>
  </w:num>
  <w:num w:numId="28" w16cid:durableId="1071079869">
    <w:abstractNumId w:val="2"/>
  </w:num>
  <w:num w:numId="29" w16cid:durableId="806776576">
    <w:abstractNumId w:val="1"/>
  </w:num>
  <w:num w:numId="30" w16cid:durableId="1599363799">
    <w:abstractNumId w:val="0"/>
  </w:num>
  <w:num w:numId="31" w16cid:durableId="1845777062">
    <w:abstractNumId w:val="9"/>
  </w:num>
  <w:num w:numId="32" w16cid:durableId="60062334">
    <w:abstractNumId w:val="7"/>
  </w:num>
  <w:num w:numId="33" w16cid:durableId="1684744708">
    <w:abstractNumId w:val="6"/>
  </w:num>
  <w:num w:numId="34" w16cid:durableId="556209752">
    <w:abstractNumId w:val="5"/>
  </w:num>
  <w:num w:numId="35" w16cid:durableId="512643938">
    <w:abstractNumId w:val="4"/>
  </w:num>
  <w:num w:numId="36" w16cid:durableId="509610365">
    <w:abstractNumId w:val="8"/>
  </w:num>
  <w:num w:numId="37" w16cid:durableId="1106775462">
    <w:abstractNumId w:val="3"/>
  </w:num>
  <w:num w:numId="38" w16cid:durableId="834419624">
    <w:abstractNumId w:val="2"/>
  </w:num>
  <w:num w:numId="39" w16cid:durableId="256181209">
    <w:abstractNumId w:val="1"/>
  </w:num>
  <w:num w:numId="40" w16cid:durableId="172381918">
    <w:abstractNumId w:val="0"/>
  </w:num>
  <w:num w:numId="41" w16cid:durableId="1021784137">
    <w:abstractNumId w:val="10"/>
  </w:num>
  <w:num w:numId="42" w16cid:durableId="1659334823">
    <w:abstractNumId w:val="10"/>
  </w:num>
  <w:num w:numId="43" w16cid:durableId="796294825">
    <w:abstractNumId w:val="10"/>
  </w:num>
  <w:num w:numId="44" w16cid:durableId="799961912">
    <w:abstractNumId w:val="11"/>
  </w:num>
  <w:num w:numId="45" w16cid:durableId="1077288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LV"/>
    <w:docVar w:name="dvnumam" w:val="2"/>
    <w:docVar w:name="dvpe" w:val="785.404"/>
    <w:docVar w:name="dvrapporteur" w:val="Referente: "/>
    <w:docVar w:name="dvstar" w:val="***I"/>
    <w:docVar w:name="dvtitre" w:val="Eiropas Parlamenta 2026. gada XX. XXX normatīvā rezolūcija par priekšlikumu Eiropas Parlamenta un Padomes lēmumam, ar ko Austriju pilnvaro grozīt tās spēkā esošo divpusējo autotransporta nolīgumu ar Šveici, lai atļautu kabotāžas pārvadājumus, kad pierobežas reģionos starp abām valstīm tiek sniegti starptautiski pasažieru autopārvadājumu pakalpojumi ar autobusiem(COM(2025)0773 – C10-0367/2025 – 2025/0407(COD))"/>
  </w:docVars>
  <w:rsids>
    <w:rsidRoot w:val="00503783"/>
    <w:rsid w:val="00002272"/>
    <w:rsid w:val="00064002"/>
    <w:rsid w:val="000677B9"/>
    <w:rsid w:val="000831BA"/>
    <w:rsid w:val="000A42CC"/>
    <w:rsid w:val="000E59C3"/>
    <w:rsid w:val="000E7DD9"/>
    <w:rsid w:val="0010095E"/>
    <w:rsid w:val="00125B37"/>
    <w:rsid w:val="00187494"/>
    <w:rsid w:val="001A71F9"/>
    <w:rsid w:val="001D231A"/>
    <w:rsid w:val="001F32AE"/>
    <w:rsid w:val="002767FF"/>
    <w:rsid w:val="002B18FE"/>
    <w:rsid w:val="002B5493"/>
    <w:rsid w:val="00343214"/>
    <w:rsid w:val="00361C00"/>
    <w:rsid w:val="00395FA1"/>
    <w:rsid w:val="003D1726"/>
    <w:rsid w:val="003E15D4"/>
    <w:rsid w:val="00411CCE"/>
    <w:rsid w:val="0041666E"/>
    <w:rsid w:val="00421060"/>
    <w:rsid w:val="00471C19"/>
    <w:rsid w:val="004867E3"/>
    <w:rsid w:val="00494A28"/>
    <w:rsid w:val="004C0004"/>
    <w:rsid w:val="004C5D52"/>
    <w:rsid w:val="00503783"/>
    <w:rsid w:val="0050519A"/>
    <w:rsid w:val="005072A1"/>
    <w:rsid w:val="00514517"/>
    <w:rsid w:val="005159D1"/>
    <w:rsid w:val="00545827"/>
    <w:rsid w:val="00560270"/>
    <w:rsid w:val="005C2568"/>
    <w:rsid w:val="005C6199"/>
    <w:rsid w:val="005F1B17"/>
    <w:rsid w:val="006037C0"/>
    <w:rsid w:val="006631B6"/>
    <w:rsid w:val="00680577"/>
    <w:rsid w:val="006F74FA"/>
    <w:rsid w:val="00713152"/>
    <w:rsid w:val="00731ADD"/>
    <w:rsid w:val="00734777"/>
    <w:rsid w:val="0074529C"/>
    <w:rsid w:val="00747932"/>
    <w:rsid w:val="00751A4A"/>
    <w:rsid w:val="00756632"/>
    <w:rsid w:val="00762C74"/>
    <w:rsid w:val="00786EC0"/>
    <w:rsid w:val="007A3971"/>
    <w:rsid w:val="007D1690"/>
    <w:rsid w:val="007E22AD"/>
    <w:rsid w:val="00817416"/>
    <w:rsid w:val="00842779"/>
    <w:rsid w:val="00865F67"/>
    <w:rsid w:val="00881A7B"/>
    <w:rsid w:val="0088211F"/>
    <w:rsid w:val="008840E5"/>
    <w:rsid w:val="00887B3E"/>
    <w:rsid w:val="008C2AC6"/>
    <w:rsid w:val="00930C23"/>
    <w:rsid w:val="0093193B"/>
    <w:rsid w:val="009509D8"/>
    <w:rsid w:val="00950B64"/>
    <w:rsid w:val="00972C4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7B9"/>
    <w:rsid w:val="00CC2357"/>
    <w:rsid w:val="00CF071A"/>
    <w:rsid w:val="00D058B8"/>
    <w:rsid w:val="00D56C11"/>
    <w:rsid w:val="00D834A0"/>
    <w:rsid w:val="00D872DF"/>
    <w:rsid w:val="00D91E21"/>
    <w:rsid w:val="00DA7FCD"/>
    <w:rsid w:val="00E365E1"/>
    <w:rsid w:val="00E71297"/>
    <w:rsid w:val="00E820A4"/>
    <w:rsid w:val="00EB006A"/>
    <w:rsid w:val="00EB4772"/>
    <w:rsid w:val="00ED169E"/>
    <w:rsid w:val="00ED4235"/>
    <w:rsid w:val="00F04346"/>
    <w:rsid w:val="00F075DC"/>
    <w:rsid w:val="00F149E9"/>
    <w:rsid w:val="00F5134D"/>
    <w:rsid w:val="00F74202"/>
    <w:rsid w:val="00F87713"/>
    <w:rsid w:val="00FB4360"/>
    <w:rsid w:val="00FC625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FB5F"/>
  <w15:chartTrackingRefBased/>
  <w15:docId w15:val="{2AACF11D-A935-45EB-AE21-29FA5DB0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A3971"/>
    <w:rPr>
      <w:b/>
    </w:rPr>
  </w:style>
  <w:style w:type="paragraph" w:customStyle="1" w:styleId="NormalBold12a">
    <w:name w:val="NormalBold12a"/>
    <w:basedOn w:val="Normal"/>
    <w:rsid w:val="007A3971"/>
    <w:pPr>
      <w:spacing w:after="240"/>
    </w:pPr>
    <w:rPr>
      <w:b/>
    </w:rPr>
  </w:style>
  <w:style w:type="paragraph" w:customStyle="1" w:styleId="AmJustText">
    <w:name w:val="AmJustText"/>
    <w:basedOn w:val="Normal"/>
    <w:rsid w:val="007A3971"/>
    <w:pPr>
      <w:spacing w:after="240"/>
    </w:pPr>
    <w:rPr>
      <w:i/>
    </w:rPr>
  </w:style>
  <w:style w:type="paragraph" w:customStyle="1" w:styleId="NormalHanging12a">
    <w:name w:val="NormalHanging12a"/>
    <w:basedOn w:val="Normal"/>
    <w:rsid w:val="007A3971"/>
    <w:pPr>
      <w:spacing w:after="240"/>
      <w:ind w:left="567" w:hanging="567"/>
    </w:pPr>
  </w:style>
  <w:style w:type="paragraph" w:customStyle="1" w:styleId="AmJustTitle">
    <w:name w:val="AmJustTitle"/>
    <w:basedOn w:val="Normal"/>
    <w:next w:val="AmJustText"/>
    <w:rsid w:val="007A3971"/>
    <w:pPr>
      <w:keepNext/>
      <w:spacing w:before="240" w:after="240"/>
      <w:jc w:val="center"/>
    </w:pPr>
    <w:rPr>
      <w:i/>
    </w:rPr>
  </w:style>
  <w:style w:type="paragraph" w:customStyle="1" w:styleId="AmNumberTabs">
    <w:name w:val="AmNumberTabs"/>
    <w:basedOn w:val="Normal"/>
    <w:rsid w:val="007A39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A3971"/>
    <w:pPr>
      <w:spacing w:before="480" w:after="240"/>
    </w:pPr>
  </w:style>
  <w:style w:type="character" w:styleId="Hyperlink">
    <w:name w:val="Hyperlink"/>
    <w:basedOn w:val="DefaultParagraphFont"/>
    <w:uiPriority w:val="99"/>
    <w:rsid w:val="007A3971"/>
    <w:rPr>
      <w:color w:val="0563C1" w:themeColor="hyperlink"/>
      <w:u w:val="single"/>
    </w:rPr>
  </w:style>
  <w:style w:type="character" w:customStyle="1" w:styleId="NormalBoldChar">
    <w:name w:val="NormalBold Char"/>
    <w:basedOn w:val="DefaultParagraphFont"/>
    <w:link w:val="NormalBold"/>
    <w:locked/>
    <w:rsid w:val="007A3971"/>
    <w:rPr>
      <w:b/>
      <w:sz w:val="24"/>
      <w:lang w:val="lv-LV"/>
    </w:rPr>
  </w:style>
  <w:style w:type="character" w:customStyle="1" w:styleId="Normal6Char">
    <w:name w:val="Normal6 Char"/>
    <w:basedOn w:val="DefaultParagraphFont"/>
    <w:link w:val="Normal6"/>
    <w:locked/>
    <w:rsid w:val="007A3971"/>
    <w:rPr>
      <w:sz w:val="24"/>
      <w:lang w:val="lv-LV"/>
    </w:rPr>
  </w:style>
  <w:style w:type="paragraph" w:customStyle="1" w:styleId="Normal6">
    <w:name w:val="Normal6"/>
    <w:basedOn w:val="Normal"/>
    <w:link w:val="Normal6Char"/>
    <w:rsid w:val="007A3971"/>
    <w:pPr>
      <w:spacing w:after="120"/>
    </w:pPr>
  </w:style>
  <w:style w:type="paragraph" w:customStyle="1" w:styleId="ColumnHeading">
    <w:name w:val="ColumnHeading"/>
    <w:basedOn w:val="Normal"/>
    <w:rsid w:val="007A3971"/>
    <w:pPr>
      <w:spacing w:after="240"/>
      <w:jc w:val="center"/>
    </w:pPr>
    <w:rPr>
      <w:i/>
    </w:rPr>
  </w:style>
  <w:style w:type="paragraph" w:styleId="CommentText">
    <w:name w:val="annotation text"/>
    <w:basedOn w:val="Normal"/>
    <w:link w:val="CommentTextChar"/>
    <w:rsid w:val="000E59C3"/>
    <w:rPr>
      <w:sz w:val="20"/>
    </w:rPr>
  </w:style>
  <w:style w:type="character" w:customStyle="1" w:styleId="CommentTextChar">
    <w:name w:val="Comment Text Char"/>
    <w:basedOn w:val="DefaultParagraphFont"/>
    <w:link w:val="CommentText"/>
    <w:rsid w:val="000E59C3"/>
    <w:rPr>
      <w:lang w:val="lv-LV"/>
    </w:rPr>
  </w:style>
  <w:style w:type="character" w:styleId="CommentReference">
    <w:name w:val="annotation reference"/>
    <w:basedOn w:val="DefaultParagraphFont"/>
    <w:uiPriority w:val="99"/>
    <w:unhideWhenUsed/>
    <w:rsid w:val="000E59C3"/>
    <w:rPr>
      <w:sz w:val="16"/>
      <w:szCs w:val="16"/>
    </w:rPr>
  </w:style>
  <w:style w:type="paragraph" w:styleId="Revision">
    <w:name w:val="Revision"/>
    <w:hidden/>
    <w:uiPriority w:val="99"/>
    <w:semiHidden/>
    <w:rsid w:val="0074529C"/>
    <w:rPr>
      <w:sz w:val="24"/>
      <w:lang w:val="lv-LV"/>
    </w:rPr>
  </w:style>
  <w:style w:type="paragraph" w:customStyle="1" w:styleId="NormalCenter12a">
    <w:name w:val="NormalCenter12a"/>
    <w:basedOn w:val="Normal"/>
    <w:rsid w:val="0074529C"/>
    <w:pPr>
      <w:spacing w:after="240"/>
      <w:jc w:val="center"/>
    </w:pPr>
  </w:style>
  <w:style w:type="paragraph" w:customStyle="1" w:styleId="AmHeadingConsam">
    <w:name w:val="AmHeadingConsam"/>
    <w:basedOn w:val="Normal"/>
    <w:next w:val="NormalCenter12a"/>
    <w:rsid w:val="0074529C"/>
    <w:pPr>
      <w:spacing w:before="720" w:after="240"/>
      <w:jc w:val="center"/>
    </w:pPr>
  </w:style>
  <w:style w:type="paragraph" w:customStyle="1" w:styleId="Statut">
    <w:name w:val="Statut"/>
    <w:basedOn w:val="Normal"/>
    <w:next w:val="Normal"/>
    <w:uiPriority w:val="99"/>
    <w:rsid w:val="0074529C"/>
    <w:pPr>
      <w:widowControl/>
      <w:spacing w:before="360"/>
      <w:jc w:val="center"/>
    </w:pPr>
    <w:rPr>
      <w:rFonts w:eastAsia="Calibri"/>
      <w:szCs w:val="22"/>
      <w:lang w:eastAsia="en-US"/>
    </w:rPr>
  </w:style>
  <w:style w:type="paragraph" w:customStyle="1" w:styleId="Rfrenceinterinstitutionnelle">
    <w:name w:val="Référence interinstitutionnelle"/>
    <w:basedOn w:val="Normal"/>
    <w:next w:val="Statut"/>
    <w:uiPriority w:val="99"/>
    <w:rsid w:val="0074529C"/>
    <w:pPr>
      <w:widowControl/>
      <w:ind w:left="5103"/>
    </w:pPr>
    <w:rPr>
      <w:rFonts w:eastAsia="Calibri"/>
      <w:szCs w:val="22"/>
      <w:lang w:eastAsia="en-US"/>
    </w:rPr>
  </w:style>
  <w:style w:type="paragraph" w:styleId="ListParagraph">
    <w:name w:val="List Paragraph"/>
    <w:basedOn w:val="Normal"/>
    <w:uiPriority w:val="34"/>
    <w:qFormat/>
    <w:rsid w:val="00972C4B"/>
    <w:pPr>
      <w:ind w:left="720"/>
      <w:contextualSpacing/>
    </w:pPr>
  </w:style>
  <w:style w:type="character" w:customStyle="1" w:styleId="Heading6Char">
    <w:name w:val="Heading 6 Char"/>
    <w:basedOn w:val="DefaultParagraphFont"/>
    <w:link w:val="Heading6"/>
    <w:rsid w:val="00972C4B"/>
    <w:rPr>
      <w:i/>
      <w:sz w:val="22"/>
      <w:lang w:val="lv-LV"/>
    </w:rPr>
  </w:style>
  <w:style w:type="paragraph" w:customStyle="1" w:styleId="Normal12Hanging">
    <w:name w:val="Normal12Hanging"/>
    <w:basedOn w:val="Normal"/>
    <w:link w:val="Normal12HangingChar"/>
    <w:rsid w:val="00972C4B"/>
    <w:pPr>
      <w:spacing w:after="240"/>
      <w:ind w:left="567" w:hanging="567"/>
    </w:pPr>
  </w:style>
  <w:style w:type="character" w:customStyle="1" w:styleId="Normal12HangingChar">
    <w:name w:val="Normal12Hanging Char"/>
    <w:basedOn w:val="DefaultParagraphFont"/>
    <w:link w:val="Normal12Hanging"/>
    <w:rsid w:val="00972C4B"/>
    <w:rPr>
      <w:sz w:val="24"/>
      <w:lang w:val="lv-LV"/>
    </w:rPr>
  </w:style>
  <w:style w:type="character" w:styleId="UnresolvedMention">
    <w:name w:val="Unresolved Mention"/>
    <w:basedOn w:val="DefaultParagraphFont"/>
    <w:uiPriority w:val="99"/>
    <w:semiHidden/>
    <w:unhideWhenUsed/>
    <w:rsid w:val="00E71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946</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2026-07-07T09:53:00Z</dcterms:created>
  <dcterms:modified xsi:type="dcterms:W3CDTF">2026-07-07T09:53:00Z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A10-0174/2026</vt:lpwstr>
  </property>
  <property fmtid="{D5CDD505-2E9C-101B-9397-08002B2CF9AE}" pid="4" name="&lt;Type&gt;">
    <vt:lpwstr>RR</vt:lpwstr>
  </property>
</Properties>
</file>