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671D" w14:paraId="046B62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16EAEB" w14:textId="77777777" w:rsidR="00751A4A" w:rsidRPr="0054671D" w:rsidRDefault="005F480D" w:rsidP="0010095E">
            <w:pPr>
              <w:pStyle w:val="EPName"/>
            </w:pPr>
            <w:r w:rsidRPr="0054671D">
              <w:t>Parlament Europejski</w:t>
            </w:r>
          </w:p>
          <w:p w14:paraId="7F3F4050" w14:textId="77777777" w:rsidR="00751A4A" w:rsidRPr="005467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671D">
              <w:t>2024</w:t>
            </w:r>
            <w:r w:rsidR="00817416" w:rsidRPr="0054671D">
              <w:t>-202</w:t>
            </w:r>
            <w:r w:rsidRPr="0054671D">
              <w:t>9</w:t>
            </w:r>
          </w:p>
        </w:tc>
        <w:tc>
          <w:tcPr>
            <w:tcW w:w="2268" w:type="dxa"/>
            <w:shd w:val="clear" w:color="auto" w:fill="auto"/>
          </w:tcPr>
          <w:p w14:paraId="38934283" w14:textId="77777777" w:rsidR="00751A4A" w:rsidRPr="0054671D" w:rsidRDefault="00187494" w:rsidP="0010095E">
            <w:pPr>
              <w:pStyle w:val="EPLogo"/>
            </w:pPr>
            <w:r w:rsidRPr="0054671D">
              <w:rPr>
                <w:noProof/>
                <w:lang w:eastAsia="ja-JP"/>
              </w:rPr>
              <w:drawing>
                <wp:inline distT="0" distB="0" distL="0" distR="0" wp14:anchorId="26FDA243" wp14:editId="6B46AD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AAF7C" w14:textId="77777777" w:rsidR="00D058B8" w:rsidRPr="0054671D" w:rsidRDefault="00D058B8" w:rsidP="004C5D52">
      <w:pPr>
        <w:pStyle w:val="LineTop"/>
      </w:pPr>
    </w:p>
    <w:p w14:paraId="7D1AE602" w14:textId="77777777" w:rsidR="00680577" w:rsidRPr="0054671D" w:rsidRDefault="005F480D" w:rsidP="00680577">
      <w:pPr>
        <w:pStyle w:val="EPBodyTA1"/>
      </w:pPr>
      <w:r w:rsidRPr="0054671D">
        <w:t>TEKSTY PRZYJĘTE</w:t>
      </w:r>
    </w:p>
    <w:p w14:paraId="0BF6E340" w14:textId="77777777" w:rsidR="00D058B8" w:rsidRPr="0054671D" w:rsidRDefault="00D058B8" w:rsidP="00D058B8">
      <w:pPr>
        <w:pStyle w:val="LineBottom"/>
      </w:pPr>
    </w:p>
    <w:p w14:paraId="1978BFEE" w14:textId="4F70D27D" w:rsidR="005F480D" w:rsidRPr="0054671D" w:rsidRDefault="005F480D" w:rsidP="005F480D">
      <w:pPr>
        <w:pStyle w:val="ATHeading1"/>
      </w:pPr>
      <w:bookmarkStart w:id="0" w:name="TANumber"/>
      <w:r w:rsidRPr="0054671D">
        <w:t>P10_TA(2026)0</w:t>
      </w:r>
      <w:r w:rsidR="00482D2D">
        <w:t>241</w:t>
      </w:r>
      <w:bookmarkEnd w:id="0"/>
    </w:p>
    <w:p w14:paraId="4867D159" w14:textId="40490BFB" w:rsidR="005F480D" w:rsidRPr="0054671D" w:rsidRDefault="005F480D" w:rsidP="005F480D">
      <w:pPr>
        <w:pStyle w:val="ATHeading2"/>
      </w:pPr>
      <w:bookmarkStart w:id="1" w:name="title"/>
      <w:r w:rsidRPr="0054671D">
        <w:t>Świadczenie międzynarodowych usług przewozu drogowego osób autokarem i autobusem w regionach przygranicznych:</w:t>
      </w:r>
      <w:r w:rsidR="00530A6F">
        <w:t xml:space="preserve"> </w:t>
      </w:r>
      <w:r w:rsidRPr="0054671D">
        <w:t>przewozy kabotażowe między Austrią a Szwajcarią</w:t>
      </w:r>
      <w:bookmarkEnd w:id="1"/>
    </w:p>
    <w:p w14:paraId="51D70C89" w14:textId="77777777" w:rsidR="005F480D" w:rsidRPr="0054671D" w:rsidRDefault="005F480D" w:rsidP="005F480D">
      <w:pPr>
        <w:rPr>
          <w:i/>
          <w:vanish/>
        </w:rPr>
      </w:pPr>
      <w:r w:rsidRPr="0054671D">
        <w:rPr>
          <w:i/>
        </w:rPr>
        <w:fldChar w:fldCharType="begin"/>
      </w:r>
      <w:r w:rsidRPr="0054671D">
        <w:rPr>
          <w:i/>
        </w:rPr>
        <w:instrText xml:space="preserve"> TC"(</w:instrText>
      </w:r>
      <w:bookmarkStart w:id="2" w:name="DocNumber"/>
      <w:r w:rsidRPr="0054671D">
        <w:rPr>
          <w:i/>
        </w:rPr>
        <w:instrText>A10-0174/2026</w:instrText>
      </w:r>
      <w:bookmarkEnd w:id="2"/>
      <w:r w:rsidRPr="0054671D">
        <w:rPr>
          <w:i/>
        </w:rPr>
        <w:instrText xml:space="preserve"> - Sprawozdawca: Elissavet Vozemberg-Vrionidi)"\l3 \n&gt; \* MERGEFORMAT </w:instrText>
      </w:r>
      <w:r w:rsidRPr="0054671D">
        <w:rPr>
          <w:i/>
        </w:rPr>
        <w:fldChar w:fldCharType="end"/>
      </w:r>
    </w:p>
    <w:p w14:paraId="4208CF5E" w14:textId="77777777" w:rsidR="005F480D" w:rsidRPr="0054671D" w:rsidRDefault="005F480D" w:rsidP="005F480D">
      <w:pPr>
        <w:rPr>
          <w:vanish/>
        </w:rPr>
      </w:pPr>
      <w:bookmarkStart w:id="3" w:name="Commission"/>
      <w:r w:rsidRPr="0054671D">
        <w:rPr>
          <w:vanish/>
        </w:rPr>
        <w:t>Komisja Transportu i Turystyki</w:t>
      </w:r>
      <w:bookmarkEnd w:id="3"/>
    </w:p>
    <w:p w14:paraId="67081CB1" w14:textId="77777777" w:rsidR="005F480D" w:rsidRPr="0054671D" w:rsidRDefault="005F480D" w:rsidP="005F480D">
      <w:pPr>
        <w:rPr>
          <w:vanish/>
        </w:rPr>
      </w:pPr>
      <w:bookmarkStart w:id="4" w:name="PE"/>
      <w:r w:rsidRPr="0054671D">
        <w:rPr>
          <w:vanish/>
        </w:rPr>
        <w:t>PE785.404</w:t>
      </w:r>
      <w:bookmarkEnd w:id="4"/>
    </w:p>
    <w:p w14:paraId="3D41A072" w14:textId="2467C57F" w:rsidR="005F480D" w:rsidRPr="0054671D" w:rsidRDefault="005F480D" w:rsidP="005F480D">
      <w:pPr>
        <w:pStyle w:val="ATHeading3"/>
      </w:pPr>
      <w:bookmarkStart w:id="5" w:name="Sujet"/>
      <w:r w:rsidRPr="0054671D">
        <w:t xml:space="preserve">Rezolucja ustawodawcza Parlamentu Europejskiego z dnia </w:t>
      </w:r>
      <w:r w:rsidR="00DC0959">
        <w:t>7 lipca</w:t>
      </w:r>
      <w:r w:rsidRPr="0054671D">
        <w:t xml:space="preserve"> 2026 r. w sprawie wniosku dotyczącego decyzji Parlamentu Europejskiego i Rady upoważniającej Austrię do zmiany jej obowiązującej dwustronnej umowy o transporcie drogowym ze Szwajcarią w celu dopuszczenia przewozów kabotażowych w regionach przygranicznych w ramach świadczenia międzynarodowych usług przewozu drogowego osób autokarem i autobusem między tymi dwoma państwami</w:t>
      </w:r>
      <w:bookmarkEnd w:id="5"/>
      <w:r w:rsidRPr="0054671D">
        <w:t xml:space="preserve"> </w:t>
      </w:r>
      <w:bookmarkStart w:id="6" w:name="References"/>
      <w:r w:rsidRPr="0054671D">
        <w:t>(COM(2025)0773 – C10-0367/2025 – 2025/0407(COD))</w:t>
      </w:r>
      <w:bookmarkEnd w:id="6"/>
    </w:p>
    <w:p w14:paraId="446D207D" w14:textId="77777777" w:rsidR="008F5870" w:rsidRPr="0054671D" w:rsidRDefault="008F5870" w:rsidP="008F5870">
      <w:pPr>
        <w:pStyle w:val="NormalBold"/>
      </w:pPr>
      <w:r w:rsidRPr="0054671D">
        <w:t>(Zwykła procedura ustawodawcza: pierwsze czytanie)</w:t>
      </w:r>
    </w:p>
    <w:p w14:paraId="298426DD" w14:textId="77777777" w:rsidR="008F5870" w:rsidRPr="0054671D" w:rsidRDefault="008F5870" w:rsidP="008F5870">
      <w:pPr>
        <w:pStyle w:val="EPComma"/>
      </w:pPr>
      <w:r w:rsidRPr="0054671D">
        <w:rPr>
          <w:i/>
        </w:rPr>
        <w:t>Parlament Europejski</w:t>
      </w:r>
      <w:r w:rsidRPr="0054671D">
        <w:t>,</w:t>
      </w:r>
    </w:p>
    <w:p w14:paraId="4DD3C2C0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wniosek Komisji przedstawiony Parlamentowi Europejskiemu i Radzie (COM(2025)0773),</w:t>
      </w:r>
    </w:p>
    <w:p w14:paraId="4FE3311E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art. 294 ust. 2 i art. 2 ust. 1 oraz ust. 91 Traktatu o funkcjonowaniu Unii Europejskiej, zgodnie z którymi wniosek został przedstawiony Parlamentowi przez Komisję (C10</w:t>
      </w:r>
      <w:r w:rsidRPr="0054671D">
        <w:noBreakHyphen/>
        <w:t>0367/2025),</w:t>
      </w:r>
    </w:p>
    <w:p w14:paraId="59E01EEB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art. 294 ust. 3 Traktatu o funkcjonowaniu Unii Europejskiej,</w:t>
      </w:r>
    </w:p>
    <w:p w14:paraId="3E29E77C" w14:textId="77777777" w:rsidR="00DC0959" w:rsidRDefault="00DC0959" w:rsidP="00DC0959">
      <w:pPr>
        <w:pStyle w:val="Normal12Hanging"/>
        <w:ind w:left="567" w:hanging="567"/>
        <w:rPr>
          <w:szCs w:val="24"/>
        </w:rPr>
      </w:pPr>
      <w:bookmarkStart w:id="7" w:name="_Hlk213406732"/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>,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10</w:t>
      </w:r>
      <w:r w:rsidRPr="00710F4D">
        <w:rPr>
          <w:szCs w:val="24"/>
        </w:rPr>
        <w:t xml:space="preserve"> </w:t>
      </w:r>
      <w:r>
        <w:rPr>
          <w:szCs w:val="24"/>
        </w:rPr>
        <w:t>czerwca 2026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bookmarkEnd w:id="7"/>
    <w:p w14:paraId="060F011B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opinię Komisji Prawnej w sprawie proponowanej podstawy prawnej,</w:t>
      </w:r>
    </w:p>
    <w:p w14:paraId="08AA1339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opinię Europejskiego Komitetu Ekonomiczno-Społecznego z dnia 21 stycznia 2026 r.</w:t>
      </w:r>
      <w:r w:rsidRPr="0054671D">
        <w:rPr>
          <w:vertAlign w:val="superscript"/>
        </w:rPr>
        <w:footnoteReference w:id="1"/>
      </w:r>
      <w:r w:rsidRPr="0054671D">
        <w:t>,</w:t>
      </w:r>
    </w:p>
    <w:p w14:paraId="7FB01DD6" w14:textId="73A2BF0B" w:rsidR="008F5870" w:rsidRPr="0054671D" w:rsidRDefault="008F5870" w:rsidP="008F5870">
      <w:pPr>
        <w:pStyle w:val="NormalHanging12a"/>
      </w:pPr>
      <w:r w:rsidRPr="0054671D">
        <w:lastRenderedPageBreak/>
        <w:t>–</w:t>
      </w:r>
      <w:r w:rsidRPr="0054671D">
        <w:tab/>
        <w:t xml:space="preserve">po </w:t>
      </w:r>
      <w:r w:rsidR="00957833">
        <w:t>konsultacji z Komitetem</w:t>
      </w:r>
      <w:r w:rsidRPr="0054671D">
        <w:t xml:space="preserve"> Regionów,</w:t>
      </w:r>
    </w:p>
    <w:p w14:paraId="22759A6C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art. 60 i 41 Regulaminu,</w:t>
      </w:r>
    </w:p>
    <w:p w14:paraId="14B1E87F" w14:textId="77777777" w:rsidR="008F5870" w:rsidRPr="0054671D" w:rsidRDefault="008F5870" w:rsidP="008F5870">
      <w:pPr>
        <w:pStyle w:val="NormalHanging12a"/>
      </w:pPr>
      <w:r w:rsidRPr="0054671D">
        <w:t>–</w:t>
      </w:r>
      <w:r w:rsidRPr="0054671D">
        <w:tab/>
        <w:t>uwzględniając sprawozdanie Komisji Transportu i Turystyki (A10-0174/2026),</w:t>
      </w:r>
    </w:p>
    <w:p w14:paraId="0830F9A7" w14:textId="77777777" w:rsidR="008F5870" w:rsidRPr="0054671D" w:rsidRDefault="008F5870" w:rsidP="008F5870">
      <w:pPr>
        <w:pStyle w:val="NormalHanging12a"/>
      </w:pPr>
      <w:r w:rsidRPr="0054671D">
        <w:t>1.</w:t>
      </w:r>
      <w:r w:rsidRPr="0054671D">
        <w:tab/>
        <w:t>przyjmuje poniższe stanowisko w pierwszym czytaniu;</w:t>
      </w:r>
    </w:p>
    <w:p w14:paraId="59E620E8" w14:textId="77777777" w:rsidR="008F5870" w:rsidRPr="0054671D" w:rsidRDefault="008F5870" w:rsidP="008F5870">
      <w:pPr>
        <w:pStyle w:val="NormalHanging12a"/>
      </w:pPr>
      <w:r w:rsidRPr="0054671D">
        <w:t>2.</w:t>
      </w:r>
      <w:r w:rsidRPr="0054671D">
        <w:tab/>
        <w:t>zobowiązuje swoją przewodniczącą do przekazania stanowiska Parlamentu Radzie i Komisji oraz parlamentom narodowym.</w:t>
      </w:r>
    </w:p>
    <w:p w14:paraId="2F82BD9F" w14:textId="77777777" w:rsidR="00DC0959" w:rsidRDefault="00DC0959">
      <w:pPr>
        <w:widowControl/>
        <w:sectPr w:rsidR="00DC0959" w:rsidSect="005467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29FFE9" w14:textId="77777777" w:rsidR="00DC0959" w:rsidRPr="00277D55" w:rsidRDefault="00DC0959" w:rsidP="00DC095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77D55">
        <w:rPr>
          <w:rFonts w:eastAsia="Calibri"/>
          <w:b/>
          <w:bCs/>
          <w:color w:val="000000"/>
          <w:szCs w:val="24"/>
        </w:rPr>
        <w:lastRenderedPageBreak/>
        <w:t>P10_TC1-COD(2025)0407</w:t>
      </w:r>
    </w:p>
    <w:p w14:paraId="3E4A0CB2" w14:textId="6395E524" w:rsidR="00DC0959" w:rsidRPr="00DC0959" w:rsidRDefault="00DC0959" w:rsidP="00DC0959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1F18A7">
        <w:rPr>
          <w:b/>
        </w:rPr>
        <w:t>7 lipca</w:t>
      </w:r>
      <w:r>
        <w:rPr>
          <w:b/>
        </w:rPr>
        <w:t xml:space="preserve"> 2026 r.</w:t>
      </w:r>
      <w:r w:rsidRPr="00291A00">
        <w:rPr>
          <w:b/>
        </w:rPr>
        <w:t xml:space="preserve"> </w:t>
      </w:r>
      <w:r w:rsidRPr="00741191">
        <w:rPr>
          <w:b/>
        </w:rPr>
        <w:t xml:space="preserve">w celu przyjęcia decyzji Parlamentu </w:t>
      </w:r>
      <w:r>
        <w:rPr>
          <w:b/>
        </w:rPr>
        <w:t xml:space="preserve">Europejskiego i Rady (UE) 2026/... </w:t>
      </w:r>
      <w:r w:rsidR="00277D55" w:rsidRPr="00277D55">
        <w:rPr>
          <w:b/>
        </w:rPr>
        <w:t>w sprawie upoważnienia Austrii do zmiany umowy dwustronnej w sprawie transportu drogowego ze Szwajcarią w celu zezwolenia na wykonywanie przewozów kabotażowych w regionach przygranicznych w ramach świadczenia międzynarodowych usług przewozu osób autokarem i autobusem między tymi dwoma państwami</w:t>
      </w:r>
    </w:p>
    <w:p w14:paraId="020355F5" w14:textId="77777777" w:rsidR="00277D55" w:rsidRPr="00142BE4" w:rsidRDefault="00277D55" w:rsidP="00277D55">
      <w:pPr>
        <w:pStyle w:val="Institutionquiagit"/>
        <w:rPr>
          <w:noProof/>
          <w:color w:val="000000"/>
        </w:rPr>
      </w:pPr>
      <w:r w:rsidRPr="00142BE4">
        <w:rPr>
          <w:noProof/>
          <w:color w:val="000000"/>
        </w:rPr>
        <w:t>PARLAMENT EUROPEJSKI I RADA UNII EUROPEJSKIEJ,</w:t>
      </w:r>
    </w:p>
    <w:p w14:paraId="55054243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uwzględniając Traktat o funkcjonowaniu Unii Europejskiej, w szczególności jego art.</w:t>
      </w:r>
      <w:r>
        <w:rPr>
          <w:noProof/>
          <w:color w:val="000000"/>
        </w:rPr>
        <w:t>▌</w:t>
      </w:r>
      <w:r w:rsidRPr="00142BE4">
        <w:rPr>
          <w:noProof/>
          <w:color w:val="000000"/>
        </w:rPr>
        <w:t> 91,</w:t>
      </w:r>
    </w:p>
    <w:p w14:paraId="45CBEF44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uwzględniając wniosek Komisji Europejskiej,</w:t>
      </w:r>
    </w:p>
    <w:p w14:paraId="3BA6D5E6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po przekazaniu projektu aktu ustawodawczego parlamentom narodowym,</w:t>
      </w:r>
    </w:p>
    <w:p w14:paraId="0A68BC5D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uwzględniając opinię Europejskiego Komitetu Ekonomiczno-Społecznego</w:t>
      </w:r>
      <w:r w:rsidRPr="00142BE4">
        <w:rPr>
          <w:rStyle w:val="FootnoteReference"/>
          <w:noProof/>
          <w:color w:val="000000"/>
        </w:rPr>
        <w:footnoteReference w:id="2"/>
      </w:r>
      <w:r w:rsidRPr="00142BE4">
        <w:rPr>
          <w:noProof/>
          <w:color w:val="000000"/>
        </w:rPr>
        <w:t>,</w:t>
      </w:r>
    </w:p>
    <w:p w14:paraId="6F0EED29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po konsultacji z Komitetem Regionów,</w:t>
      </w:r>
    </w:p>
    <w:p w14:paraId="2AAD32A2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stanowiąc zgodnie ze zwykłą procedurą ustawodawczą</w:t>
      </w:r>
      <w:r w:rsidRPr="00142BE4">
        <w:rPr>
          <w:rStyle w:val="FootnoteReference"/>
          <w:noProof/>
          <w:color w:val="000000"/>
        </w:rPr>
        <w:footnoteReference w:id="3"/>
      </w:r>
      <w:r w:rsidRPr="00142BE4">
        <w:rPr>
          <w:noProof/>
          <w:color w:val="000000"/>
        </w:rPr>
        <w:t>,</w:t>
      </w:r>
    </w:p>
    <w:p w14:paraId="517C4AB1" w14:textId="77777777" w:rsidR="00277D55" w:rsidRPr="00142BE4" w:rsidRDefault="00277D55" w:rsidP="00277D55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br w:type="page"/>
      </w:r>
    </w:p>
    <w:p w14:paraId="284A39F9" w14:textId="77777777" w:rsidR="00277D55" w:rsidRPr="00142BE4" w:rsidRDefault="00277D55" w:rsidP="00277D55">
      <w:pPr>
        <w:rPr>
          <w:noProof/>
          <w:color w:val="000000"/>
        </w:rPr>
      </w:pPr>
      <w:r w:rsidRPr="00142BE4">
        <w:rPr>
          <w:noProof/>
          <w:color w:val="000000"/>
        </w:rPr>
        <w:lastRenderedPageBreak/>
        <w:t>a także mając na uwadze, co następuje:</w:t>
      </w:r>
    </w:p>
    <w:p w14:paraId="429EDED9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bookmarkStart w:id="8" w:name="_Hlk211264391"/>
      <w:r w:rsidRPr="00142BE4">
        <w:rPr>
          <w:noProof/>
          <w:color w:val="000000"/>
        </w:rPr>
        <w:t>(1)</w:t>
      </w:r>
      <w:r w:rsidRPr="00142BE4">
        <w:rPr>
          <w:noProof/>
          <w:color w:val="000000"/>
        </w:rPr>
        <w:tab/>
        <w:t>Zgodnie z art. 20 ust. 1 Umowy między Wspólnotą Europejską a Konfederacją Szwajcarską w sprawie przewozu kolejowego i drogowego rzeczy i osób</w:t>
      </w:r>
      <w:r w:rsidRPr="00142BE4">
        <w:rPr>
          <w:rStyle w:val="FootnoteReference"/>
          <w:noProof/>
          <w:color w:val="000000"/>
        </w:rPr>
        <w:footnoteReference w:id="4"/>
      </w:r>
      <w:r w:rsidRPr="00142BE4">
        <w:rPr>
          <w:noProof/>
          <w:color w:val="000000"/>
        </w:rPr>
        <w:t xml:space="preserve"> (zwanej dalej „umową UE–Szwajcaria”) nie jest dozwolony transport osób autokarem i autobusem między dwoma punktami położonymi na terytorium tej samej Umawiającej się Strony umowy UE–Szwajcaria przez przewoźników mających siedzibę na terytorium drugiej Umawiającej się Strony, zwany kabotażem.</w:t>
      </w:r>
    </w:p>
    <w:p w14:paraId="63D7F90E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(2)</w:t>
      </w:r>
      <w:r w:rsidRPr="00142BE4">
        <w:rPr>
          <w:noProof/>
          <w:color w:val="000000"/>
        </w:rPr>
        <w:tab/>
        <w:t>Zgodnie z art. 20 ust. 2 umowy UE–Szwajcaria nadal można korzystać z istniejących praw do kabotażu określonych w dwustronnych umowach zawartych między państwami członkowskimi a Szwajcarią, które obowiązywały w momencie zawarcia umowy UE–Szwajcaria w dniu 21 czerwca 1999 r., pod warunkiem że nie dochodzi do dyskryminacji przewoźników mających siedzibę w Unii ani do zakłócenia konkurencji. Umowa dwustronna w sprawie transportu drogowego między Austrią a Szwajcarią z dnia 22 października 1958 r.</w:t>
      </w:r>
      <w:r w:rsidRPr="00142BE4">
        <w:rPr>
          <w:rStyle w:val="FootnoteReference"/>
          <w:noProof/>
          <w:color w:val="000000"/>
        </w:rPr>
        <w:footnoteReference w:id="5"/>
      </w:r>
      <w:r w:rsidRPr="00142BE4">
        <w:rPr>
          <w:noProof/>
          <w:color w:val="000000"/>
        </w:rPr>
        <w:t xml:space="preserve"> (zwana dalej „umową Austria–Szwajcaria”) nie zezwala na wykonywanie przewozów kabotażowych w ramach świadczenia międzynarodowych usług przewozu osób autokarem i autobusem między tymi dwoma państwami. W związku z tym prawo do wykonywania takich przewozów nie wchodzi w zakres praw określonych w art. 20 ust. 2 umowy UE–Szwajcaria.</w:t>
      </w:r>
    </w:p>
    <w:p w14:paraId="6F7A8033" w14:textId="77777777" w:rsidR="00277D55" w:rsidRPr="00142BE4" w:rsidRDefault="00277D55" w:rsidP="00277D55">
      <w:pPr>
        <w:spacing w:after="160" w:line="259" w:lineRule="auto"/>
        <w:rPr>
          <w:noProof/>
          <w:color w:val="000000"/>
        </w:rPr>
      </w:pPr>
      <w:r w:rsidRPr="00142BE4">
        <w:rPr>
          <w:noProof/>
          <w:color w:val="000000"/>
        </w:rPr>
        <w:br w:type="page"/>
      </w:r>
    </w:p>
    <w:p w14:paraId="499516DE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lastRenderedPageBreak/>
        <w:t>(3)</w:t>
      </w:r>
      <w:r w:rsidRPr="00142BE4">
        <w:rPr>
          <w:noProof/>
          <w:color w:val="000000"/>
        </w:rPr>
        <w:tab/>
        <w:t>Zobowiązania międzynarodowe pozwalające przewoźnikom mającym siedzibę w Szwajcarii na wykonywanie przewozów kabotażowych w Unii mogą mieć wpływ na art. 20 umowy UE–Szwajcaria, ponieważ artykuł ten nie zezwala na takie przewozy.</w:t>
      </w:r>
    </w:p>
    <w:p w14:paraId="779B23AD" w14:textId="7F8821F2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(4)</w:t>
      </w:r>
      <w:r w:rsidRPr="00142BE4">
        <w:rPr>
          <w:noProof/>
          <w:color w:val="000000"/>
        </w:rPr>
        <w:tab/>
        <w:t>Ponadto rozporządzenie Parlamentu Europejskiego i Rady (WE) nr 1073/2009</w:t>
      </w:r>
      <w:r w:rsidRPr="00142BE4">
        <w:rPr>
          <w:rStyle w:val="FootnoteReference"/>
          <w:noProof/>
          <w:color w:val="000000"/>
        </w:rPr>
        <w:footnoteReference w:id="6"/>
      </w:r>
      <w:r w:rsidRPr="00142BE4">
        <w:rPr>
          <w:noProof/>
          <w:color w:val="000000"/>
        </w:rPr>
        <w:t xml:space="preserve"> pozwala na wykonywanie przewozów kabotażowych w</w:t>
      </w:r>
      <w:r w:rsidR="00530A6F">
        <w:rPr>
          <w:noProof/>
          <w:color w:val="000000"/>
        </w:rPr>
        <w:t xml:space="preserve"> </w:t>
      </w:r>
      <w:r w:rsidRPr="00142BE4">
        <w:rPr>
          <w:noProof/>
          <w:color w:val="000000"/>
        </w:rPr>
        <w:t>Unii, na określonych warunkach, wyłącznie przez przewoźników posiadających licencję wspólnotową. Zobowiązania międzynarodowe pozwalające na wykonywanie tego rodzaju przewozów przez przewoźników z państw trzecich, którzy nie posiadają takiej licencji, mogą mieć wpływ na to rozporządzenie.</w:t>
      </w:r>
    </w:p>
    <w:p w14:paraId="15B4ACAB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(5)</w:t>
      </w:r>
      <w:r w:rsidRPr="00142BE4">
        <w:rPr>
          <w:noProof/>
          <w:color w:val="000000"/>
        </w:rPr>
        <w:tab/>
        <w:t>W rezultacie takie miedzynarodowe zobowiązania wchodzą w zakres wyłącznej kompetencji zewnętrznej Unii. Państwa członkowskie mogą negocjować lub zawierać takie zobowiązania tylko wtedy, gdy są do tego upoważnione przez Unię zgodnie z art. 2 ust. 1 Traktatu o funkcjonowaniu Unii Europejskiej (TFUE).</w:t>
      </w:r>
    </w:p>
    <w:p w14:paraId="4F50E9AC" w14:textId="77777777" w:rsidR="00277D55" w:rsidRPr="00142BE4" w:rsidRDefault="00277D55" w:rsidP="00277D55">
      <w:pPr>
        <w:spacing w:after="160" w:line="259" w:lineRule="auto"/>
        <w:rPr>
          <w:noProof/>
          <w:color w:val="000000"/>
        </w:rPr>
      </w:pPr>
      <w:r w:rsidRPr="00142BE4">
        <w:rPr>
          <w:noProof/>
          <w:color w:val="000000"/>
        </w:rPr>
        <w:br w:type="page"/>
      </w:r>
    </w:p>
    <w:p w14:paraId="6E21453F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lastRenderedPageBreak/>
        <w:t>(6)</w:t>
      </w:r>
      <w:r w:rsidRPr="00142BE4">
        <w:rPr>
          <w:noProof/>
          <w:color w:val="000000"/>
        </w:rPr>
        <w:tab/>
        <w:t>Przewozy kabotażowe wykonywane w Unii przez przewoźników z państw trzecich, którzy nie posiadają licencji wspólnotowej przewidzianej w rozporządzeniu (WE) nr 1073/2009, mają wpływ na funkcjonowanie rynku wewnętrznego usług autokarowych i autobusowych ustanowionego na mocy tego rozporządzenia. W związku z tym konieczne jest, aby upoważnienie na mocy art. 2 ust. 1 TFUE było udzielane przez prawodawcę Unii zgodnie z procedurą ustawodawczą, o której mowa w art. 91 TFUE.</w:t>
      </w:r>
    </w:p>
    <w:p w14:paraId="0D6A72F5" w14:textId="0EE05B8B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(7)</w:t>
      </w:r>
      <w:r w:rsidRPr="00142BE4">
        <w:rPr>
          <w:noProof/>
          <w:color w:val="000000"/>
        </w:rPr>
        <w:tab/>
        <w:t>Pismem z dnia 17 marca 2025 r. Austria zwróciła się do Unii o upoważnienie do zmiany umowy Austria–Szwajcariaw celu zezwolenia na wykonywanie przewozów kabotażowych podczas świadczenia międzynarodowych usług przewozu osób autokarem i autobusem w</w:t>
      </w:r>
      <w:r w:rsidR="00530A6F">
        <w:rPr>
          <w:noProof/>
          <w:color w:val="000000"/>
        </w:rPr>
        <w:t xml:space="preserve"> </w:t>
      </w:r>
      <w:r w:rsidRPr="00142BE4">
        <w:rPr>
          <w:noProof/>
          <w:color w:val="000000"/>
        </w:rPr>
        <w:t>regionach przygranicznych Austrii i Szwajcarii</w:t>
      </w:r>
      <w:r w:rsidRPr="00142BE4">
        <w:rPr>
          <w:b/>
          <w:bCs/>
          <w:i/>
          <w:iCs/>
          <w:noProof/>
          <w:color w:val="000000"/>
        </w:rPr>
        <w:t>, przyczyniając się tym samym do większej spójności terytorialnej</w:t>
      </w:r>
      <w:r w:rsidRPr="00142BE4">
        <w:rPr>
          <w:noProof/>
          <w:color w:val="000000"/>
        </w:rPr>
        <w:t>.</w:t>
      </w:r>
    </w:p>
    <w:p w14:paraId="47C8D83A" w14:textId="27813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(8)</w:t>
      </w:r>
      <w:r w:rsidRPr="00142BE4">
        <w:rPr>
          <w:noProof/>
          <w:color w:val="000000"/>
        </w:rPr>
        <w:tab/>
        <w:t>Przewozy kabotażowe pozwalają na zwiększenie współczynnika obciążenia pojazdów, co poprawia efektywność ekonomiczną międzynarodowych usług przewozu osób autokarem i autobusem. Należy zatem zezwolić na wykonywanie takich przewozów w ramach świadczenia międzynarodowych usług przewozu osób autokarem i autobusem w</w:t>
      </w:r>
      <w:r w:rsidR="00530A6F">
        <w:rPr>
          <w:noProof/>
          <w:color w:val="000000"/>
        </w:rPr>
        <w:t xml:space="preserve"> </w:t>
      </w:r>
      <w:r w:rsidRPr="00142BE4">
        <w:rPr>
          <w:noProof/>
          <w:color w:val="000000"/>
        </w:rPr>
        <w:t>regionach przygranicznych Austrii i Szwajcarii. Może to jeszcze bardziej wzmocnić ścisłe powiązania między tymi regionami przygranicznymi.</w:t>
      </w:r>
    </w:p>
    <w:p w14:paraId="7F1BFDE3" w14:textId="77777777" w:rsidR="00277D55" w:rsidRPr="00142BE4" w:rsidRDefault="00277D55" w:rsidP="00277D55">
      <w:pPr>
        <w:spacing w:after="160" w:line="259" w:lineRule="auto"/>
        <w:rPr>
          <w:noProof/>
          <w:color w:val="000000"/>
        </w:rPr>
      </w:pPr>
      <w:r w:rsidRPr="00142BE4">
        <w:rPr>
          <w:noProof/>
          <w:color w:val="000000"/>
        </w:rPr>
        <w:br w:type="page"/>
      </w:r>
    </w:p>
    <w:p w14:paraId="6FE7DEFB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lastRenderedPageBreak/>
        <w:t>(9)</w:t>
      </w:r>
      <w:r w:rsidRPr="00142BE4">
        <w:rPr>
          <w:noProof/>
          <w:color w:val="000000"/>
        </w:rPr>
        <w:tab/>
        <w:t xml:space="preserve">Aby zapewnić, że przedmiotowe przewozy kabotażowe nie wpłyną nadmiernie na funkcjonowanie rynku wewnętrznego usług autokarowych i autobusowych, ustanowionego rozporządzeniem (WE) nr 1073/2009, zezwolenie na wykonywanie takich przewozów kabotażowych powinno być możliwe pod warunkiem niedyskryminowania przewoźników mających siedzibę w Unii i niezakłócania konkurencji. </w:t>
      </w:r>
    </w:p>
    <w:p w14:paraId="2D622438" w14:textId="77777777" w:rsidR="00277D55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(10)</w:t>
      </w:r>
      <w:r w:rsidRPr="00142BE4">
        <w:rPr>
          <w:noProof/>
          <w:color w:val="000000"/>
        </w:rPr>
        <w:tab/>
        <w:t>Z tego samego powodu na wykonywanie przewozów kabotażowych należy zezwolić wyłącznie w regionach przygranicznych Austrii w ramach świadczenia międzynarodowych usług przewozu osób autokarem i autobusem między Austrią a Szwajcarią. W tym celu konieczne jest określenie regionów przygranicznych Austrii na potrzeby niniejszej decyzji w sposób, który należycie uwzględnia funkcjonowanie rozporządzenia (WE) nr 1073/2009, a jednocześnie pozwala na zwiększenie efektywności przedmiotowych przewozów,</w:t>
      </w:r>
      <w:bookmarkEnd w:id="8"/>
    </w:p>
    <w:p w14:paraId="29143483" w14:textId="77777777" w:rsidR="00277D55" w:rsidRPr="00142BE4" w:rsidRDefault="00277D55" w:rsidP="00277D55">
      <w:pPr>
        <w:pStyle w:val="ManualConsidrant"/>
        <w:rPr>
          <w:noProof/>
          <w:color w:val="000000"/>
        </w:rPr>
      </w:pPr>
      <w:r w:rsidRPr="00142BE4">
        <w:rPr>
          <w:noProof/>
          <w:color w:val="000000"/>
        </w:rPr>
        <w:t>PRZYJMUJĄ NINIEJSZĄ DECYZJĘ:</w:t>
      </w:r>
    </w:p>
    <w:p w14:paraId="072F59F7" w14:textId="77777777" w:rsidR="00277D55" w:rsidRPr="00142BE4" w:rsidRDefault="00277D55" w:rsidP="00277D55">
      <w:pPr>
        <w:spacing w:after="160" w:line="259" w:lineRule="auto"/>
        <w:rPr>
          <w:i/>
          <w:noProof/>
          <w:color w:val="000000"/>
        </w:rPr>
      </w:pPr>
      <w:r w:rsidRPr="00142BE4">
        <w:rPr>
          <w:noProof/>
          <w:color w:val="000000"/>
        </w:rPr>
        <w:br w:type="page"/>
      </w:r>
    </w:p>
    <w:p w14:paraId="3E9AFA13" w14:textId="77777777" w:rsidR="00277D55" w:rsidRPr="00530A6F" w:rsidRDefault="00277D55" w:rsidP="00941FC2">
      <w:pPr>
        <w:pStyle w:val="Titrearticle"/>
        <w:spacing w:before="0" w:after="0"/>
        <w:rPr>
          <w:i w:val="0"/>
          <w:iCs/>
          <w:noProof/>
          <w:color w:val="000000"/>
        </w:rPr>
      </w:pPr>
      <w:r w:rsidRPr="00530A6F">
        <w:rPr>
          <w:i w:val="0"/>
          <w:iCs/>
          <w:noProof/>
          <w:color w:val="000000"/>
        </w:rPr>
        <w:lastRenderedPageBreak/>
        <w:t>Artykuł 1</w:t>
      </w:r>
    </w:p>
    <w:p w14:paraId="5A787E39" w14:textId="77777777" w:rsidR="00277D55" w:rsidRPr="00142BE4" w:rsidRDefault="00277D55" w:rsidP="00941FC2">
      <w:pPr>
        <w:spacing w:line="360" w:lineRule="auto"/>
        <w:rPr>
          <w:noProof/>
          <w:color w:val="000000"/>
        </w:rPr>
      </w:pPr>
      <w:r w:rsidRPr="00142BE4">
        <w:rPr>
          <w:noProof/>
          <w:color w:val="000000"/>
        </w:rPr>
        <w:t>Niniejszym upoważnia się Austrię do zmiany umowy dwustronnej w sprawie transportu drogowego między Austrią a Szwajcarią z dnia 22 października 1958 r. (zwanej dalej „umową Austria–Szwajcaria”) w celu zezwolenia na wykonywanie przewozów kabotażowych w regionach przygranicznych Austrii i Szwajcarii w ramach świadczenia międzynarodowych usług przewozu osób autokarem i autobusem między tymi dwoma państwami, pod warunkiem niedyskryminowania przewoźników mających siedzibę w Unii i niezakłócania konkurencji.</w:t>
      </w:r>
    </w:p>
    <w:p w14:paraId="5B8F29F2" w14:textId="77777777" w:rsidR="00277D55" w:rsidRPr="00142BE4" w:rsidRDefault="00277D55" w:rsidP="00941FC2">
      <w:pPr>
        <w:spacing w:line="360" w:lineRule="auto"/>
        <w:rPr>
          <w:noProof/>
          <w:color w:val="000000"/>
        </w:rPr>
      </w:pPr>
      <w:r w:rsidRPr="00142BE4">
        <w:rPr>
          <w:noProof/>
          <w:color w:val="000000"/>
        </w:rPr>
        <w:t>Za regiony przygraniczne Austrii w rozumieniu akapitu pierwszego uznaje się okręgi administracyjne Bludenz, Bregenz, Dornbirn i Feldkirch w regionie Vorarlberg oraz okręg administracyjny Landeck w regionie Tyrol.</w:t>
      </w:r>
    </w:p>
    <w:p w14:paraId="1E490F91" w14:textId="77777777" w:rsidR="00277D55" w:rsidRPr="00142BE4" w:rsidRDefault="00277D55" w:rsidP="00277D55">
      <w:pPr>
        <w:spacing w:after="160" w:line="259" w:lineRule="auto"/>
        <w:rPr>
          <w:i/>
          <w:noProof/>
          <w:color w:val="000000"/>
        </w:rPr>
      </w:pPr>
      <w:r w:rsidRPr="00142BE4">
        <w:rPr>
          <w:noProof/>
          <w:color w:val="000000"/>
        </w:rPr>
        <w:br w:type="page"/>
      </w:r>
    </w:p>
    <w:p w14:paraId="73E701AB" w14:textId="77777777" w:rsidR="00277D55" w:rsidRPr="00530A6F" w:rsidRDefault="00277D55" w:rsidP="00941FC2">
      <w:pPr>
        <w:pStyle w:val="Titrearticle"/>
        <w:spacing w:before="120"/>
        <w:rPr>
          <w:i w:val="0"/>
          <w:iCs/>
          <w:noProof/>
          <w:color w:val="000000"/>
        </w:rPr>
      </w:pPr>
      <w:r w:rsidRPr="00530A6F">
        <w:rPr>
          <w:i w:val="0"/>
          <w:iCs/>
          <w:noProof/>
          <w:color w:val="000000"/>
        </w:rPr>
        <w:lastRenderedPageBreak/>
        <w:t>Artykuł 2</w:t>
      </w:r>
    </w:p>
    <w:p w14:paraId="0037EEB7" w14:textId="77777777" w:rsidR="00277D55" w:rsidRPr="00142BE4" w:rsidRDefault="00277D55" w:rsidP="00941FC2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Austria poinformuje Komisję o zmianie umowy Austria–Szwajcaria zgodnie z art. 1 niniejszej decyzji i przekaże Komisji tekst zmienionej umowy.</w:t>
      </w:r>
    </w:p>
    <w:p w14:paraId="7CCDA40A" w14:textId="2C482919" w:rsidR="00277D55" w:rsidRPr="00142BE4" w:rsidRDefault="00277D55" w:rsidP="00941FC2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Komisja przekaże te informacje</w:t>
      </w:r>
      <w:r w:rsidR="00530A6F">
        <w:rPr>
          <w:noProof/>
          <w:color w:val="000000"/>
        </w:rPr>
        <w:t xml:space="preserve"> </w:t>
      </w:r>
      <w:r w:rsidRPr="00142BE4">
        <w:rPr>
          <w:noProof/>
          <w:color w:val="000000"/>
        </w:rPr>
        <w:t>Parlamentowi Europejskiemu i Radzie.</w:t>
      </w:r>
    </w:p>
    <w:p w14:paraId="781B115C" w14:textId="77777777" w:rsidR="00277D55" w:rsidRPr="00530A6F" w:rsidRDefault="00277D55" w:rsidP="00941FC2">
      <w:pPr>
        <w:pStyle w:val="Titrearticle"/>
        <w:spacing w:before="120"/>
        <w:rPr>
          <w:i w:val="0"/>
          <w:iCs/>
          <w:noProof/>
          <w:color w:val="000000"/>
        </w:rPr>
      </w:pPr>
      <w:r w:rsidRPr="00530A6F">
        <w:rPr>
          <w:i w:val="0"/>
          <w:iCs/>
          <w:noProof/>
          <w:color w:val="000000"/>
        </w:rPr>
        <w:t>Artykuł 3</w:t>
      </w:r>
    </w:p>
    <w:p w14:paraId="4175FD11" w14:textId="77777777" w:rsidR="00277D55" w:rsidRPr="00142BE4" w:rsidRDefault="00277D55" w:rsidP="00941FC2">
      <w:pPr>
        <w:spacing w:before="120" w:after="120" w:line="360" w:lineRule="auto"/>
        <w:rPr>
          <w:noProof/>
          <w:color w:val="000000"/>
        </w:rPr>
      </w:pPr>
      <w:r w:rsidRPr="00142BE4">
        <w:rPr>
          <w:noProof/>
          <w:color w:val="000000"/>
        </w:rPr>
        <w:t>Niniejsza decyzja skierowana jest do Republiki Austrii.</w:t>
      </w:r>
    </w:p>
    <w:p w14:paraId="667A5EBF" w14:textId="77777777" w:rsidR="00277D55" w:rsidRPr="00142BE4" w:rsidRDefault="00277D55" w:rsidP="00277D55">
      <w:pPr>
        <w:pStyle w:val="Fait"/>
        <w:rPr>
          <w:noProof/>
          <w:color w:val="000000"/>
        </w:rPr>
      </w:pPr>
      <w:r w:rsidRPr="00142BE4">
        <w:rPr>
          <w:noProof/>
          <w:color w:val="000000"/>
        </w:rPr>
        <w:t>Sporządzono w …</w:t>
      </w:r>
    </w:p>
    <w:p w14:paraId="7F91C2F7" w14:textId="77777777" w:rsidR="00277D55" w:rsidRPr="00142BE4" w:rsidRDefault="00277D55" w:rsidP="00277D55">
      <w:pPr>
        <w:pStyle w:val="Institutionquisigne"/>
        <w:rPr>
          <w:noProof/>
          <w:color w:val="000000"/>
        </w:rPr>
      </w:pPr>
      <w:r w:rsidRPr="00142BE4">
        <w:rPr>
          <w:noProof/>
          <w:color w:val="000000"/>
        </w:rPr>
        <w:t>W imieniu Parlamentu Europejskiego</w:t>
      </w:r>
      <w:r w:rsidRPr="00142BE4">
        <w:rPr>
          <w:noProof/>
          <w:color w:val="000000"/>
        </w:rPr>
        <w:tab/>
        <w:t>W imieniu Rady</w:t>
      </w:r>
    </w:p>
    <w:p w14:paraId="15F1680E" w14:textId="77777777" w:rsidR="00277D55" w:rsidRDefault="00277D55" w:rsidP="00277D55">
      <w:pPr>
        <w:pStyle w:val="Personnequisigne"/>
        <w:rPr>
          <w:noProof/>
          <w:color w:val="000000"/>
        </w:rPr>
      </w:pPr>
      <w:r w:rsidRPr="00142BE4">
        <w:rPr>
          <w:noProof/>
          <w:color w:val="000000"/>
        </w:rPr>
        <w:t>Przewodnicząca</w:t>
      </w:r>
      <w:r w:rsidRPr="00142BE4">
        <w:rPr>
          <w:noProof/>
          <w:color w:val="000000"/>
        </w:rPr>
        <w:tab/>
        <w:t>Przewodniczący/Przewodnicząca</w:t>
      </w:r>
    </w:p>
    <w:sectPr w:rsidR="00277D55" w:rsidSect="0054671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D8643" w14:textId="77777777" w:rsidR="005F480D" w:rsidRPr="0054671D" w:rsidRDefault="005F480D">
      <w:r w:rsidRPr="0054671D">
        <w:separator/>
      </w:r>
    </w:p>
  </w:endnote>
  <w:endnote w:type="continuationSeparator" w:id="0">
    <w:p w14:paraId="096A05C3" w14:textId="77777777" w:rsidR="005F480D" w:rsidRPr="0054671D" w:rsidRDefault="005F480D">
      <w:r w:rsidRPr="005467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0645" w14:textId="77777777" w:rsidR="00064002" w:rsidRPr="005467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8005" w14:textId="77777777" w:rsidR="00064002" w:rsidRPr="005467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5935" w14:textId="77777777" w:rsidR="00064002" w:rsidRPr="005467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8611" w14:textId="77777777" w:rsidR="005F480D" w:rsidRPr="0054671D" w:rsidRDefault="005F480D">
      <w:r w:rsidRPr="0054671D">
        <w:separator/>
      </w:r>
    </w:p>
  </w:footnote>
  <w:footnote w:type="continuationSeparator" w:id="0">
    <w:p w14:paraId="4DA717E7" w14:textId="77777777" w:rsidR="005F480D" w:rsidRPr="0054671D" w:rsidRDefault="005F480D">
      <w:r w:rsidRPr="0054671D">
        <w:continuationSeparator/>
      </w:r>
    </w:p>
  </w:footnote>
  <w:footnote w:id="1">
    <w:p w14:paraId="30B36E29" w14:textId="38297DCD" w:rsidR="008F5870" w:rsidRPr="00277D55" w:rsidRDefault="008F5870" w:rsidP="0054671D">
      <w:pPr>
        <w:pStyle w:val="FootnoteText"/>
        <w:ind w:left="567" w:hanging="567"/>
        <w:rPr>
          <w:sz w:val="24"/>
          <w:lang w:val="fi-FI"/>
        </w:rPr>
      </w:pPr>
      <w:r w:rsidRPr="0054671D">
        <w:rPr>
          <w:rStyle w:val="FootnoteReference"/>
          <w:sz w:val="24"/>
          <w:lang w:val="pl-PL"/>
        </w:rPr>
        <w:footnoteRef/>
      </w:r>
      <w:r w:rsidR="0054671D" w:rsidRPr="00277D55">
        <w:rPr>
          <w:sz w:val="24"/>
          <w:lang w:val="fi-FI"/>
        </w:rPr>
        <w:t xml:space="preserve"> </w:t>
      </w:r>
      <w:r w:rsidR="0054671D" w:rsidRPr="00277D55">
        <w:rPr>
          <w:sz w:val="24"/>
          <w:lang w:val="fi-FI"/>
        </w:rPr>
        <w:tab/>
      </w:r>
      <w:r w:rsidRPr="00277D55">
        <w:rPr>
          <w:sz w:val="24"/>
          <w:lang w:val="fi-FI"/>
        </w:rPr>
        <w:t xml:space="preserve">Dz.U. C, C/2026/1970, 28.4.2026, ELI: </w:t>
      </w:r>
      <w:hyperlink r:id="rId1" w:history="1">
        <w:r w:rsidRPr="00277D55">
          <w:rPr>
            <w:rStyle w:val="Hyperlink"/>
            <w:sz w:val="24"/>
            <w:lang w:val="fi-FI"/>
          </w:rPr>
          <w:t>http://data.europa.eu/eli/C/2026/1970/oj</w:t>
        </w:r>
      </w:hyperlink>
    </w:p>
  </w:footnote>
  <w:footnote w:id="2">
    <w:p w14:paraId="326CF853" w14:textId="6D124C66" w:rsidR="00277D55" w:rsidRPr="00142BE4" w:rsidRDefault="00277D55" w:rsidP="00277D55">
      <w:pPr>
        <w:pStyle w:val="FootnoteText"/>
        <w:spacing w:line="240" w:lineRule="auto"/>
        <w:ind w:left="850" w:hanging="850"/>
        <w:rPr>
          <w:color w:val="000000"/>
          <w:sz w:val="24"/>
          <w:lang w:val="fi-FI"/>
        </w:rPr>
      </w:pPr>
      <w:r w:rsidRPr="00142BE4">
        <w:rPr>
          <w:rStyle w:val="FootnoteReference"/>
          <w:color w:val="000000"/>
          <w:sz w:val="24"/>
        </w:rPr>
        <w:footnoteRef/>
      </w:r>
      <w:r w:rsidRPr="00142BE4">
        <w:rPr>
          <w:color w:val="000000"/>
          <w:sz w:val="24"/>
          <w:lang w:val="fi-FI"/>
        </w:rPr>
        <w:tab/>
      </w:r>
      <w:proofErr w:type="spellStart"/>
      <w:r w:rsidRPr="00142BE4">
        <w:rPr>
          <w:color w:val="000000"/>
          <w:sz w:val="24"/>
          <w:lang w:val="fi-FI"/>
        </w:rPr>
        <w:t>Dz.U</w:t>
      </w:r>
      <w:proofErr w:type="spellEnd"/>
      <w:r w:rsidRPr="00142BE4">
        <w:rPr>
          <w:color w:val="000000"/>
          <w:sz w:val="24"/>
          <w:lang w:val="fi-FI"/>
        </w:rPr>
        <w:t xml:space="preserve">. C, C/2026/1970, 28.4.2026, ELI: </w:t>
      </w:r>
      <w:hyperlink r:id="rId2" w:history="1">
        <w:r>
          <w:rPr>
            <w:rStyle w:val="Hyperlink"/>
            <w:lang w:val="fi-FI"/>
          </w:rPr>
          <w:t>http://data.europa.eu/eli/C/2026/1970/oj</w:t>
        </w:r>
      </w:hyperlink>
      <w:r w:rsidRPr="00142BE4">
        <w:rPr>
          <w:color w:val="000000"/>
          <w:sz w:val="24"/>
          <w:lang w:val="fi-FI"/>
        </w:rPr>
        <w:t>.</w:t>
      </w:r>
    </w:p>
  </w:footnote>
  <w:footnote w:id="3">
    <w:p w14:paraId="197F57F4" w14:textId="33ABDA18" w:rsidR="00277D55" w:rsidRPr="00277D55" w:rsidRDefault="00277D55" w:rsidP="00277D55">
      <w:pPr>
        <w:pStyle w:val="FootnoteText"/>
        <w:spacing w:line="240" w:lineRule="auto"/>
        <w:ind w:left="850" w:hanging="850"/>
        <w:rPr>
          <w:color w:val="000000"/>
          <w:sz w:val="24"/>
          <w:lang w:val="pl-PL"/>
        </w:rPr>
      </w:pPr>
      <w:r w:rsidRPr="00142BE4">
        <w:rPr>
          <w:rStyle w:val="FootnoteReference"/>
          <w:color w:val="000000"/>
          <w:sz w:val="24"/>
        </w:rPr>
        <w:footnoteRef/>
      </w:r>
      <w:r w:rsidRPr="00277D55">
        <w:rPr>
          <w:color w:val="000000"/>
          <w:sz w:val="24"/>
          <w:lang w:val="pl-PL"/>
        </w:rPr>
        <w:tab/>
        <w:t xml:space="preserve">Stanowisko Parlamentu Europejskiego z dnia </w:t>
      </w:r>
      <w:r w:rsidR="00530A6F">
        <w:rPr>
          <w:color w:val="000000"/>
          <w:sz w:val="24"/>
          <w:lang w:val="pl-PL"/>
        </w:rPr>
        <w:t>7 lipca 2026 r</w:t>
      </w:r>
    </w:p>
  </w:footnote>
  <w:footnote w:id="4">
    <w:p w14:paraId="455DF046" w14:textId="77777777" w:rsidR="00277D55" w:rsidRPr="00277D55" w:rsidRDefault="00277D55" w:rsidP="00277D55">
      <w:pPr>
        <w:pStyle w:val="FootnoteText"/>
        <w:spacing w:line="240" w:lineRule="auto"/>
        <w:ind w:left="850" w:hanging="850"/>
        <w:rPr>
          <w:color w:val="000000"/>
          <w:sz w:val="24"/>
          <w:lang w:val="pl-PL"/>
        </w:rPr>
      </w:pPr>
      <w:r w:rsidRPr="00142BE4">
        <w:rPr>
          <w:rStyle w:val="FootnoteReference"/>
          <w:color w:val="000000"/>
          <w:sz w:val="24"/>
        </w:rPr>
        <w:footnoteRef/>
      </w:r>
      <w:r w:rsidRPr="00277D55">
        <w:rPr>
          <w:color w:val="000000"/>
          <w:sz w:val="24"/>
          <w:lang w:val="pl-PL"/>
        </w:rPr>
        <w:tab/>
        <w:t>Dz.U. L 114 z 30.4.2002, s. 91, ELI: </w:t>
      </w:r>
      <w:hyperlink r:id="rId3" w:history="1">
        <w:r w:rsidRPr="00277D55">
          <w:rPr>
            <w:rStyle w:val="Hyperlink"/>
            <w:lang w:val="pl-PL"/>
          </w:rPr>
          <w:t>http://data.europa.eu/eli/agree_internation/2002/309</w:t>
        </w:r>
      </w:hyperlink>
      <w:r w:rsidRPr="00957833">
        <w:rPr>
          <w:rStyle w:val="Hyperlink"/>
          <w:lang w:val="pl-PL"/>
        </w:rPr>
        <w:t>(3)/oj</w:t>
      </w:r>
      <w:r w:rsidRPr="00277D55">
        <w:rPr>
          <w:color w:val="000000"/>
          <w:sz w:val="24"/>
          <w:lang w:val="pl-PL"/>
        </w:rPr>
        <w:t>.</w:t>
      </w:r>
    </w:p>
  </w:footnote>
  <w:footnote w:id="5">
    <w:p w14:paraId="3FD795F4" w14:textId="230AB6C4" w:rsidR="00277D55" w:rsidRPr="00277D55" w:rsidRDefault="00277D55" w:rsidP="00277D55">
      <w:pPr>
        <w:pStyle w:val="FootnoteText"/>
        <w:spacing w:line="240" w:lineRule="auto"/>
        <w:ind w:left="850" w:hanging="850"/>
        <w:rPr>
          <w:color w:val="000000"/>
          <w:sz w:val="24"/>
          <w:lang w:val="pl-PL"/>
        </w:rPr>
      </w:pPr>
      <w:r w:rsidRPr="00142BE4">
        <w:rPr>
          <w:rStyle w:val="FootnoteReference"/>
          <w:color w:val="000000"/>
          <w:sz w:val="24"/>
        </w:rPr>
        <w:footnoteRef/>
      </w:r>
      <w:r w:rsidRPr="00277D55">
        <w:rPr>
          <w:color w:val="000000"/>
          <w:sz w:val="24"/>
          <w:lang w:val="pl-PL"/>
        </w:rPr>
        <w:tab/>
        <w:t xml:space="preserve">BGBl. (Austria) </w:t>
      </w:r>
      <w:r w:rsidR="00920F6F">
        <w:rPr>
          <w:color w:val="000000"/>
          <w:sz w:val="24"/>
          <w:lang w:val="pl-PL"/>
        </w:rPr>
        <w:t>n</w:t>
      </w:r>
      <w:r w:rsidRPr="00277D55">
        <w:rPr>
          <w:color w:val="000000"/>
          <w:sz w:val="24"/>
          <w:lang w:val="pl-PL"/>
        </w:rPr>
        <w:t>r 123/1959.</w:t>
      </w:r>
    </w:p>
  </w:footnote>
  <w:footnote w:id="6">
    <w:p w14:paraId="4CA09A64" w14:textId="77777777" w:rsidR="00277D55" w:rsidRPr="00277D55" w:rsidRDefault="00277D55" w:rsidP="00277D55">
      <w:pPr>
        <w:pStyle w:val="FootnoteText"/>
        <w:spacing w:line="240" w:lineRule="auto"/>
        <w:ind w:left="850" w:hanging="850"/>
        <w:rPr>
          <w:color w:val="000000"/>
          <w:sz w:val="24"/>
          <w:lang w:val="pl-PL"/>
        </w:rPr>
      </w:pPr>
      <w:r w:rsidRPr="00142BE4">
        <w:rPr>
          <w:rStyle w:val="FootnoteReference"/>
          <w:color w:val="000000"/>
          <w:sz w:val="24"/>
        </w:rPr>
        <w:footnoteRef/>
      </w:r>
      <w:r w:rsidRPr="00277D55">
        <w:rPr>
          <w:color w:val="000000"/>
          <w:sz w:val="24"/>
          <w:lang w:val="pl-PL"/>
        </w:rPr>
        <w:tab/>
        <w:t>Rozporządzenie Parlamentu Europejskiego i Rady (WE) nr 1073/2009 z dnia 21 października 2009 r. dotyczące wspólnych zasad dostępu do międzynarodowego rynku usług autokarowych i autobusowych i zmieniające rozporządzenie (WE) nr 561/2006 (Dz.U. L 300 z 14.11.2009, s. 88, ELI: </w:t>
      </w:r>
      <w:hyperlink r:id="rId4" w:history="1">
        <w:r w:rsidRPr="00277D55">
          <w:rPr>
            <w:rStyle w:val="Hyperlink"/>
            <w:lang w:val="pl-PL"/>
          </w:rPr>
          <w:t>http://data.europa.eu/eli/reg/2009/1073/oj</w:t>
        </w:r>
      </w:hyperlink>
      <w:r w:rsidRPr="00277D55">
        <w:rPr>
          <w:color w:val="000000"/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7BE7" w14:textId="77777777" w:rsidR="00064002" w:rsidRPr="005467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89A1" w14:textId="77777777" w:rsidR="00064002" w:rsidRPr="005467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1E1B" w14:textId="77777777" w:rsidR="00064002" w:rsidRPr="005467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0868289">
    <w:abstractNumId w:val="9"/>
  </w:num>
  <w:num w:numId="2" w16cid:durableId="2067560929">
    <w:abstractNumId w:val="9"/>
  </w:num>
  <w:num w:numId="3" w16cid:durableId="2101559336">
    <w:abstractNumId w:val="7"/>
  </w:num>
  <w:num w:numId="4" w16cid:durableId="96952974">
    <w:abstractNumId w:val="7"/>
  </w:num>
  <w:num w:numId="5" w16cid:durableId="1491553912">
    <w:abstractNumId w:val="6"/>
  </w:num>
  <w:num w:numId="6" w16cid:durableId="811824624">
    <w:abstractNumId w:val="6"/>
  </w:num>
  <w:num w:numId="7" w16cid:durableId="1676227439">
    <w:abstractNumId w:val="5"/>
  </w:num>
  <w:num w:numId="8" w16cid:durableId="1853110501">
    <w:abstractNumId w:val="5"/>
  </w:num>
  <w:num w:numId="9" w16cid:durableId="714819293">
    <w:abstractNumId w:val="4"/>
  </w:num>
  <w:num w:numId="10" w16cid:durableId="658923211">
    <w:abstractNumId w:val="4"/>
  </w:num>
  <w:num w:numId="11" w16cid:durableId="1494445253">
    <w:abstractNumId w:val="8"/>
  </w:num>
  <w:num w:numId="12" w16cid:durableId="1013646598">
    <w:abstractNumId w:val="8"/>
  </w:num>
  <w:num w:numId="13" w16cid:durableId="962542131">
    <w:abstractNumId w:val="3"/>
  </w:num>
  <w:num w:numId="14" w16cid:durableId="681858280">
    <w:abstractNumId w:val="3"/>
  </w:num>
  <w:num w:numId="15" w16cid:durableId="11500196">
    <w:abstractNumId w:val="2"/>
  </w:num>
  <w:num w:numId="16" w16cid:durableId="701563641">
    <w:abstractNumId w:val="2"/>
  </w:num>
  <w:num w:numId="17" w16cid:durableId="2001887422">
    <w:abstractNumId w:val="1"/>
  </w:num>
  <w:num w:numId="18" w16cid:durableId="253974003">
    <w:abstractNumId w:val="1"/>
  </w:num>
  <w:num w:numId="19" w16cid:durableId="119151016">
    <w:abstractNumId w:val="0"/>
  </w:num>
  <w:num w:numId="20" w16cid:durableId="334916513">
    <w:abstractNumId w:val="0"/>
  </w:num>
  <w:num w:numId="21" w16cid:durableId="327446099">
    <w:abstractNumId w:val="9"/>
  </w:num>
  <w:num w:numId="22" w16cid:durableId="1495797539">
    <w:abstractNumId w:val="7"/>
  </w:num>
  <w:num w:numId="23" w16cid:durableId="1206678961">
    <w:abstractNumId w:val="6"/>
  </w:num>
  <w:num w:numId="24" w16cid:durableId="397049209">
    <w:abstractNumId w:val="5"/>
  </w:num>
  <w:num w:numId="25" w16cid:durableId="783958975">
    <w:abstractNumId w:val="4"/>
  </w:num>
  <w:num w:numId="26" w16cid:durableId="43143964">
    <w:abstractNumId w:val="8"/>
  </w:num>
  <w:num w:numId="27" w16cid:durableId="1525246988">
    <w:abstractNumId w:val="3"/>
  </w:num>
  <w:num w:numId="28" w16cid:durableId="903371357">
    <w:abstractNumId w:val="2"/>
  </w:num>
  <w:num w:numId="29" w16cid:durableId="1272585319">
    <w:abstractNumId w:val="1"/>
  </w:num>
  <w:num w:numId="30" w16cid:durableId="1861308969">
    <w:abstractNumId w:val="0"/>
  </w:num>
  <w:num w:numId="31" w16cid:durableId="1579754749">
    <w:abstractNumId w:val="9"/>
  </w:num>
  <w:num w:numId="32" w16cid:durableId="460808440">
    <w:abstractNumId w:val="7"/>
  </w:num>
  <w:num w:numId="33" w16cid:durableId="89088766">
    <w:abstractNumId w:val="6"/>
  </w:num>
  <w:num w:numId="34" w16cid:durableId="2060006091">
    <w:abstractNumId w:val="5"/>
  </w:num>
  <w:num w:numId="35" w16cid:durableId="121120596">
    <w:abstractNumId w:val="4"/>
  </w:num>
  <w:num w:numId="36" w16cid:durableId="1669021966">
    <w:abstractNumId w:val="8"/>
  </w:num>
  <w:num w:numId="37" w16cid:durableId="1866746763">
    <w:abstractNumId w:val="3"/>
  </w:num>
  <w:num w:numId="38" w16cid:durableId="189614234">
    <w:abstractNumId w:val="2"/>
  </w:num>
  <w:num w:numId="39" w16cid:durableId="1848590472">
    <w:abstractNumId w:val="1"/>
  </w:num>
  <w:num w:numId="40" w16cid:durableId="475100711">
    <w:abstractNumId w:val="0"/>
  </w:num>
  <w:num w:numId="41" w16cid:durableId="1502499995">
    <w:abstractNumId w:val="10"/>
  </w:num>
  <w:num w:numId="42" w16cid:durableId="1460413920">
    <w:abstractNumId w:val="10"/>
  </w:num>
  <w:num w:numId="43" w16cid:durableId="236330727">
    <w:abstractNumId w:val="10"/>
  </w:num>
  <w:num w:numId="44" w16cid:durableId="802385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4/2026"/>
    <w:docVar w:name="dvlangue" w:val="PL"/>
    <w:docVar w:name="dvnumam" w:val="2"/>
    <w:docVar w:name="dvpe" w:val="785.404"/>
    <w:docVar w:name="dvrapporteur" w:val="Sprawozdawca: "/>
    <w:docVar w:name="dvstar" w:val="***I"/>
    <w:docVar w:name="dvtitre" w:val="Rezolucja ustawodawcza Parlamentu Europejskiego z dnia  2026 r. w sprawie wniosku dotyczącego decyzji Parlamentu Europejskiego i Rady upoważniającej Austrię do zmiany jej obowiązującej dwustronnej umowy o transporcie drogowym ze Szwajcarią w celu dopuszczenia przewozów kabotażowych w regionach przygranicznych w ramach świadczenia międzynarodowych usług przewozu drogowego osób autokarem i autobusem między tymi dwoma państwami(COM(2025)0773 – C10-0367/2025 – 2025/0407(COD))"/>
  </w:docVars>
  <w:rsids>
    <w:rsidRoot w:val="005F480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8A7"/>
    <w:rsid w:val="001F32AE"/>
    <w:rsid w:val="0024190E"/>
    <w:rsid w:val="002767FF"/>
    <w:rsid w:val="00277D55"/>
    <w:rsid w:val="002B18FE"/>
    <w:rsid w:val="002B5493"/>
    <w:rsid w:val="00343214"/>
    <w:rsid w:val="00361C00"/>
    <w:rsid w:val="00395FA1"/>
    <w:rsid w:val="003D7A2B"/>
    <w:rsid w:val="003E15D4"/>
    <w:rsid w:val="00411CCE"/>
    <w:rsid w:val="0041666E"/>
    <w:rsid w:val="00421060"/>
    <w:rsid w:val="00471C19"/>
    <w:rsid w:val="00482D2D"/>
    <w:rsid w:val="004867E3"/>
    <w:rsid w:val="00494A28"/>
    <w:rsid w:val="004C0004"/>
    <w:rsid w:val="004C5D52"/>
    <w:rsid w:val="0050519A"/>
    <w:rsid w:val="005072A1"/>
    <w:rsid w:val="00514517"/>
    <w:rsid w:val="00530A6F"/>
    <w:rsid w:val="00545827"/>
    <w:rsid w:val="0054671D"/>
    <w:rsid w:val="00560270"/>
    <w:rsid w:val="00566AAA"/>
    <w:rsid w:val="005C2568"/>
    <w:rsid w:val="005F1B17"/>
    <w:rsid w:val="005F480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870"/>
    <w:rsid w:val="00920F6F"/>
    <w:rsid w:val="00930C23"/>
    <w:rsid w:val="0093193B"/>
    <w:rsid w:val="00941FC2"/>
    <w:rsid w:val="009509D8"/>
    <w:rsid w:val="00950B64"/>
    <w:rsid w:val="00957833"/>
    <w:rsid w:val="00981893"/>
    <w:rsid w:val="00A1687D"/>
    <w:rsid w:val="00A43E52"/>
    <w:rsid w:val="00A4678D"/>
    <w:rsid w:val="00A778C7"/>
    <w:rsid w:val="00AB441E"/>
    <w:rsid w:val="00AB6293"/>
    <w:rsid w:val="00AD4B4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95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18C01"/>
  <w15:chartTrackingRefBased/>
  <w15:docId w15:val="{FDC6A20A-100D-4460-B4AA-0105379F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F5870"/>
    <w:rPr>
      <w:b/>
    </w:rPr>
  </w:style>
  <w:style w:type="paragraph" w:customStyle="1" w:styleId="AmJustText">
    <w:name w:val="AmJustText"/>
    <w:basedOn w:val="Normal"/>
    <w:rsid w:val="008F587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F5870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8F5870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8F58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F587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F5870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8F587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F5870"/>
    <w:rPr>
      <w:b/>
      <w:sz w:val="24"/>
      <w:lang w:val="pl-PL"/>
    </w:rPr>
  </w:style>
  <w:style w:type="paragraph" w:customStyle="1" w:styleId="ColumnHeading">
    <w:name w:val="ColumnHeading"/>
    <w:basedOn w:val="Normal"/>
    <w:rsid w:val="008F5870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8F5870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link w:val="Normal12HangingChar"/>
    <w:rsid w:val="00DC0959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DC0959"/>
    <w:rPr>
      <w:snapToGrid w:val="0"/>
      <w:sz w:val="24"/>
      <w:lang w:val="pl-PL"/>
    </w:rPr>
  </w:style>
  <w:style w:type="paragraph" w:customStyle="1" w:styleId="Fait">
    <w:name w:val="Fait à"/>
    <w:basedOn w:val="Normal"/>
    <w:next w:val="Institutionquisigne"/>
    <w:rsid w:val="00277D55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77D55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77D5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77D5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77D5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77D5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77D5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77D5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styleId="Revision">
    <w:name w:val="Revision"/>
    <w:hidden/>
    <w:uiPriority w:val="99"/>
    <w:semiHidden/>
    <w:rsid w:val="0095783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nation/2002/309" TargetMode="External"/><Relationship Id="rId2" Type="http://schemas.openxmlformats.org/officeDocument/2006/relationships/hyperlink" Target="http://data.europa.eu/eli/C/2026/1970/oj" TargetMode="External"/><Relationship Id="rId1" Type="http://schemas.openxmlformats.org/officeDocument/2006/relationships/hyperlink" Target="http://data.europa.eu/eli/C/2026/1970/oj" TargetMode="External"/><Relationship Id="rId4" Type="http://schemas.openxmlformats.org/officeDocument/2006/relationships/hyperlink" Target="http://data.europa.eu/eli/reg/2009/10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1070</Words>
  <Characters>7433</Characters>
  <Application>Microsoft Office Word</Application>
  <DocSecurity>0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2026-07-07T11:50:00Z</dcterms:created>
  <dcterms:modified xsi:type="dcterms:W3CDTF">2026-07-07T11:50:00Z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A10-0174/2026</vt:lpwstr>
  </property>
  <property fmtid="{D5CDD505-2E9C-101B-9397-08002B2CF9AE}" pid="4" name="&lt;Type&gt;">
    <vt:lpwstr>RR</vt:lpwstr>
  </property>
</Properties>
</file>