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7732" w14:paraId="0EA89233" w14:textId="77777777" w:rsidTr="0010095E">
        <w:trPr>
          <w:trHeight w:hRule="exact" w:val="1418"/>
        </w:trPr>
        <w:tc>
          <w:tcPr>
            <w:tcW w:w="6804" w:type="dxa"/>
            <w:shd w:val="clear" w:color="auto" w:fill="auto"/>
            <w:vAlign w:val="center"/>
          </w:tcPr>
          <w:p w14:paraId="6A425576" w14:textId="77777777" w:rsidR="00751A4A" w:rsidRPr="00107732" w:rsidRDefault="008C1DD4" w:rsidP="0010095E">
            <w:pPr>
              <w:pStyle w:val="EPName"/>
            </w:pPr>
            <w:r w:rsidRPr="00107732">
              <w:t xml:space="preserve">Parlamento </w:t>
            </w:r>
            <w:proofErr w:type="gramStart"/>
            <w:r w:rsidRPr="00107732">
              <w:t>Europeu</w:t>
            </w:r>
            <w:proofErr w:type="gramEnd"/>
          </w:p>
          <w:p w14:paraId="0DD5727A" w14:textId="77777777" w:rsidR="00751A4A" w:rsidRPr="00107732" w:rsidRDefault="005F1B17" w:rsidP="005F1B17">
            <w:pPr>
              <w:pStyle w:val="EPTerm"/>
              <w:rPr>
                <w:rStyle w:val="HideTWBExt"/>
                <w:noProof w:val="0"/>
                <w:vanish w:val="0"/>
                <w:color w:val="auto"/>
              </w:rPr>
            </w:pPr>
            <w:r w:rsidRPr="00107732">
              <w:t>2024</w:t>
            </w:r>
            <w:r w:rsidR="00817416" w:rsidRPr="00107732">
              <w:t>-202</w:t>
            </w:r>
            <w:r w:rsidRPr="00107732">
              <w:t>9</w:t>
            </w:r>
          </w:p>
        </w:tc>
        <w:tc>
          <w:tcPr>
            <w:tcW w:w="2268" w:type="dxa"/>
            <w:shd w:val="clear" w:color="auto" w:fill="auto"/>
          </w:tcPr>
          <w:p w14:paraId="5095674B" w14:textId="77777777" w:rsidR="00751A4A" w:rsidRPr="00107732" w:rsidRDefault="00187494" w:rsidP="0010095E">
            <w:pPr>
              <w:pStyle w:val="EPLogo"/>
            </w:pPr>
            <w:r w:rsidRPr="00107732">
              <w:rPr>
                <w:noProof/>
                <w:lang w:eastAsia="ja-JP"/>
              </w:rPr>
              <w:drawing>
                <wp:inline distT="0" distB="0" distL="0" distR="0" wp14:anchorId="54FE3CAF" wp14:editId="386AF4B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FD5BDB" w14:textId="77777777" w:rsidR="00D058B8" w:rsidRPr="00107732" w:rsidRDefault="00D058B8" w:rsidP="004C5D52">
      <w:pPr>
        <w:pStyle w:val="LineTop"/>
      </w:pPr>
    </w:p>
    <w:p w14:paraId="59B9DCA3" w14:textId="77777777" w:rsidR="00680577" w:rsidRPr="00107732" w:rsidRDefault="008C1DD4" w:rsidP="00680577">
      <w:pPr>
        <w:pStyle w:val="EPBodyTA1"/>
      </w:pPr>
      <w:r w:rsidRPr="00107732">
        <w:t>TEXTOS APROVADOS</w:t>
      </w:r>
    </w:p>
    <w:p w14:paraId="4A5251A0" w14:textId="77777777" w:rsidR="00D058B8" w:rsidRPr="00107732" w:rsidRDefault="00D058B8" w:rsidP="00D058B8">
      <w:pPr>
        <w:pStyle w:val="LineBottom"/>
      </w:pPr>
    </w:p>
    <w:p w14:paraId="53123CFE" w14:textId="66E97820" w:rsidR="008C1DD4" w:rsidRPr="00107732" w:rsidRDefault="008C1DD4" w:rsidP="008C1DD4">
      <w:pPr>
        <w:pStyle w:val="ATHeading1"/>
      </w:pPr>
      <w:bookmarkStart w:id="0" w:name="TANumber"/>
      <w:r w:rsidRPr="00107732">
        <w:t>P10_</w:t>
      </w:r>
      <w:proofErr w:type="gramStart"/>
      <w:r w:rsidRPr="00107732">
        <w:t>TA(</w:t>
      </w:r>
      <w:proofErr w:type="gramEnd"/>
      <w:r w:rsidRPr="00107732">
        <w:t>2026)</w:t>
      </w:r>
      <w:bookmarkEnd w:id="0"/>
      <w:r w:rsidR="00107732" w:rsidRPr="00107732">
        <w:t>0</w:t>
      </w:r>
      <w:r w:rsidR="00107732" w:rsidRPr="00107732">
        <w:t>241</w:t>
      </w:r>
    </w:p>
    <w:p w14:paraId="7DBABC41" w14:textId="77777777" w:rsidR="008C1DD4" w:rsidRPr="00107732" w:rsidRDefault="008C1DD4" w:rsidP="008C1DD4">
      <w:pPr>
        <w:pStyle w:val="ATHeading2"/>
      </w:pPr>
      <w:bookmarkStart w:id="1" w:name="title"/>
      <w:r w:rsidRPr="00107732">
        <w:t>Serviços de transporte rodoviário internacional de passageiros em autocarro nas regiões fronteiriças: operações de cabotagem entre a Áustria e a Suíça</w:t>
      </w:r>
      <w:bookmarkEnd w:id="1"/>
    </w:p>
    <w:p w14:paraId="7FD4FD99" w14:textId="77777777" w:rsidR="008C1DD4" w:rsidRPr="00107732" w:rsidRDefault="008C1DD4" w:rsidP="008C1DD4">
      <w:pPr>
        <w:rPr>
          <w:i/>
          <w:vanish/>
        </w:rPr>
      </w:pPr>
      <w:r w:rsidRPr="00107732">
        <w:rPr>
          <w:i/>
        </w:rPr>
        <w:fldChar w:fldCharType="begin"/>
      </w:r>
      <w:r w:rsidRPr="00107732">
        <w:rPr>
          <w:i/>
        </w:rPr>
        <w:instrText xml:space="preserve"> TC"(</w:instrText>
      </w:r>
      <w:bookmarkStart w:id="2" w:name="DocNumber"/>
      <w:r w:rsidRPr="00107732">
        <w:rPr>
          <w:i/>
        </w:rPr>
        <w:instrText>A10-0174/2026</w:instrText>
      </w:r>
      <w:bookmarkEnd w:id="2"/>
      <w:r w:rsidRPr="00107732">
        <w:rPr>
          <w:i/>
        </w:rPr>
        <w:instrText xml:space="preserve"> - Relatora: Elissavet Vozemberg-Vrionidi)"\l3 \n&gt; \* MERGEFORMAT </w:instrText>
      </w:r>
      <w:r w:rsidRPr="00107732">
        <w:rPr>
          <w:i/>
        </w:rPr>
        <w:fldChar w:fldCharType="end"/>
      </w:r>
    </w:p>
    <w:p w14:paraId="2911DDAE" w14:textId="77777777" w:rsidR="008C1DD4" w:rsidRPr="00107732" w:rsidRDefault="008C1DD4" w:rsidP="008C1DD4">
      <w:pPr>
        <w:rPr>
          <w:vanish/>
        </w:rPr>
      </w:pPr>
      <w:bookmarkStart w:id="3" w:name="Commission"/>
      <w:r w:rsidRPr="00107732">
        <w:rPr>
          <w:vanish/>
        </w:rPr>
        <w:t>Comissão dos Transportes e do Turismo</w:t>
      </w:r>
      <w:bookmarkEnd w:id="3"/>
    </w:p>
    <w:p w14:paraId="2D7222DF" w14:textId="77777777" w:rsidR="008C1DD4" w:rsidRPr="00107732" w:rsidRDefault="008C1DD4" w:rsidP="008C1DD4">
      <w:pPr>
        <w:rPr>
          <w:vanish/>
        </w:rPr>
      </w:pPr>
      <w:bookmarkStart w:id="4" w:name="PE"/>
      <w:r w:rsidRPr="00107732">
        <w:rPr>
          <w:vanish/>
        </w:rPr>
        <w:t>PE785.404</w:t>
      </w:r>
      <w:bookmarkEnd w:id="4"/>
    </w:p>
    <w:p w14:paraId="24B1B213" w14:textId="28CCA349" w:rsidR="008C1DD4" w:rsidRPr="00107732" w:rsidRDefault="00C3366A" w:rsidP="008C1DD4">
      <w:pPr>
        <w:pStyle w:val="ATHeading3"/>
      </w:pPr>
      <w:bookmarkStart w:id="5" w:name="Sujet"/>
      <w:r w:rsidRPr="00107732">
        <w:t xml:space="preserve">Resolução legislativa </w:t>
      </w:r>
      <w:r w:rsidR="008C1DD4" w:rsidRPr="00107732">
        <w:t xml:space="preserve">do Parlamento Europeu, de </w:t>
      </w:r>
      <w:r w:rsidR="00B943BF" w:rsidRPr="00107732">
        <w:t xml:space="preserve">7 </w:t>
      </w:r>
      <w:r w:rsidR="008C1DD4" w:rsidRPr="00107732">
        <w:t xml:space="preserve">de </w:t>
      </w:r>
      <w:r w:rsidR="008227DD" w:rsidRPr="00107732">
        <w:t xml:space="preserve">julho </w:t>
      </w:r>
      <w:r w:rsidR="008C1DD4" w:rsidRPr="00107732">
        <w:t>de 2026, sobre a proposta de decisão do Parlamento Europeu e do Conselho que habilita a Áustria a alterar o seu atual acordo bilateral de transporte rodoviário com a Suíça com vista a autorizar as operações de cabotagem no decurso da prestação de serviços de transporte rodoviário internacional de passageiros em autocarro nas regiões fronteiriças entre os dois países</w:t>
      </w:r>
      <w:bookmarkEnd w:id="5"/>
      <w:r w:rsidR="008C1DD4" w:rsidRPr="00107732">
        <w:t xml:space="preserve"> </w:t>
      </w:r>
      <w:bookmarkStart w:id="6" w:name="References"/>
      <w:r w:rsidR="008C1DD4" w:rsidRPr="00107732">
        <w:t>(</w:t>
      </w:r>
      <w:proofErr w:type="gramStart"/>
      <w:r w:rsidR="008C1DD4" w:rsidRPr="00107732">
        <w:t>COM(</w:t>
      </w:r>
      <w:proofErr w:type="gramEnd"/>
      <w:r w:rsidR="008C1DD4" w:rsidRPr="00107732">
        <w:t>2025)0773 – C10-0367/2025 – 2025/0407(COD))</w:t>
      </w:r>
      <w:bookmarkEnd w:id="6"/>
    </w:p>
    <w:p w14:paraId="4AC4B179" w14:textId="77777777" w:rsidR="00CF38AC" w:rsidRPr="00107732" w:rsidRDefault="00CF38AC" w:rsidP="00CF38AC">
      <w:pPr>
        <w:pStyle w:val="NormalBold"/>
      </w:pPr>
      <w:r w:rsidRPr="00107732">
        <w:t>(Processo legislativo ordinário: primeira leitura)</w:t>
      </w:r>
    </w:p>
    <w:p w14:paraId="76D94040" w14:textId="77777777" w:rsidR="00CF38AC" w:rsidRPr="00107732" w:rsidRDefault="00CF38AC" w:rsidP="00CF38AC">
      <w:pPr>
        <w:pStyle w:val="EPComma"/>
      </w:pPr>
      <w:r w:rsidRPr="00107732">
        <w:rPr>
          <w:i/>
        </w:rPr>
        <w:t>O Parlamento Europeu</w:t>
      </w:r>
      <w:r w:rsidRPr="00107732">
        <w:t>,</w:t>
      </w:r>
    </w:p>
    <w:p w14:paraId="0782DA87" w14:textId="0666FA82" w:rsidR="00CF38AC" w:rsidRPr="00107732" w:rsidRDefault="00CF38AC" w:rsidP="00CF38AC">
      <w:pPr>
        <w:pStyle w:val="NormalHanging12a"/>
      </w:pPr>
      <w:r w:rsidRPr="00107732">
        <w:t>–</w:t>
      </w:r>
      <w:r w:rsidRPr="00107732">
        <w:tab/>
        <w:t>Tendo em conta a proposta da Comissão ao Parlamento e ao Conselho (</w:t>
      </w:r>
      <w:proofErr w:type="gramStart"/>
      <w:r w:rsidRPr="00107732">
        <w:t>COM(</w:t>
      </w:r>
      <w:proofErr w:type="gramEnd"/>
      <w:r w:rsidRPr="00107732">
        <w:t>2025)0773),</w:t>
      </w:r>
    </w:p>
    <w:p w14:paraId="42062983" w14:textId="77777777" w:rsidR="00CF38AC" w:rsidRPr="00107732" w:rsidRDefault="00CF38AC" w:rsidP="00CF38AC">
      <w:pPr>
        <w:pStyle w:val="NormalHanging12a"/>
      </w:pPr>
      <w:r w:rsidRPr="00107732">
        <w:t>–</w:t>
      </w:r>
      <w:r w:rsidRPr="00107732">
        <w:tab/>
        <w:t>Tendo em conta o artigo 294.º, n.º 2, e os artigos 2.º, n.º 1, e 91.º do Tratado sobre o Funcionamento da União Europeia, nos termos dos quais a proposta lhe foi apresentada pela Comissão (C10</w:t>
      </w:r>
      <w:r w:rsidRPr="00107732">
        <w:noBreakHyphen/>
        <w:t>0367/2025),</w:t>
      </w:r>
    </w:p>
    <w:p w14:paraId="01735079" w14:textId="77777777" w:rsidR="00CF38AC" w:rsidRPr="00107732" w:rsidRDefault="00CF38AC" w:rsidP="00CF38AC">
      <w:pPr>
        <w:pStyle w:val="NormalHanging12a"/>
      </w:pPr>
      <w:r w:rsidRPr="00107732">
        <w:t>–</w:t>
      </w:r>
      <w:r w:rsidRPr="00107732">
        <w:tab/>
        <w:t>Tendo em conta o artigo 294.º, n.º 3, do Tratado sobre o Funcionamento da União Europeia,</w:t>
      </w:r>
    </w:p>
    <w:p w14:paraId="27FB1CC4" w14:textId="516844B9" w:rsidR="00B943BF" w:rsidRPr="00107732" w:rsidRDefault="00B943BF" w:rsidP="00CF38AC">
      <w:pPr>
        <w:pStyle w:val="NormalHanging12a"/>
      </w:pPr>
      <w:r w:rsidRPr="00107732">
        <w:t>–</w:t>
      </w:r>
      <w:r w:rsidRPr="00107732">
        <w:tab/>
      </w:r>
      <w:r w:rsidR="00034B61" w:rsidRPr="00107732">
        <w:t>Tendo em conta o compromisso assumido pelo representante do Conselho, em carta de 10 de junho de 2026, de aprovar a posição do Parlamento, nos termos do artigo 294.º, n.º 4, do Tratado sobre o Funcionamento da União Europeia,</w:t>
      </w:r>
    </w:p>
    <w:p w14:paraId="3FE2E92E" w14:textId="77777777" w:rsidR="00CF38AC" w:rsidRPr="00107732" w:rsidRDefault="00CF38AC" w:rsidP="00CF38AC">
      <w:pPr>
        <w:pStyle w:val="NormalHanging12a"/>
      </w:pPr>
      <w:r w:rsidRPr="00107732">
        <w:t>–</w:t>
      </w:r>
      <w:r w:rsidRPr="00107732">
        <w:tab/>
        <w:t>Tendo em conta o parecer da Comissão dos Assuntos Jurídicos sobre a base jurídica proposta,</w:t>
      </w:r>
    </w:p>
    <w:p w14:paraId="7F185E87" w14:textId="242B5C4F" w:rsidR="00CF38AC" w:rsidRPr="00107732" w:rsidRDefault="00CF38AC" w:rsidP="00CF38AC">
      <w:pPr>
        <w:pStyle w:val="NormalHanging12a"/>
      </w:pPr>
      <w:r w:rsidRPr="00107732">
        <w:t>–</w:t>
      </w:r>
      <w:r w:rsidRPr="00107732">
        <w:tab/>
        <w:t xml:space="preserve">Tendo em conta o parecer do Comité Económico e Social Europeu, de 21 de janeiro </w:t>
      </w:r>
      <w:r w:rsidRPr="00107732">
        <w:lastRenderedPageBreak/>
        <w:t>de</w:t>
      </w:r>
      <w:r w:rsidR="008227DD" w:rsidRPr="00107732">
        <w:t> </w:t>
      </w:r>
      <w:r w:rsidRPr="00107732">
        <w:t>2026</w:t>
      </w:r>
      <w:r w:rsidRPr="00107732">
        <w:rPr>
          <w:vertAlign w:val="superscript"/>
        </w:rPr>
        <w:footnoteReference w:id="1"/>
      </w:r>
      <w:r w:rsidRPr="00107732">
        <w:t>,</w:t>
      </w:r>
    </w:p>
    <w:p w14:paraId="64EF5E05" w14:textId="303334B8" w:rsidR="00CF38AC" w:rsidRPr="00107732" w:rsidRDefault="00CF38AC" w:rsidP="00CF38AC">
      <w:pPr>
        <w:pStyle w:val="NormalHanging12a"/>
      </w:pPr>
      <w:r w:rsidRPr="00107732">
        <w:t>–</w:t>
      </w:r>
      <w:r w:rsidRPr="00107732">
        <w:tab/>
        <w:t xml:space="preserve">Após consulta </w:t>
      </w:r>
      <w:r w:rsidR="008E0097" w:rsidRPr="00107732">
        <w:t>a</w:t>
      </w:r>
      <w:r w:rsidRPr="00107732">
        <w:t>o Comité das Regiões,</w:t>
      </w:r>
    </w:p>
    <w:p w14:paraId="4DF6E51E" w14:textId="77777777" w:rsidR="00CF38AC" w:rsidRPr="00107732" w:rsidRDefault="00CF38AC" w:rsidP="00CF38AC">
      <w:pPr>
        <w:pStyle w:val="NormalHanging12a"/>
      </w:pPr>
      <w:r w:rsidRPr="00107732">
        <w:t>–</w:t>
      </w:r>
      <w:r w:rsidRPr="00107732">
        <w:tab/>
        <w:t>Tendo em conta os artigos 60.º e 41.º do seu Regimento,</w:t>
      </w:r>
    </w:p>
    <w:p w14:paraId="13C0A10B" w14:textId="77777777" w:rsidR="00CF38AC" w:rsidRPr="00107732" w:rsidRDefault="00CF38AC" w:rsidP="00CF38AC">
      <w:pPr>
        <w:pStyle w:val="NormalHanging12a"/>
      </w:pPr>
      <w:r w:rsidRPr="00107732">
        <w:t>–</w:t>
      </w:r>
      <w:r w:rsidRPr="00107732">
        <w:tab/>
        <w:t>Tendo em conta o relatório da Comissão dos Transportes e do Turismo (A10</w:t>
      </w:r>
      <w:r w:rsidRPr="00107732">
        <w:noBreakHyphen/>
        <w:t>0174/2026),</w:t>
      </w:r>
    </w:p>
    <w:p w14:paraId="5FEEE11C" w14:textId="77777777" w:rsidR="00CF38AC" w:rsidRPr="00107732" w:rsidRDefault="00CF38AC" w:rsidP="00CF38AC">
      <w:pPr>
        <w:pStyle w:val="NormalHanging12a"/>
      </w:pPr>
      <w:r w:rsidRPr="00107732">
        <w:t>1.</w:t>
      </w:r>
      <w:r w:rsidRPr="00107732">
        <w:tab/>
        <w:t>Aprova a posição em primeira leitura que se segue;</w:t>
      </w:r>
    </w:p>
    <w:p w14:paraId="6A3EDF43" w14:textId="77777777" w:rsidR="00CF38AC" w:rsidRPr="00107732" w:rsidRDefault="00CF38AC" w:rsidP="00CF38AC">
      <w:pPr>
        <w:pStyle w:val="NormalHanging12a"/>
      </w:pPr>
      <w:r w:rsidRPr="00107732">
        <w:t>2.</w:t>
      </w:r>
      <w:r w:rsidRPr="00107732">
        <w:tab/>
        <w:t>Encarrega a sua Presidente de transmitir a posição do Parlamento ao Conselho, à Comissão e aos parlamentos nacionais.</w:t>
      </w:r>
    </w:p>
    <w:p w14:paraId="137570C2" w14:textId="77777777" w:rsidR="00CF38AC" w:rsidRPr="00107732" w:rsidRDefault="00CF38AC" w:rsidP="00CF38AC"/>
    <w:p w14:paraId="2D080FCD" w14:textId="77777777" w:rsidR="00972393" w:rsidRPr="00107732" w:rsidRDefault="00972393" w:rsidP="00CF38AC">
      <w:pPr>
        <w:sectPr w:rsidR="00972393" w:rsidRPr="00107732" w:rsidSect="00FE2FF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12EFE7F" w14:textId="48BBE778" w:rsidR="004E512F" w:rsidRPr="00107732" w:rsidRDefault="004E512F" w:rsidP="004E512F">
      <w:pPr>
        <w:spacing w:after="240"/>
        <w:rPr>
          <w:b/>
          <w:bCs/>
        </w:rPr>
      </w:pPr>
      <w:r w:rsidRPr="00107732">
        <w:rPr>
          <w:b/>
          <w:bCs/>
        </w:rPr>
        <w:lastRenderedPageBreak/>
        <w:t>P10_TC1-COD(2025)0407</w:t>
      </w:r>
    </w:p>
    <w:p w14:paraId="1B738CE2" w14:textId="6884D19E" w:rsidR="00CF38AC" w:rsidRPr="00107732" w:rsidRDefault="004E512F" w:rsidP="004E512F">
      <w:pPr>
        <w:spacing w:before="120" w:after="120"/>
        <w:rPr>
          <w:b/>
          <w:bCs/>
        </w:rPr>
      </w:pPr>
      <w:r w:rsidRPr="00107732">
        <w:rPr>
          <w:b/>
          <w:bCs/>
        </w:rPr>
        <w:t>Posição do Parlamento Europeu aprovada em primeira leitura em 7 de julho de 2026 tendo em vista a adoção da Decisão (UE) 2026/... do Parlamento Europeu e do Conselho que que habilita a Áustria a alterar o seu acordo bilateral de transporte rodoviário com a Suíça com vista a autorizar as operações de cabotagem no decurso da prestação de serviços de transporte internacional de passageiros em autocarro nas regiões fronteiriças entre os dois países</w:t>
      </w:r>
    </w:p>
    <w:p w14:paraId="206F18CA" w14:textId="77777777" w:rsidR="008E0097" w:rsidRPr="00107732" w:rsidRDefault="008E0097" w:rsidP="008E0097">
      <w:pPr>
        <w:widowControl/>
        <w:spacing w:before="600" w:after="120" w:line="360" w:lineRule="auto"/>
        <w:rPr>
          <w:rFonts w:eastAsia="Calibri"/>
          <w:color w:val="000000"/>
          <w:szCs w:val="22"/>
          <w:lang w:eastAsia="en-US"/>
        </w:rPr>
      </w:pPr>
      <w:r w:rsidRPr="00107732">
        <w:rPr>
          <w:rFonts w:eastAsia="Calibri"/>
          <w:color w:val="000000"/>
          <w:szCs w:val="22"/>
          <w:lang w:eastAsia="en-US"/>
        </w:rPr>
        <w:t>O PARLAMENTO EUROPEU E O CONSELHO DA UNIÃO EUROPEIA,</w:t>
      </w:r>
    </w:p>
    <w:p w14:paraId="6116CFE1" w14:textId="45651DB2" w:rsidR="008E0097" w:rsidRPr="00107732" w:rsidRDefault="008E0097" w:rsidP="008E0097">
      <w:pPr>
        <w:widowControl/>
        <w:spacing w:before="120" w:after="120" w:line="360" w:lineRule="auto"/>
        <w:rPr>
          <w:rFonts w:eastAsia="Calibri"/>
          <w:color w:val="000000"/>
          <w:szCs w:val="22"/>
          <w:lang w:eastAsia="en-US"/>
        </w:rPr>
      </w:pPr>
      <w:r w:rsidRPr="00107732">
        <w:rPr>
          <w:rFonts w:eastAsia="Calibri"/>
          <w:color w:val="000000"/>
          <w:szCs w:val="22"/>
          <w:lang w:eastAsia="en-US"/>
        </w:rPr>
        <w:t xml:space="preserve">Tendo em conta o Tratado sobre o Funcionamento da União Europeia, nomeadamente o </w:t>
      </w:r>
      <w:r w:rsidR="008C60E0" w:rsidRPr="00107732">
        <w:rPr>
          <w:rFonts w:eastAsia="Calibri"/>
          <w:color w:val="000000"/>
          <w:szCs w:val="22"/>
          <w:lang w:eastAsia="en-US"/>
        </w:rPr>
        <w:t>▌</w:t>
      </w:r>
      <w:r w:rsidRPr="00107732">
        <w:rPr>
          <w:rFonts w:eastAsia="Calibri"/>
          <w:color w:val="000000"/>
          <w:szCs w:val="22"/>
          <w:lang w:eastAsia="en-US"/>
        </w:rPr>
        <w:t>artigo 91.º,</w:t>
      </w:r>
    </w:p>
    <w:p w14:paraId="4331C40E" w14:textId="77777777" w:rsidR="008E0097" w:rsidRPr="00107732" w:rsidRDefault="008E0097" w:rsidP="008E0097">
      <w:pPr>
        <w:widowControl/>
        <w:spacing w:before="120" w:after="120" w:line="360" w:lineRule="auto"/>
        <w:rPr>
          <w:rFonts w:eastAsia="Calibri"/>
          <w:color w:val="000000"/>
          <w:szCs w:val="22"/>
          <w:lang w:eastAsia="en-US"/>
        </w:rPr>
      </w:pPr>
      <w:r w:rsidRPr="00107732">
        <w:rPr>
          <w:rFonts w:eastAsia="Calibri"/>
          <w:color w:val="000000"/>
          <w:szCs w:val="22"/>
          <w:lang w:eastAsia="en-US"/>
        </w:rPr>
        <w:t>Tendo em conta a proposta da Comissão Europeia,</w:t>
      </w:r>
    </w:p>
    <w:p w14:paraId="673B1457" w14:textId="77777777" w:rsidR="008E0097" w:rsidRPr="00107732" w:rsidRDefault="008E0097" w:rsidP="008E0097">
      <w:pPr>
        <w:widowControl/>
        <w:spacing w:before="120" w:after="120" w:line="360" w:lineRule="auto"/>
        <w:rPr>
          <w:rFonts w:eastAsia="Calibri"/>
          <w:color w:val="000000"/>
          <w:szCs w:val="22"/>
          <w:lang w:eastAsia="en-US"/>
        </w:rPr>
      </w:pPr>
      <w:r w:rsidRPr="00107732">
        <w:rPr>
          <w:rFonts w:eastAsia="Calibri"/>
          <w:color w:val="000000"/>
          <w:szCs w:val="22"/>
          <w:lang w:eastAsia="en-US"/>
        </w:rPr>
        <w:t>Após transmissão do projeto de ato legislativo aos parlamentos nacionais,</w:t>
      </w:r>
    </w:p>
    <w:p w14:paraId="608843D7" w14:textId="77777777" w:rsidR="008E0097" w:rsidRPr="00107732" w:rsidRDefault="008E0097" w:rsidP="008E0097">
      <w:pPr>
        <w:widowControl/>
        <w:spacing w:before="120" w:after="120" w:line="360" w:lineRule="auto"/>
        <w:rPr>
          <w:rFonts w:eastAsia="Calibri"/>
          <w:color w:val="000000"/>
          <w:szCs w:val="22"/>
          <w:lang w:eastAsia="en-US"/>
        </w:rPr>
      </w:pPr>
      <w:r w:rsidRPr="00107732">
        <w:rPr>
          <w:rFonts w:eastAsia="Calibri"/>
          <w:color w:val="000000"/>
          <w:szCs w:val="22"/>
          <w:lang w:eastAsia="en-US"/>
        </w:rPr>
        <w:t>Tendo em conta o parecer do Comité Económico e Social Europeu</w:t>
      </w:r>
      <w:r w:rsidRPr="00107732">
        <w:rPr>
          <w:rFonts w:eastAsia="Calibri"/>
          <w:b/>
          <w:bCs/>
          <w:color w:val="000000"/>
          <w:szCs w:val="22"/>
          <w:vertAlign w:val="superscript"/>
          <w:lang w:eastAsia="en-US"/>
        </w:rPr>
        <w:footnoteReference w:id="2"/>
      </w:r>
      <w:r w:rsidRPr="00107732">
        <w:rPr>
          <w:rFonts w:eastAsia="Calibri"/>
          <w:color w:val="000000"/>
          <w:szCs w:val="22"/>
          <w:lang w:eastAsia="en-US"/>
        </w:rPr>
        <w:t>,</w:t>
      </w:r>
    </w:p>
    <w:p w14:paraId="669F8112" w14:textId="77777777" w:rsidR="008E0097" w:rsidRPr="00107732" w:rsidRDefault="008E0097" w:rsidP="008E0097">
      <w:pPr>
        <w:widowControl/>
        <w:spacing w:before="120" w:after="120" w:line="360" w:lineRule="auto"/>
        <w:rPr>
          <w:rFonts w:eastAsia="Calibri"/>
          <w:color w:val="000000"/>
          <w:szCs w:val="22"/>
          <w:lang w:eastAsia="en-US"/>
        </w:rPr>
      </w:pPr>
      <w:r w:rsidRPr="00107732">
        <w:rPr>
          <w:rFonts w:eastAsia="Calibri"/>
          <w:color w:val="000000"/>
          <w:szCs w:val="22"/>
          <w:lang w:eastAsia="en-US"/>
        </w:rPr>
        <w:t>Após consulta ao Comité das Regiões,</w:t>
      </w:r>
    </w:p>
    <w:p w14:paraId="102773F2" w14:textId="77777777" w:rsidR="008E0097" w:rsidRPr="00107732" w:rsidRDefault="008E0097" w:rsidP="008E0097">
      <w:pPr>
        <w:widowControl/>
        <w:spacing w:before="120" w:after="120" w:line="360" w:lineRule="auto"/>
        <w:rPr>
          <w:rFonts w:eastAsia="Calibri"/>
          <w:color w:val="000000"/>
          <w:szCs w:val="22"/>
          <w:lang w:eastAsia="en-US"/>
        </w:rPr>
      </w:pPr>
      <w:r w:rsidRPr="00107732">
        <w:rPr>
          <w:rFonts w:eastAsia="Calibri"/>
          <w:color w:val="000000"/>
          <w:szCs w:val="22"/>
          <w:lang w:eastAsia="en-US"/>
        </w:rPr>
        <w:t>Deliberando de acordo com o processo legislativo ordinário</w:t>
      </w:r>
      <w:r w:rsidRPr="00107732">
        <w:rPr>
          <w:rFonts w:eastAsia="Calibri"/>
          <w:b/>
          <w:bCs/>
          <w:color w:val="000000"/>
          <w:szCs w:val="22"/>
          <w:vertAlign w:val="superscript"/>
          <w:lang w:eastAsia="en-US"/>
        </w:rPr>
        <w:footnoteReference w:id="3"/>
      </w:r>
      <w:r w:rsidRPr="00107732">
        <w:rPr>
          <w:rFonts w:eastAsia="Calibri"/>
          <w:color w:val="000000"/>
          <w:szCs w:val="22"/>
          <w:lang w:eastAsia="en-US"/>
        </w:rPr>
        <w:t>,</w:t>
      </w:r>
    </w:p>
    <w:p w14:paraId="5497CDAD" w14:textId="77777777" w:rsidR="008E0097" w:rsidRPr="00107732" w:rsidRDefault="008E0097" w:rsidP="008E0097">
      <w:pPr>
        <w:widowControl/>
        <w:spacing w:after="160" w:line="259" w:lineRule="auto"/>
        <w:rPr>
          <w:rFonts w:eastAsia="Calibri"/>
          <w:color w:val="000000"/>
          <w:szCs w:val="22"/>
          <w:lang w:eastAsia="en-US"/>
        </w:rPr>
      </w:pPr>
      <w:r w:rsidRPr="00107732">
        <w:rPr>
          <w:rFonts w:eastAsia="Calibri"/>
          <w:color w:val="000000"/>
          <w:szCs w:val="22"/>
          <w:lang w:eastAsia="en-US"/>
        </w:rPr>
        <w:br w:type="page"/>
      </w:r>
    </w:p>
    <w:p w14:paraId="5EBA399E" w14:textId="77777777" w:rsidR="008E0097" w:rsidRPr="00107732" w:rsidRDefault="008E0097" w:rsidP="008E0097">
      <w:pPr>
        <w:widowControl/>
        <w:spacing w:before="120" w:after="120" w:line="360" w:lineRule="auto"/>
        <w:rPr>
          <w:rFonts w:eastAsia="Calibri"/>
          <w:color w:val="000000"/>
          <w:szCs w:val="22"/>
          <w:lang w:eastAsia="en-US"/>
        </w:rPr>
      </w:pPr>
      <w:r w:rsidRPr="00107732">
        <w:rPr>
          <w:rFonts w:eastAsia="Calibri"/>
          <w:color w:val="000000"/>
          <w:szCs w:val="22"/>
          <w:lang w:eastAsia="en-US"/>
        </w:rPr>
        <w:lastRenderedPageBreak/>
        <w:t>Considerando o seguinte:</w:t>
      </w:r>
    </w:p>
    <w:p w14:paraId="29413F16" w14:textId="77777777" w:rsidR="008E0097" w:rsidRPr="00107732" w:rsidRDefault="008E0097" w:rsidP="008E0097">
      <w:pPr>
        <w:widowControl/>
        <w:spacing w:before="120" w:after="120" w:line="360" w:lineRule="auto"/>
        <w:ind w:left="851" w:hanging="851"/>
        <w:rPr>
          <w:rFonts w:eastAsia="Calibri"/>
          <w:color w:val="000000"/>
          <w:szCs w:val="22"/>
          <w:lang w:eastAsia="en-US"/>
        </w:rPr>
      </w:pPr>
      <w:bookmarkStart w:id="7" w:name="_Hlk211264391"/>
      <w:r w:rsidRPr="00107732">
        <w:rPr>
          <w:rFonts w:eastAsia="Calibri"/>
          <w:color w:val="000000"/>
          <w:szCs w:val="22"/>
          <w:lang w:eastAsia="en-US"/>
        </w:rPr>
        <w:t>(1)</w:t>
      </w:r>
      <w:r w:rsidRPr="00107732">
        <w:rPr>
          <w:rFonts w:eastAsia="Calibri"/>
          <w:color w:val="000000"/>
          <w:szCs w:val="22"/>
          <w:lang w:eastAsia="en-US"/>
        </w:rPr>
        <w:tab/>
        <w:t>Nos termos do artigo 20.º, n.º 1, do Acordo entre a Comunidade Europeia e a Confederação Suíça relativo ao transporte ferroviário e rodoviário de passageiros e de mercadorias</w:t>
      </w:r>
      <w:r w:rsidRPr="00107732">
        <w:rPr>
          <w:rFonts w:eastAsia="Calibri"/>
          <w:color w:val="000000"/>
          <w:szCs w:val="22"/>
          <w:vertAlign w:val="superscript"/>
          <w:lang w:eastAsia="en-US"/>
        </w:rPr>
        <w:footnoteReference w:id="4"/>
      </w:r>
      <w:r w:rsidRPr="00107732">
        <w:rPr>
          <w:rFonts w:eastAsia="Calibri"/>
          <w:color w:val="000000"/>
          <w:szCs w:val="22"/>
          <w:lang w:eastAsia="en-US"/>
        </w:rPr>
        <w:t xml:space="preserve"> («Acordo UE-Suíça»), não é autorizado o transporte de passageiros em autocarro entre dois pontos situados no território de uma mesma Parte Contratante do Acordo UE-Suíça efetuado por transportadores estabelecidos no território da outra Parte Contratante, conhecido por cabotagem.</w:t>
      </w:r>
    </w:p>
    <w:p w14:paraId="471DFCEB" w14:textId="77777777" w:rsidR="008E0097" w:rsidRPr="00107732" w:rsidRDefault="008E0097" w:rsidP="008E0097">
      <w:pPr>
        <w:widowControl/>
        <w:spacing w:before="120" w:after="120" w:line="360" w:lineRule="auto"/>
        <w:ind w:left="851" w:hanging="851"/>
        <w:rPr>
          <w:rFonts w:eastAsia="Calibri"/>
          <w:color w:val="000000"/>
          <w:szCs w:val="22"/>
          <w:lang w:eastAsia="en-US"/>
        </w:rPr>
      </w:pPr>
      <w:r w:rsidRPr="00107732">
        <w:rPr>
          <w:rFonts w:eastAsia="Calibri"/>
          <w:color w:val="000000"/>
          <w:szCs w:val="22"/>
          <w:lang w:eastAsia="en-US"/>
        </w:rPr>
        <w:t>(2)</w:t>
      </w:r>
      <w:r w:rsidRPr="00107732">
        <w:rPr>
          <w:rFonts w:eastAsia="Calibri"/>
          <w:color w:val="000000"/>
          <w:szCs w:val="22"/>
          <w:lang w:eastAsia="en-US"/>
        </w:rPr>
        <w:tab/>
        <w:t>Nos termos do artigo 20.º, n.º 2, do Acordo UE-Suíça, os direitos de cabotagem existentes previstos em acordos bilaterais celebrados entre os Estados‐Membros e a Suíça em vigor aquando da celebração do Acordo UE-Suíça, em 21 de junho de 1999, podem continuar a ser exercidos, desde que não seja exercida qualquer discriminação entre os transportadores estabelecidos na União e que não haja distorções da concorrência. O acordo bilateral de transporte rodoviário entre a Áustria e a Suíça de 22 de outubro de 1958</w:t>
      </w:r>
      <w:r w:rsidRPr="00107732">
        <w:rPr>
          <w:rFonts w:eastAsia="Calibri"/>
          <w:color w:val="000000"/>
          <w:szCs w:val="22"/>
          <w:vertAlign w:val="superscript"/>
          <w:lang w:eastAsia="en-US"/>
        </w:rPr>
        <w:footnoteReference w:id="5"/>
      </w:r>
      <w:r w:rsidRPr="00107732">
        <w:rPr>
          <w:rFonts w:eastAsia="Calibri"/>
          <w:color w:val="000000"/>
          <w:szCs w:val="22"/>
          <w:lang w:eastAsia="en-US"/>
        </w:rPr>
        <w:t xml:space="preserve"> (o «Acordo Áustria-Suíça») não autoriza as operações de cabotagem no decurso da prestação de serviços de transporte internacional de passageiros em autocarro entre os dois países. Por conseguinte, o direito de efetuar essas operações não figura entre os direitos previstos pelo artigo 20.º, n.º 2, do Acordo UE-Suíça.</w:t>
      </w:r>
    </w:p>
    <w:p w14:paraId="647C999D" w14:textId="77777777" w:rsidR="008E0097" w:rsidRPr="00107732" w:rsidRDefault="008E0097" w:rsidP="008E0097">
      <w:pPr>
        <w:widowControl/>
        <w:spacing w:before="120" w:after="120" w:line="360" w:lineRule="auto"/>
        <w:ind w:left="851" w:hanging="851"/>
        <w:rPr>
          <w:rFonts w:eastAsia="Calibri"/>
          <w:color w:val="000000"/>
          <w:szCs w:val="22"/>
          <w:lang w:eastAsia="en-US"/>
        </w:rPr>
      </w:pPr>
      <w:r w:rsidRPr="00107732">
        <w:rPr>
          <w:rFonts w:eastAsia="Calibri"/>
          <w:color w:val="000000"/>
          <w:szCs w:val="22"/>
          <w:lang w:eastAsia="en-US"/>
        </w:rPr>
        <w:br w:type="page"/>
      </w:r>
    </w:p>
    <w:p w14:paraId="1B1DF880" w14:textId="77777777" w:rsidR="008E0097" w:rsidRPr="00107732" w:rsidRDefault="008E0097" w:rsidP="008E0097">
      <w:pPr>
        <w:widowControl/>
        <w:spacing w:before="120" w:after="120" w:line="360" w:lineRule="auto"/>
        <w:ind w:left="851" w:hanging="851"/>
        <w:rPr>
          <w:rFonts w:eastAsia="Calibri"/>
          <w:color w:val="000000"/>
          <w:szCs w:val="22"/>
          <w:lang w:eastAsia="en-US"/>
        </w:rPr>
      </w:pPr>
      <w:r w:rsidRPr="00107732">
        <w:rPr>
          <w:rFonts w:eastAsia="Calibri"/>
          <w:color w:val="000000"/>
          <w:szCs w:val="22"/>
          <w:lang w:eastAsia="en-US"/>
        </w:rPr>
        <w:lastRenderedPageBreak/>
        <w:t>(3)</w:t>
      </w:r>
      <w:r w:rsidRPr="00107732">
        <w:rPr>
          <w:rFonts w:eastAsia="Calibri"/>
          <w:color w:val="000000"/>
          <w:szCs w:val="22"/>
          <w:lang w:eastAsia="en-US"/>
        </w:rPr>
        <w:tab/>
        <w:t>Os compromissos internacionais que autorizam os transportadores estabelecidos na Suíça a efetuar operações de cabotagem na União são suscetíveis de afetar o artigo 20.º do Acordo UE-Suíça, dado que esse artigo não autoriza essas operações.</w:t>
      </w:r>
    </w:p>
    <w:p w14:paraId="67D2FF85" w14:textId="77777777" w:rsidR="008E0097" w:rsidRPr="00107732" w:rsidRDefault="008E0097" w:rsidP="008E0097">
      <w:pPr>
        <w:widowControl/>
        <w:spacing w:before="120" w:after="120" w:line="360" w:lineRule="auto"/>
        <w:ind w:left="851" w:hanging="851"/>
        <w:rPr>
          <w:rFonts w:eastAsia="Calibri"/>
          <w:color w:val="000000"/>
          <w:szCs w:val="22"/>
          <w:lang w:eastAsia="en-US"/>
        </w:rPr>
      </w:pPr>
      <w:r w:rsidRPr="00107732">
        <w:rPr>
          <w:rFonts w:eastAsia="Calibri"/>
          <w:color w:val="000000"/>
          <w:szCs w:val="22"/>
          <w:lang w:eastAsia="en-US"/>
        </w:rPr>
        <w:t>(4)</w:t>
      </w:r>
      <w:r w:rsidRPr="00107732">
        <w:rPr>
          <w:rFonts w:eastAsia="Calibri"/>
          <w:color w:val="000000"/>
          <w:szCs w:val="22"/>
          <w:lang w:eastAsia="en-US"/>
        </w:rPr>
        <w:tab/>
        <w:t>Além disso, o Regulamento (CE) n.º 1073/2009 do Parlamento Europeu e do Conselho</w:t>
      </w:r>
      <w:r w:rsidRPr="00107732">
        <w:rPr>
          <w:rFonts w:eastAsia="Calibri"/>
          <w:color w:val="000000"/>
          <w:szCs w:val="22"/>
          <w:vertAlign w:val="superscript"/>
          <w:lang w:eastAsia="en-US"/>
        </w:rPr>
        <w:footnoteReference w:id="6"/>
      </w:r>
      <w:r w:rsidRPr="00107732">
        <w:rPr>
          <w:rFonts w:eastAsia="Calibri"/>
          <w:color w:val="000000"/>
          <w:szCs w:val="22"/>
          <w:lang w:eastAsia="en-US"/>
        </w:rPr>
        <w:t>, autoriza operações de cabotagem na União, sob determinadas condições, realizadas exclusivamente por transportadores que sejam titulares de uma licença comunitária. Os compromissos internacionais que autorizam transportadores de países terceiros, que não sejam titulares de tal licença, a efetuar operações deste tipo são suscetíveis de afetar o referido regulamento.</w:t>
      </w:r>
    </w:p>
    <w:p w14:paraId="24A173ED" w14:textId="77777777" w:rsidR="008E0097" w:rsidRPr="00107732" w:rsidRDefault="008E0097" w:rsidP="008E0097">
      <w:pPr>
        <w:widowControl/>
        <w:spacing w:before="120" w:after="120" w:line="360" w:lineRule="auto"/>
        <w:ind w:left="851" w:hanging="851"/>
        <w:rPr>
          <w:rFonts w:eastAsia="Calibri"/>
          <w:color w:val="000000"/>
          <w:szCs w:val="22"/>
          <w:lang w:eastAsia="en-US"/>
        </w:rPr>
      </w:pPr>
      <w:r w:rsidRPr="00107732">
        <w:rPr>
          <w:rFonts w:eastAsia="Calibri"/>
          <w:color w:val="000000"/>
          <w:szCs w:val="22"/>
          <w:lang w:eastAsia="en-US"/>
        </w:rPr>
        <w:t>(5)</w:t>
      </w:r>
      <w:r w:rsidRPr="00107732">
        <w:rPr>
          <w:rFonts w:eastAsia="Calibri"/>
          <w:color w:val="000000"/>
          <w:szCs w:val="22"/>
          <w:lang w:eastAsia="en-US"/>
        </w:rPr>
        <w:tab/>
        <w:t>Por conseguinte, esses compromissos internacionais são da competência externa exclusiva da União. Os Estados-Membros só podem negociar ou celebrar esses compromissos se estiverem habilitados pela União a fazê-lo, em conformidade com o artigo 2.º, n.º 1, do Tratado sobre o Funcionamento da União Europeia (TFUE).</w:t>
      </w:r>
    </w:p>
    <w:p w14:paraId="60E90012" w14:textId="77777777" w:rsidR="008E0097" w:rsidRPr="00107732" w:rsidRDefault="008E0097" w:rsidP="008E0097">
      <w:pPr>
        <w:widowControl/>
        <w:spacing w:before="120" w:after="120" w:line="360" w:lineRule="auto"/>
        <w:ind w:left="851" w:hanging="851"/>
        <w:rPr>
          <w:rFonts w:eastAsia="Calibri"/>
          <w:color w:val="000000"/>
          <w:szCs w:val="22"/>
          <w:lang w:eastAsia="en-US"/>
        </w:rPr>
      </w:pPr>
      <w:r w:rsidRPr="00107732">
        <w:rPr>
          <w:rFonts w:eastAsia="Calibri"/>
          <w:color w:val="000000"/>
          <w:szCs w:val="22"/>
          <w:lang w:eastAsia="en-US"/>
        </w:rPr>
        <w:br w:type="page"/>
      </w:r>
    </w:p>
    <w:p w14:paraId="65B49C7C" w14:textId="77777777" w:rsidR="008E0097" w:rsidRPr="00107732" w:rsidRDefault="008E0097" w:rsidP="008E0097">
      <w:pPr>
        <w:widowControl/>
        <w:spacing w:before="120" w:after="120" w:line="360" w:lineRule="auto"/>
        <w:ind w:left="851" w:hanging="851"/>
        <w:rPr>
          <w:rFonts w:eastAsia="Calibri"/>
          <w:color w:val="000000"/>
          <w:szCs w:val="22"/>
          <w:lang w:eastAsia="en-US"/>
        </w:rPr>
      </w:pPr>
      <w:r w:rsidRPr="00107732">
        <w:rPr>
          <w:rFonts w:eastAsia="Calibri"/>
          <w:color w:val="000000"/>
          <w:szCs w:val="22"/>
          <w:lang w:eastAsia="en-US"/>
        </w:rPr>
        <w:lastRenderedPageBreak/>
        <w:t>(6)</w:t>
      </w:r>
      <w:r w:rsidRPr="00107732">
        <w:rPr>
          <w:rFonts w:eastAsia="Calibri"/>
          <w:color w:val="000000"/>
          <w:szCs w:val="22"/>
          <w:lang w:eastAsia="en-US"/>
        </w:rPr>
        <w:tab/>
        <w:t>As operações de cabotagem efetuadas na União por transportadores de países terceiros que não sejam titulares de uma licença comunitária, tal como previsto no Regulamento (CE) n.º 1073/2009, afetam o funcionamento do mercado interno dos serviços de transporte em autocarro, tal como estabelecido naquele regulamento. É, por conseguinte, necessário que uma habilitação nos termos do artigo 2.º, n.º 1, do TFUE seja conferida pelo legislador da União, em conformidade com o procedimento legislativo a que se refere o artigo 91.º do TFUE.</w:t>
      </w:r>
    </w:p>
    <w:p w14:paraId="5CE43B1B" w14:textId="77777777" w:rsidR="008E0097" w:rsidRPr="00107732" w:rsidRDefault="008E0097" w:rsidP="008E0097">
      <w:pPr>
        <w:widowControl/>
        <w:spacing w:before="120" w:after="120" w:line="360" w:lineRule="auto"/>
        <w:ind w:left="851" w:hanging="851"/>
        <w:rPr>
          <w:rFonts w:eastAsia="Calibri"/>
          <w:color w:val="000000"/>
          <w:szCs w:val="22"/>
          <w:lang w:eastAsia="en-US"/>
        </w:rPr>
      </w:pPr>
      <w:r w:rsidRPr="00107732">
        <w:rPr>
          <w:rFonts w:eastAsia="Calibri"/>
          <w:color w:val="000000"/>
          <w:szCs w:val="22"/>
          <w:lang w:eastAsia="en-US"/>
        </w:rPr>
        <w:t>(7)</w:t>
      </w:r>
      <w:r w:rsidRPr="00107732">
        <w:rPr>
          <w:rFonts w:eastAsia="Calibri"/>
          <w:color w:val="000000"/>
          <w:szCs w:val="22"/>
          <w:lang w:eastAsia="en-US"/>
        </w:rPr>
        <w:tab/>
        <w:t>Por carta de 17 de março de 2025, a Áustria solicitou uma habilitação da União para alterar o Acordo Áustria-Suíça, com vista a autorizar as operações de cabotagem durante a prestação de serviços de transporte internacional de passageiros em autocarro nas regiões fronteiriças da Áustria e da Suíça</w:t>
      </w:r>
      <w:r w:rsidRPr="00107732">
        <w:rPr>
          <w:rFonts w:eastAsia="Calibri"/>
          <w:b/>
          <w:bCs/>
          <w:i/>
          <w:iCs/>
          <w:color w:val="000000"/>
          <w:szCs w:val="22"/>
          <w:lang w:eastAsia="en-US"/>
        </w:rPr>
        <w:t>, fomentando assim uma maior coesão territorial</w:t>
      </w:r>
      <w:r w:rsidRPr="00107732">
        <w:rPr>
          <w:rFonts w:eastAsia="Calibri"/>
          <w:color w:val="000000"/>
          <w:szCs w:val="22"/>
          <w:lang w:eastAsia="en-US"/>
        </w:rPr>
        <w:t>.</w:t>
      </w:r>
    </w:p>
    <w:p w14:paraId="3ABC5087" w14:textId="77777777" w:rsidR="008E0097" w:rsidRPr="00107732" w:rsidRDefault="008E0097" w:rsidP="008E0097">
      <w:pPr>
        <w:widowControl/>
        <w:spacing w:before="120" w:after="120" w:line="360" w:lineRule="auto"/>
        <w:ind w:left="851" w:hanging="851"/>
        <w:rPr>
          <w:rFonts w:eastAsia="Calibri"/>
          <w:color w:val="000000"/>
          <w:szCs w:val="22"/>
          <w:lang w:eastAsia="en-US"/>
        </w:rPr>
      </w:pPr>
      <w:r w:rsidRPr="00107732">
        <w:rPr>
          <w:rFonts w:eastAsia="Calibri"/>
          <w:color w:val="000000"/>
          <w:szCs w:val="22"/>
          <w:lang w:eastAsia="en-US"/>
        </w:rPr>
        <w:t>(8)</w:t>
      </w:r>
      <w:r w:rsidRPr="00107732">
        <w:rPr>
          <w:rFonts w:eastAsia="Calibri"/>
          <w:color w:val="000000"/>
          <w:szCs w:val="22"/>
          <w:lang w:eastAsia="en-US"/>
        </w:rPr>
        <w:tab/>
        <w:t>As operações de cabotagem permitem aumentar o fator de carga dos veículos, o que reforça a eficiência económica dos serviços de transporte internacional de passageiros em autocarro. Por conseguinte, é adequado autorizar essas operações no decurso da prestação de serviços de transporte internacional de passageiros em autocarro nas regiões fronteiriças da Suíça e da Áustria. Tal poderia reforçar a estreita integração destas regiões fronteiriças.</w:t>
      </w:r>
    </w:p>
    <w:p w14:paraId="656A1D16" w14:textId="77777777" w:rsidR="008E0097" w:rsidRPr="00107732" w:rsidRDefault="008E0097" w:rsidP="008E0097">
      <w:pPr>
        <w:widowControl/>
        <w:spacing w:before="120" w:after="120" w:line="360" w:lineRule="auto"/>
        <w:ind w:left="851" w:hanging="851"/>
        <w:rPr>
          <w:rFonts w:eastAsia="Calibri"/>
          <w:color w:val="000000"/>
          <w:szCs w:val="22"/>
          <w:lang w:eastAsia="en-US"/>
        </w:rPr>
      </w:pPr>
      <w:r w:rsidRPr="00107732">
        <w:rPr>
          <w:rFonts w:eastAsia="Calibri"/>
          <w:color w:val="000000"/>
          <w:szCs w:val="22"/>
          <w:lang w:eastAsia="en-US"/>
        </w:rPr>
        <w:br w:type="page"/>
      </w:r>
    </w:p>
    <w:p w14:paraId="32EAD139" w14:textId="77777777" w:rsidR="008E0097" w:rsidRPr="00107732" w:rsidRDefault="008E0097" w:rsidP="008E0097">
      <w:pPr>
        <w:widowControl/>
        <w:spacing w:before="120" w:after="120" w:line="360" w:lineRule="auto"/>
        <w:ind w:left="851" w:hanging="851"/>
        <w:rPr>
          <w:rFonts w:eastAsia="Calibri"/>
          <w:color w:val="000000"/>
          <w:szCs w:val="22"/>
          <w:lang w:eastAsia="en-US"/>
        </w:rPr>
      </w:pPr>
      <w:r w:rsidRPr="00107732">
        <w:rPr>
          <w:rFonts w:eastAsia="Calibri"/>
          <w:color w:val="000000"/>
          <w:szCs w:val="22"/>
          <w:lang w:eastAsia="en-US"/>
        </w:rPr>
        <w:lastRenderedPageBreak/>
        <w:t>(9)</w:t>
      </w:r>
      <w:r w:rsidRPr="00107732">
        <w:rPr>
          <w:rFonts w:eastAsia="Calibri"/>
          <w:color w:val="000000"/>
          <w:szCs w:val="22"/>
          <w:lang w:eastAsia="en-US"/>
        </w:rPr>
        <w:tab/>
        <w:t xml:space="preserve">A fim de assegurar que as operações de cabotagem em questão não alterem excessivamente o funcionamento do mercado interno dos serviços de transporte em autocarro, tal como estabelecido no Regulamento (CE) n.º 1073/2009, a autorização dessas operações de cabotagem deverá estar subordinada à ausência de discriminação entre os transportadores estabelecidos na União e à ausência de distorções da concorrência. </w:t>
      </w:r>
    </w:p>
    <w:p w14:paraId="756957B0" w14:textId="77777777" w:rsidR="008E0097" w:rsidRPr="00107732" w:rsidRDefault="008E0097" w:rsidP="008E0097">
      <w:pPr>
        <w:widowControl/>
        <w:spacing w:before="120" w:after="120" w:line="360" w:lineRule="auto"/>
        <w:ind w:left="851" w:hanging="851"/>
        <w:rPr>
          <w:rFonts w:eastAsia="Calibri"/>
          <w:color w:val="000000"/>
          <w:szCs w:val="22"/>
          <w:lang w:eastAsia="en-US"/>
        </w:rPr>
      </w:pPr>
      <w:r w:rsidRPr="00107732">
        <w:rPr>
          <w:rFonts w:eastAsia="Calibri"/>
          <w:color w:val="000000"/>
          <w:szCs w:val="22"/>
          <w:lang w:eastAsia="en-US"/>
        </w:rPr>
        <w:t>(10)</w:t>
      </w:r>
      <w:r w:rsidRPr="00107732">
        <w:rPr>
          <w:rFonts w:eastAsia="Calibri"/>
          <w:color w:val="000000"/>
          <w:szCs w:val="22"/>
          <w:lang w:eastAsia="en-US"/>
        </w:rPr>
        <w:tab/>
        <w:t>Pela mesma razão, as operações de cabotagem só deverão ser autorizadas nas regiões fronteiriças da Áustria no decurso da prestação de serviços de transporte internacional de passageiros em autocarro entre a Áustria e a Suíça. Para tal, é necessário definir as regiões fronteiriças da Áustria para os efeitos da presente decisão de uma forma que tenha devidamente em conta o funcionamento do Regulamento (CE) n.º 1073/2009, permitindo ao mesmo tempo melhorar a eficiência das operações em causa,</w:t>
      </w:r>
    </w:p>
    <w:bookmarkEnd w:id="7"/>
    <w:p w14:paraId="6555EEED" w14:textId="439D18F9" w:rsidR="008E0097" w:rsidRPr="00107732" w:rsidRDefault="008E0097" w:rsidP="008E0097">
      <w:pPr>
        <w:keepNext/>
        <w:widowControl/>
        <w:spacing w:before="120" w:after="120" w:line="360" w:lineRule="auto"/>
        <w:rPr>
          <w:rFonts w:eastAsia="Calibri"/>
          <w:color w:val="000000"/>
          <w:szCs w:val="22"/>
          <w:lang w:eastAsia="en-US"/>
        </w:rPr>
      </w:pPr>
      <w:r w:rsidRPr="00107732">
        <w:rPr>
          <w:rFonts w:eastAsia="Calibri"/>
          <w:color w:val="000000"/>
          <w:szCs w:val="22"/>
          <w:lang w:eastAsia="en-US"/>
        </w:rPr>
        <w:t xml:space="preserve">ADOTARAM A </w:t>
      </w:r>
      <w:r w:rsidR="00F31528" w:rsidRPr="00107732">
        <w:rPr>
          <w:rFonts w:eastAsia="Calibri"/>
          <w:color w:val="000000"/>
          <w:szCs w:val="22"/>
          <w:lang w:eastAsia="en-US"/>
        </w:rPr>
        <w:t xml:space="preserve">PRESENTE </w:t>
      </w:r>
      <w:r w:rsidRPr="00107732">
        <w:rPr>
          <w:rFonts w:eastAsia="Calibri"/>
          <w:color w:val="000000"/>
          <w:szCs w:val="22"/>
          <w:lang w:eastAsia="en-US"/>
        </w:rPr>
        <w:t>DECISÃO:</w:t>
      </w:r>
    </w:p>
    <w:p w14:paraId="2CBBDAD5" w14:textId="77777777" w:rsidR="008E0097" w:rsidRPr="00107732" w:rsidRDefault="008E0097" w:rsidP="008E0097">
      <w:pPr>
        <w:widowControl/>
        <w:spacing w:after="160" w:line="259" w:lineRule="auto"/>
        <w:rPr>
          <w:rFonts w:eastAsia="Calibri"/>
          <w:i/>
          <w:color w:val="000000"/>
          <w:szCs w:val="22"/>
          <w:lang w:eastAsia="en-US"/>
        </w:rPr>
      </w:pPr>
      <w:r w:rsidRPr="00107732">
        <w:rPr>
          <w:rFonts w:eastAsia="Calibri"/>
          <w:color w:val="000000"/>
          <w:szCs w:val="22"/>
          <w:lang w:eastAsia="en-US"/>
        </w:rPr>
        <w:br w:type="page"/>
      </w:r>
    </w:p>
    <w:p w14:paraId="3DC6E3F6" w14:textId="77777777" w:rsidR="008E0097" w:rsidRPr="00107732" w:rsidRDefault="008E0097" w:rsidP="008E0097">
      <w:pPr>
        <w:keepNext/>
        <w:widowControl/>
        <w:spacing w:before="120" w:after="120" w:line="360" w:lineRule="auto"/>
        <w:jc w:val="center"/>
        <w:rPr>
          <w:rFonts w:eastAsia="Calibri"/>
          <w:iCs/>
          <w:color w:val="000000"/>
          <w:szCs w:val="22"/>
          <w:lang w:eastAsia="en-US"/>
        </w:rPr>
      </w:pPr>
      <w:r w:rsidRPr="00107732">
        <w:rPr>
          <w:rFonts w:eastAsia="Calibri"/>
          <w:iCs/>
          <w:color w:val="000000"/>
          <w:szCs w:val="22"/>
          <w:lang w:eastAsia="en-US"/>
        </w:rPr>
        <w:lastRenderedPageBreak/>
        <w:t>Artigo 1.º</w:t>
      </w:r>
    </w:p>
    <w:p w14:paraId="12243241" w14:textId="77777777" w:rsidR="008E0097" w:rsidRPr="00107732" w:rsidRDefault="008E0097" w:rsidP="008E0097">
      <w:pPr>
        <w:widowControl/>
        <w:spacing w:before="120" w:after="120" w:line="360" w:lineRule="auto"/>
        <w:rPr>
          <w:rFonts w:eastAsia="Calibri"/>
          <w:color w:val="000000"/>
          <w:szCs w:val="22"/>
          <w:lang w:eastAsia="en-US"/>
        </w:rPr>
      </w:pPr>
      <w:r w:rsidRPr="00107732">
        <w:rPr>
          <w:rFonts w:eastAsia="Calibri"/>
          <w:color w:val="000000"/>
          <w:szCs w:val="22"/>
          <w:lang w:eastAsia="en-US"/>
        </w:rPr>
        <w:t>A Áustria fica habilitada a alterar o seu atual acordo bilateral de transporte rodoviário com a Suíça, de 22 de outubro de 1958 (o «Acordo Áustria-Suíça»), com vista a autorizar as operações de cabotagem nas regiões fronteiriças da Áustria e da Suíça no decurso da prestação de serviços de transporte internacional de passageiros em autocarro entre os dois países, desde que não seja exercida qualquer discriminação entre os transportadores estabelecidos na União e que não haja distorções de concorrência.</w:t>
      </w:r>
    </w:p>
    <w:p w14:paraId="11A8B1F2" w14:textId="77777777" w:rsidR="008E0097" w:rsidRPr="00107732" w:rsidRDefault="008E0097" w:rsidP="008E0097">
      <w:pPr>
        <w:widowControl/>
        <w:spacing w:before="120" w:after="120" w:line="360" w:lineRule="auto"/>
        <w:rPr>
          <w:rFonts w:eastAsia="Calibri"/>
          <w:color w:val="000000"/>
          <w:szCs w:val="22"/>
          <w:lang w:eastAsia="en-US"/>
        </w:rPr>
      </w:pPr>
      <w:r w:rsidRPr="00107732">
        <w:rPr>
          <w:rFonts w:eastAsia="Calibri"/>
          <w:color w:val="000000"/>
          <w:szCs w:val="22"/>
          <w:lang w:eastAsia="en-US"/>
        </w:rPr>
        <w:t xml:space="preserve">As circunscrições administrativas de </w:t>
      </w:r>
      <w:proofErr w:type="spellStart"/>
      <w:r w:rsidRPr="00107732">
        <w:rPr>
          <w:rFonts w:eastAsia="Calibri"/>
          <w:color w:val="000000"/>
          <w:szCs w:val="22"/>
          <w:lang w:eastAsia="en-US"/>
        </w:rPr>
        <w:t>Bludenz</w:t>
      </w:r>
      <w:proofErr w:type="spellEnd"/>
      <w:r w:rsidRPr="00107732">
        <w:rPr>
          <w:rFonts w:eastAsia="Calibri"/>
          <w:color w:val="000000"/>
          <w:szCs w:val="22"/>
          <w:lang w:eastAsia="en-US"/>
        </w:rPr>
        <w:t xml:space="preserve">, </w:t>
      </w:r>
      <w:proofErr w:type="spellStart"/>
      <w:r w:rsidRPr="00107732">
        <w:rPr>
          <w:rFonts w:eastAsia="Calibri"/>
          <w:color w:val="000000"/>
          <w:szCs w:val="22"/>
          <w:lang w:eastAsia="en-US"/>
        </w:rPr>
        <w:t>Bregenz</w:t>
      </w:r>
      <w:proofErr w:type="spellEnd"/>
      <w:r w:rsidRPr="00107732">
        <w:rPr>
          <w:rFonts w:eastAsia="Calibri"/>
          <w:color w:val="000000"/>
          <w:szCs w:val="22"/>
          <w:lang w:eastAsia="en-US"/>
        </w:rPr>
        <w:t xml:space="preserve">, </w:t>
      </w:r>
      <w:proofErr w:type="spellStart"/>
      <w:r w:rsidRPr="00107732">
        <w:rPr>
          <w:rFonts w:eastAsia="Calibri"/>
          <w:color w:val="000000"/>
          <w:szCs w:val="22"/>
          <w:lang w:eastAsia="en-US"/>
        </w:rPr>
        <w:t>Dornbirn</w:t>
      </w:r>
      <w:proofErr w:type="spellEnd"/>
      <w:r w:rsidRPr="00107732">
        <w:rPr>
          <w:rFonts w:eastAsia="Calibri"/>
          <w:color w:val="000000"/>
          <w:szCs w:val="22"/>
          <w:lang w:eastAsia="en-US"/>
        </w:rPr>
        <w:t xml:space="preserve"> e de </w:t>
      </w:r>
      <w:proofErr w:type="spellStart"/>
      <w:r w:rsidRPr="00107732">
        <w:rPr>
          <w:rFonts w:eastAsia="Calibri"/>
          <w:color w:val="000000"/>
          <w:szCs w:val="22"/>
          <w:lang w:eastAsia="en-US"/>
        </w:rPr>
        <w:t>Feldkirch</w:t>
      </w:r>
      <w:proofErr w:type="spellEnd"/>
      <w:r w:rsidRPr="00107732">
        <w:rPr>
          <w:rFonts w:eastAsia="Calibri"/>
          <w:color w:val="000000"/>
          <w:szCs w:val="22"/>
          <w:lang w:eastAsia="en-US"/>
        </w:rPr>
        <w:t xml:space="preserve"> na região de </w:t>
      </w:r>
      <w:proofErr w:type="spellStart"/>
      <w:r w:rsidRPr="00107732">
        <w:rPr>
          <w:rFonts w:eastAsia="Calibri"/>
          <w:color w:val="000000"/>
          <w:szCs w:val="22"/>
          <w:lang w:eastAsia="en-US"/>
        </w:rPr>
        <w:t>Vorarlberg</w:t>
      </w:r>
      <w:proofErr w:type="spellEnd"/>
      <w:r w:rsidRPr="00107732">
        <w:rPr>
          <w:rFonts w:eastAsia="Calibri"/>
          <w:color w:val="000000"/>
          <w:szCs w:val="22"/>
          <w:lang w:eastAsia="en-US"/>
        </w:rPr>
        <w:t xml:space="preserve"> e a circunscrição de </w:t>
      </w:r>
      <w:proofErr w:type="spellStart"/>
      <w:r w:rsidRPr="00107732">
        <w:rPr>
          <w:rFonts w:eastAsia="Calibri"/>
          <w:color w:val="000000"/>
          <w:szCs w:val="22"/>
          <w:lang w:eastAsia="en-US"/>
        </w:rPr>
        <w:t>Landeck</w:t>
      </w:r>
      <w:proofErr w:type="spellEnd"/>
      <w:r w:rsidRPr="00107732">
        <w:rPr>
          <w:rFonts w:eastAsia="Calibri"/>
          <w:color w:val="000000"/>
          <w:szCs w:val="22"/>
          <w:lang w:eastAsia="en-US"/>
        </w:rPr>
        <w:t xml:space="preserve"> na região do Tirol são consideradas regiões fronteiriças da Áustria na aceção do primeiro parágrafo.</w:t>
      </w:r>
    </w:p>
    <w:p w14:paraId="0FBF4B96" w14:textId="77777777" w:rsidR="008E0097" w:rsidRPr="00107732" w:rsidRDefault="008E0097" w:rsidP="008E0097">
      <w:pPr>
        <w:widowControl/>
        <w:spacing w:after="160" w:line="259" w:lineRule="auto"/>
        <w:rPr>
          <w:rFonts w:eastAsia="Calibri"/>
          <w:i/>
          <w:color w:val="000000"/>
          <w:szCs w:val="22"/>
          <w:lang w:eastAsia="en-US"/>
        </w:rPr>
      </w:pPr>
      <w:r w:rsidRPr="00107732">
        <w:rPr>
          <w:rFonts w:eastAsia="Calibri"/>
          <w:color w:val="000000"/>
          <w:szCs w:val="22"/>
          <w:lang w:eastAsia="en-US"/>
        </w:rPr>
        <w:br w:type="page"/>
      </w:r>
    </w:p>
    <w:p w14:paraId="38C37596" w14:textId="77777777" w:rsidR="008E0097" w:rsidRPr="00107732" w:rsidRDefault="008E0097" w:rsidP="008E0097">
      <w:pPr>
        <w:keepNext/>
        <w:widowControl/>
        <w:spacing w:before="120" w:after="120" w:line="360" w:lineRule="auto"/>
        <w:jc w:val="center"/>
        <w:rPr>
          <w:rFonts w:eastAsia="Calibri"/>
          <w:iCs/>
          <w:color w:val="000000"/>
          <w:szCs w:val="22"/>
          <w:lang w:eastAsia="en-US"/>
        </w:rPr>
      </w:pPr>
      <w:r w:rsidRPr="00107732">
        <w:rPr>
          <w:rFonts w:eastAsia="Calibri"/>
          <w:iCs/>
          <w:color w:val="000000"/>
          <w:szCs w:val="22"/>
          <w:lang w:eastAsia="en-US"/>
        </w:rPr>
        <w:lastRenderedPageBreak/>
        <w:t>Artigo 2.º</w:t>
      </w:r>
    </w:p>
    <w:p w14:paraId="3D82C8E5" w14:textId="77777777" w:rsidR="008E0097" w:rsidRPr="00107732" w:rsidRDefault="008E0097" w:rsidP="008E0097">
      <w:pPr>
        <w:widowControl/>
        <w:spacing w:before="120" w:after="120" w:line="360" w:lineRule="auto"/>
        <w:rPr>
          <w:rFonts w:eastAsia="Calibri"/>
          <w:color w:val="000000"/>
          <w:szCs w:val="22"/>
          <w:lang w:eastAsia="en-US"/>
        </w:rPr>
      </w:pPr>
      <w:r w:rsidRPr="00107732">
        <w:rPr>
          <w:rFonts w:eastAsia="Calibri"/>
          <w:color w:val="000000"/>
          <w:szCs w:val="22"/>
          <w:lang w:eastAsia="en-US"/>
        </w:rPr>
        <w:t>A Áustria informa a Comissão da alteração do Acordo Áustria-Suíça nos termos do artigo 1.º da presente decisão e notifica a Comissão do texto do acordo alterado.</w:t>
      </w:r>
    </w:p>
    <w:p w14:paraId="5D61C504" w14:textId="660521A5" w:rsidR="008E0097" w:rsidRPr="00107732" w:rsidRDefault="008E0097" w:rsidP="008E0097">
      <w:pPr>
        <w:widowControl/>
        <w:spacing w:before="120" w:after="120" w:line="360" w:lineRule="auto"/>
        <w:rPr>
          <w:rFonts w:eastAsia="Calibri"/>
          <w:color w:val="000000"/>
          <w:szCs w:val="22"/>
          <w:lang w:eastAsia="en-US"/>
        </w:rPr>
      </w:pPr>
      <w:r w:rsidRPr="00107732">
        <w:rPr>
          <w:rFonts w:eastAsia="Calibri"/>
          <w:color w:val="000000"/>
          <w:szCs w:val="22"/>
          <w:lang w:eastAsia="en-US"/>
        </w:rPr>
        <w:t xml:space="preserve">A Comissão informa do facto o </w:t>
      </w:r>
      <w:r w:rsidR="000610F1" w:rsidRPr="00107732">
        <w:rPr>
          <w:rFonts w:eastAsia="Calibri"/>
          <w:color w:val="000000"/>
          <w:szCs w:val="22"/>
          <w:lang w:eastAsia="en-US"/>
        </w:rPr>
        <w:t>Parlamento Europeu</w:t>
      </w:r>
      <w:r w:rsidRPr="00107732">
        <w:rPr>
          <w:rFonts w:eastAsia="Calibri"/>
          <w:color w:val="000000"/>
          <w:szCs w:val="22"/>
          <w:lang w:eastAsia="en-US"/>
        </w:rPr>
        <w:t xml:space="preserve"> e o </w:t>
      </w:r>
      <w:r w:rsidR="000610F1" w:rsidRPr="00107732">
        <w:rPr>
          <w:rFonts w:eastAsia="Calibri"/>
          <w:color w:val="000000"/>
          <w:szCs w:val="22"/>
          <w:lang w:eastAsia="en-US"/>
        </w:rPr>
        <w:t>Conselho</w:t>
      </w:r>
      <w:r w:rsidRPr="00107732">
        <w:rPr>
          <w:rFonts w:eastAsia="Calibri"/>
          <w:color w:val="000000"/>
          <w:szCs w:val="22"/>
          <w:lang w:eastAsia="en-US"/>
        </w:rPr>
        <w:t>.</w:t>
      </w:r>
    </w:p>
    <w:p w14:paraId="0AD023C4" w14:textId="77777777" w:rsidR="008E0097" w:rsidRPr="00107732" w:rsidRDefault="008E0097" w:rsidP="008E0097">
      <w:pPr>
        <w:keepNext/>
        <w:widowControl/>
        <w:spacing w:before="120" w:after="120" w:line="360" w:lineRule="auto"/>
        <w:jc w:val="center"/>
        <w:rPr>
          <w:rFonts w:eastAsia="Calibri"/>
          <w:iCs/>
          <w:color w:val="000000"/>
          <w:szCs w:val="22"/>
          <w:lang w:eastAsia="en-US"/>
        </w:rPr>
      </w:pPr>
      <w:r w:rsidRPr="00107732">
        <w:rPr>
          <w:rFonts w:eastAsia="Calibri"/>
          <w:iCs/>
          <w:color w:val="000000"/>
          <w:szCs w:val="22"/>
          <w:lang w:eastAsia="en-US"/>
        </w:rPr>
        <w:t>Artigo 3.º</w:t>
      </w:r>
    </w:p>
    <w:p w14:paraId="6DF8CC99" w14:textId="77777777" w:rsidR="008E0097" w:rsidRPr="00107732" w:rsidRDefault="008E0097" w:rsidP="008E0097">
      <w:pPr>
        <w:widowControl/>
        <w:spacing w:before="120" w:after="120" w:line="360" w:lineRule="auto"/>
        <w:rPr>
          <w:rFonts w:eastAsia="Calibri"/>
          <w:color w:val="000000"/>
          <w:szCs w:val="22"/>
          <w:lang w:eastAsia="en-US"/>
        </w:rPr>
      </w:pPr>
      <w:r w:rsidRPr="00107732">
        <w:rPr>
          <w:rFonts w:eastAsia="Calibri"/>
          <w:color w:val="000000"/>
          <w:szCs w:val="22"/>
          <w:lang w:eastAsia="en-US"/>
        </w:rPr>
        <w:t>A destinatária da presente decisão é a República da Áustria.</w:t>
      </w:r>
    </w:p>
    <w:p w14:paraId="7CCE04D6" w14:textId="77777777" w:rsidR="008E0097" w:rsidRPr="00107732" w:rsidRDefault="008E0097" w:rsidP="008E0097">
      <w:pPr>
        <w:keepNext/>
        <w:widowControl/>
        <w:spacing w:before="120" w:line="360" w:lineRule="auto"/>
        <w:rPr>
          <w:rFonts w:eastAsia="Calibri"/>
          <w:color w:val="000000"/>
          <w:szCs w:val="22"/>
          <w:lang w:eastAsia="en-US"/>
        </w:rPr>
      </w:pPr>
      <w:r w:rsidRPr="00107732">
        <w:rPr>
          <w:rFonts w:eastAsia="Calibri"/>
          <w:color w:val="000000"/>
          <w:szCs w:val="22"/>
          <w:lang w:eastAsia="en-US"/>
        </w:rPr>
        <w:t>Feito em …, em</w:t>
      </w:r>
    </w:p>
    <w:p w14:paraId="069C7E4E" w14:textId="77777777" w:rsidR="008E0097" w:rsidRPr="00107732" w:rsidRDefault="008E0097" w:rsidP="008E0097">
      <w:pPr>
        <w:keepNext/>
        <w:widowControl/>
        <w:tabs>
          <w:tab w:val="left" w:pos="5669"/>
        </w:tabs>
        <w:spacing w:before="720" w:line="360" w:lineRule="auto"/>
        <w:rPr>
          <w:rFonts w:eastAsia="Calibri"/>
          <w:i/>
          <w:color w:val="000000"/>
          <w:szCs w:val="22"/>
          <w:lang w:eastAsia="en-US"/>
        </w:rPr>
      </w:pPr>
      <w:r w:rsidRPr="00107732">
        <w:rPr>
          <w:rFonts w:eastAsia="Calibri"/>
          <w:i/>
          <w:color w:val="000000"/>
          <w:szCs w:val="22"/>
          <w:lang w:eastAsia="en-US"/>
        </w:rPr>
        <w:t>Pelo Parlamento Europeu</w:t>
      </w:r>
      <w:r w:rsidRPr="00107732">
        <w:rPr>
          <w:rFonts w:eastAsia="Calibri"/>
          <w:i/>
          <w:color w:val="000000"/>
          <w:szCs w:val="22"/>
          <w:lang w:eastAsia="en-US"/>
        </w:rPr>
        <w:tab/>
        <w:t>Pelo Conselho</w:t>
      </w:r>
    </w:p>
    <w:p w14:paraId="3CA633DA" w14:textId="77777777" w:rsidR="008E0097" w:rsidRPr="00107732" w:rsidRDefault="008E0097" w:rsidP="008E0097">
      <w:pPr>
        <w:widowControl/>
        <w:tabs>
          <w:tab w:val="left" w:pos="5669"/>
        </w:tabs>
        <w:spacing w:line="360" w:lineRule="auto"/>
        <w:rPr>
          <w:rFonts w:eastAsia="Calibri"/>
          <w:i/>
          <w:color w:val="000000"/>
          <w:szCs w:val="22"/>
          <w:lang w:eastAsia="en-US"/>
        </w:rPr>
      </w:pPr>
      <w:r w:rsidRPr="00107732">
        <w:rPr>
          <w:rFonts w:eastAsia="Calibri"/>
          <w:i/>
          <w:color w:val="000000"/>
          <w:szCs w:val="22"/>
          <w:lang w:eastAsia="en-US"/>
        </w:rPr>
        <w:t>A Presidente</w:t>
      </w:r>
      <w:r w:rsidRPr="00107732">
        <w:rPr>
          <w:rFonts w:eastAsia="Calibri"/>
          <w:i/>
          <w:color w:val="000000"/>
          <w:szCs w:val="22"/>
          <w:lang w:eastAsia="en-US"/>
        </w:rPr>
        <w:tab/>
        <w:t>O Presidente/A Presidente</w:t>
      </w:r>
    </w:p>
    <w:p w14:paraId="36C7DFFF" w14:textId="77777777" w:rsidR="00CF38AC" w:rsidRPr="00107732" w:rsidRDefault="00CF38AC" w:rsidP="00CF38AC"/>
    <w:p w14:paraId="30CCBDBA" w14:textId="77777777" w:rsidR="008E0097" w:rsidRPr="00107732" w:rsidRDefault="008E0097" w:rsidP="00CF38AC"/>
    <w:p w14:paraId="735CA2FD" w14:textId="73A0546F" w:rsidR="00E365E1" w:rsidRPr="00107732" w:rsidRDefault="00E365E1" w:rsidP="008C1DD4"/>
    <w:sectPr w:rsidR="00E365E1" w:rsidRPr="00107732" w:rsidSect="00FE2FF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C75AB" w14:textId="77777777" w:rsidR="008C1DD4" w:rsidRPr="00FE2FFC" w:rsidRDefault="008C1DD4">
      <w:r w:rsidRPr="00FE2FFC">
        <w:separator/>
      </w:r>
    </w:p>
  </w:endnote>
  <w:endnote w:type="continuationSeparator" w:id="0">
    <w:p w14:paraId="6711E793" w14:textId="77777777" w:rsidR="008C1DD4" w:rsidRPr="00FE2FFC" w:rsidRDefault="008C1DD4">
      <w:r w:rsidRPr="00FE2F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96293" w14:textId="77777777" w:rsidR="00064002" w:rsidRPr="00FE2FF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95303" w14:textId="77777777" w:rsidR="00064002" w:rsidRPr="00FE2FF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174E8" w14:textId="77777777" w:rsidR="00064002" w:rsidRPr="00FE2FF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2B20D" w14:textId="77777777" w:rsidR="008C1DD4" w:rsidRPr="00FE2FFC" w:rsidRDefault="008C1DD4">
      <w:r w:rsidRPr="00FE2FFC">
        <w:separator/>
      </w:r>
    </w:p>
  </w:footnote>
  <w:footnote w:type="continuationSeparator" w:id="0">
    <w:p w14:paraId="1C2A26E8" w14:textId="77777777" w:rsidR="008C1DD4" w:rsidRPr="00FE2FFC" w:rsidRDefault="008C1DD4">
      <w:r w:rsidRPr="00FE2FFC">
        <w:continuationSeparator/>
      </w:r>
    </w:p>
  </w:footnote>
  <w:footnote w:id="1">
    <w:p w14:paraId="22FD5BC6" w14:textId="6DE89A12" w:rsidR="00CF38AC" w:rsidRPr="00107732" w:rsidRDefault="00CF38AC" w:rsidP="0061539A">
      <w:pPr>
        <w:pStyle w:val="FootnoteText"/>
        <w:keepLines w:val="0"/>
        <w:spacing w:line="240" w:lineRule="auto"/>
        <w:ind w:left="567" w:hanging="567"/>
        <w:rPr>
          <w:sz w:val="24"/>
          <w:lang w:val="fi-FI"/>
        </w:rPr>
      </w:pPr>
      <w:r w:rsidRPr="004E512F">
        <w:rPr>
          <w:rStyle w:val="FootnoteReference"/>
          <w:sz w:val="24"/>
          <w:lang w:val="pt-PT"/>
        </w:rPr>
        <w:footnoteRef/>
      </w:r>
      <w:r w:rsidR="00FE2FFC" w:rsidRPr="00107732">
        <w:rPr>
          <w:sz w:val="24"/>
          <w:lang w:val="fi-FI"/>
        </w:rPr>
        <w:t xml:space="preserve"> </w:t>
      </w:r>
      <w:r w:rsidR="00FE2FFC" w:rsidRPr="00107732">
        <w:rPr>
          <w:sz w:val="24"/>
          <w:lang w:val="fi-FI"/>
        </w:rPr>
        <w:tab/>
      </w:r>
      <w:r w:rsidRPr="00107732">
        <w:rPr>
          <w:sz w:val="24"/>
          <w:lang w:val="fi-FI"/>
        </w:rPr>
        <w:t xml:space="preserve">JO C, </w:t>
      </w:r>
      <w:r w:rsidR="00972393" w:rsidRPr="00107732">
        <w:rPr>
          <w:sz w:val="24"/>
          <w:lang w:val="fi-FI"/>
        </w:rPr>
        <w:t xml:space="preserve">C/2026/1970, 28.4.2026, ELI: </w:t>
      </w:r>
      <w:hyperlink r:id="rId1" w:history="1">
        <w:r w:rsidR="00972393" w:rsidRPr="00107732">
          <w:rPr>
            <w:rStyle w:val="Hyperlink"/>
            <w:sz w:val="24"/>
            <w:lang w:val="fi-FI"/>
          </w:rPr>
          <w:t>http://data.europa.eu/eli/C/2026/1970/oj</w:t>
        </w:r>
      </w:hyperlink>
      <w:r w:rsidRPr="00107732">
        <w:rPr>
          <w:sz w:val="24"/>
          <w:lang w:val="fi-FI"/>
        </w:rPr>
        <w:t>.</w:t>
      </w:r>
    </w:p>
  </w:footnote>
  <w:footnote w:id="2">
    <w:p w14:paraId="4F2010E7" w14:textId="77777777" w:rsidR="008E0097" w:rsidRPr="00107732" w:rsidRDefault="008E0097" w:rsidP="0061539A">
      <w:pPr>
        <w:pStyle w:val="FootnoteText"/>
        <w:keepLines w:val="0"/>
        <w:spacing w:line="240" w:lineRule="auto"/>
        <w:ind w:left="850" w:hanging="850"/>
        <w:rPr>
          <w:color w:val="000000"/>
          <w:sz w:val="24"/>
          <w:szCs w:val="24"/>
          <w:lang w:val="fi-FI"/>
        </w:rPr>
      </w:pPr>
      <w:r w:rsidRPr="004E512F">
        <w:rPr>
          <w:rStyle w:val="FootnoteReference"/>
          <w:b/>
          <w:bCs/>
          <w:color w:val="000000"/>
          <w:sz w:val="24"/>
          <w:szCs w:val="24"/>
          <w:lang w:val="pt-PT"/>
        </w:rPr>
        <w:footnoteRef/>
      </w:r>
      <w:r w:rsidRPr="00107732">
        <w:rPr>
          <w:color w:val="000000"/>
          <w:sz w:val="24"/>
          <w:szCs w:val="24"/>
          <w:lang w:val="fi-FI"/>
        </w:rPr>
        <w:tab/>
        <w:t>JO C, C/2026/1970, 28.4.2026, ELI: </w:t>
      </w:r>
      <w:hyperlink r:id="rId2" w:history="1">
        <w:r w:rsidRPr="00107732">
          <w:rPr>
            <w:rStyle w:val="Hyperlink"/>
            <w:color w:val="0000FF"/>
            <w:sz w:val="24"/>
            <w:szCs w:val="24"/>
            <w:lang w:val="fi-FI"/>
          </w:rPr>
          <w:t>http://data.europa.eu/eli/C/2026/1970/oj</w:t>
        </w:r>
      </w:hyperlink>
      <w:r w:rsidRPr="00107732">
        <w:rPr>
          <w:color w:val="000000"/>
          <w:sz w:val="24"/>
          <w:szCs w:val="24"/>
          <w:lang w:val="fi-FI"/>
        </w:rPr>
        <w:t>.</w:t>
      </w:r>
    </w:p>
  </w:footnote>
  <w:footnote w:id="3">
    <w:p w14:paraId="1C355E8A" w14:textId="0F6B8A4C" w:rsidR="008E0097" w:rsidRPr="004E512F" w:rsidRDefault="008E0097" w:rsidP="0061539A">
      <w:pPr>
        <w:pStyle w:val="FootnoteText"/>
        <w:keepLines w:val="0"/>
        <w:spacing w:line="240" w:lineRule="auto"/>
        <w:ind w:left="850" w:hanging="850"/>
        <w:rPr>
          <w:color w:val="000000"/>
          <w:sz w:val="24"/>
          <w:szCs w:val="24"/>
          <w:lang w:val="pt-PT"/>
        </w:rPr>
      </w:pPr>
      <w:r w:rsidRPr="004E512F">
        <w:rPr>
          <w:rStyle w:val="FootnoteReference"/>
          <w:b/>
          <w:bCs/>
          <w:color w:val="000000"/>
          <w:sz w:val="24"/>
          <w:szCs w:val="24"/>
          <w:lang w:val="pt-PT"/>
        </w:rPr>
        <w:footnoteRef/>
      </w:r>
      <w:r w:rsidRPr="004E512F">
        <w:rPr>
          <w:color w:val="000000"/>
          <w:sz w:val="24"/>
          <w:szCs w:val="24"/>
          <w:lang w:val="pt-PT"/>
        </w:rPr>
        <w:tab/>
        <w:t xml:space="preserve">Posição do Parlamento Europeu de </w:t>
      </w:r>
      <w:r w:rsidR="0061539A">
        <w:rPr>
          <w:color w:val="000000"/>
          <w:sz w:val="24"/>
          <w:szCs w:val="24"/>
          <w:lang w:val="pt-PT"/>
        </w:rPr>
        <w:t>7 de julho de 2026</w:t>
      </w:r>
      <w:r w:rsidRPr="004E512F">
        <w:rPr>
          <w:color w:val="000000"/>
          <w:sz w:val="24"/>
          <w:szCs w:val="24"/>
          <w:lang w:val="pt-PT"/>
        </w:rPr>
        <w:t>.</w:t>
      </w:r>
    </w:p>
  </w:footnote>
  <w:footnote w:id="4">
    <w:p w14:paraId="467887D5" w14:textId="77777777" w:rsidR="008E0097" w:rsidRPr="00107732" w:rsidRDefault="008E0097" w:rsidP="0061539A">
      <w:pPr>
        <w:pStyle w:val="FootnoteText"/>
        <w:keepLines w:val="0"/>
        <w:spacing w:line="240" w:lineRule="auto"/>
        <w:ind w:left="850" w:hanging="850"/>
        <w:rPr>
          <w:color w:val="000000"/>
          <w:sz w:val="24"/>
          <w:lang w:val="da-DK"/>
        </w:rPr>
      </w:pPr>
      <w:r w:rsidRPr="004E512F">
        <w:rPr>
          <w:rStyle w:val="FootnoteReference"/>
          <w:color w:val="000000"/>
          <w:sz w:val="24"/>
          <w:lang w:val="pt-PT"/>
        </w:rPr>
        <w:footnoteRef/>
      </w:r>
      <w:r w:rsidRPr="00107732">
        <w:rPr>
          <w:color w:val="000000"/>
          <w:sz w:val="24"/>
          <w:lang w:val="da-DK"/>
        </w:rPr>
        <w:t xml:space="preserve"> </w:t>
      </w:r>
      <w:r w:rsidRPr="00107732">
        <w:rPr>
          <w:color w:val="000000"/>
          <w:sz w:val="24"/>
          <w:lang w:val="da-DK"/>
        </w:rPr>
        <w:tab/>
      </w:r>
      <w:r w:rsidRPr="00107732">
        <w:rPr>
          <w:color w:val="000000"/>
          <w:sz w:val="24"/>
          <w:szCs w:val="24"/>
          <w:lang w:val="da-DK"/>
        </w:rPr>
        <w:t>JO L 114 de 30.4.2002, p. 91, ELI: </w:t>
      </w:r>
      <w:hyperlink r:id="rId3" w:tooltip="Permite aceder ao documento através do seu identificador ELI." w:history="1">
        <w:r w:rsidRPr="00107732">
          <w:rPr>
            <w:rStyle w:val="Hyperlink"/>
            <w:color w:val="0000FF"/>
            <w:sz w:val="24"/>
            <w:szCs w:val="24"/>
            <w:lang w:val="da-DK"/>
          </w:rPr>
          <w:t>http://data.europa.eu/eli/agree_internation/2002/309(3)/oj</w:t>
        </w:r>
      </w:hyperlink>
      <w:r w:rsidRPr="00107732">
        <w:rPr>
          <w:color w:val="000000"/>
          <w:sz w:val="24"/>
          <w:szCs w:val="24"/>
          <w:lang w:val="da-DK"/>
        </w:rPr>
        <w:t>.</w:t>
      </w:r>
    </w:p>
  </w:footnote>
  <w:footnote w:id="5">
    <w:p w14:paraId="18FFDCF5" w14:textId="2BA52C80" w:rsidR="008E0097" w:rsidRPr="004E512F" w:rsidRDefault="008E0097" w:rsidP="0061539A">
      <w:pPr>
        <w:pStyle w:val="FootnoteText"/>
        <w:keepLines w:val="0"/>
        <w:spacing w:line="240" w:lineRule="auto"/>
        <w:ind w:left="850" w:hanging="850"/>
        <w:rPr>
          <w:color w:val="000000"/>
          <w:sz w:val="24"/>
          <w:szCs w:val="24"/>
          <w:lang w:val="pt-PT"/>
        </w:rPr>
      </w:pPr>
      <w:r w:rsidRPr="004E512F">
        <w:rPr>
          <w:rStyle w:val="FootnoteReference"/>
          <w:color w:val="000000"/>
          <w:sz w:val="24"/>
          <w:szCs w:val="24"/>
          <w:lang w:val="pt-PT"/>
        </w:rPr>
        <w:footnoteRef/>
      </w:r>
      <w:r w:rsidRPr="004E512F">
        <w:rPr>
          <w:color w:val="000000"/>
          <w:sz w:val="24"/>
          <w:szCs w:val="24"/>
          <w:lang w:val="pt-PT"/>
        </w:rPr>
        <w:tab/>
      </w:r>
      <w:proofErr w:type="spellStart"/>
      <w:r w:rsidRPr="004E512F">
        <w:rPr>
          <w:color w:val="000000"/>
          <w:sz w:val="24"/>
          <w:szCs w:val="24"/>
          <w:lang w:val="pt-PT"/>
        </w:rPr>
        <w:t>BGBl</w:t>
      </w:r>
      <w:proofErr w:type="spellEnd"/>
      <w:r w:rsidRPr="004E512F">
        <w:rPr>
          <w:color w:val="000000"/>
          <w:sz w:val="24"/>
          <w:szCs w:val="24"/>
          <w:lang w:val="pt-PT"/>
        </w:rPr>
        <w:t xml:space="preserve">. </w:t>
      </w:r>
      <w:r w:rsidR="0033499E">
        <w:rPr>
          <w:color w:val="000000"/>
          <w:sz w:val="24"/>
          <w:szCs w:val="24"/>
          <w:lang w:val="pt-PT"/>
        </w:rPr>
        <w:t>n</w:t>
      </w:r>
      <w:r w:rsidR="000C78AE">
        <w:rPr>
          <w:color w:val="000000"/>
          <w:sz w:val="24"/>
          <w:szCs w:val="24"/>
          <w:lang w:val="pt-PT"/>
        </w:rPr>
        <w:t>.º</w:t>
      </w:r>
      <w:r w:rsidR="009A5D89">
        <w:rPr>
          <w:color w:val="000000"/>
          <w:sz w:val="24"/>
          <w:szCs w:val="24"/>
          <w:lang w:val="pt-PT"/>
        </w:rPr>
        <w:t xml:space="preserve"> </w:t>
      </w:r>
      <w:r w:rsidRPr="004E512F">
        <w:rPr>
          <w:color w:val="000000"/>
          <w:sz w:val="24"/>
          <w:szCs w:val="24"/>
          <w:lang w:val="pt-PT"/>
        </w:rPr>
        <w:t>123/1959 (Áustria).</w:t>
      </w:r>
    </w:p>
  </w:footnote>
  <w:footnote w:id="6">
    <w:p w14:paraId="2ACC7008" w14:textId="7AA8E863" w:rsidR="008E0097" w:rsidRPr="004E512F" w:rsidRDefault="008E0097" w:rsidP="0061539A">
      <w:pPr>
        <w:pStyle w:val="FootnoteText"/>
        <w:keepLines w:val="0"/>
        <w:spacing w:line="240" w:lineRule="auto"/>
        <w:ind w:left="850" w:hanging="850"/>
        <w:rPr>
          <w:color w:val="000000"/>
          <w:sz w:val="24"/>
          <w:szCs w:val="24"/>
          <w:lang w:val="pt-PT"/>
        </w:rPr>
      </w:pPr>
      <w:r w:rsidRPr="004E512F">
        <w:rPr>
          <w:rStyle w:val="FootnoteReference"/>
          <w:color w:val="000000"/>
          <w:sz w:val="24"/>
          <w:szCs w:val="24"/>
          <w:lang w:val="pt-PT"/>
        </w:rPr>
        <w:footnoteRef/>
      </w:r>
      <w:r w:rsidRPr="004E512F">
        <w:rPr>
          <w:color w:val="000000"/>
          <w:sz w:val="24"/>
          <w:szCs w:val="24"/>
          <w:lang w:val="pt-PT"/>
        </w:rPr>
        <w:tab/>
        <w:t>Regulamento (CE) n.º 1073/2009 do Parlamento Europeu e do Conselho, de 21 de outubro de 2009, que estabelece regras comuns para o acesso ao mercado internacional dos serviços de transporte em autocarro e que altera o Regulamento (CE) n.º 561/2006 (JO L 300 de 14.11.2009, p. 88</w:t>
      </w:r>
      <w:r w:rsidR="00F31528">
        <w:rPr>
          <w:color w:val="000000"/>
          <w:sz w:val="24"/>
          <w:szCs w:val="24"/>
          <w:lang w:val="pt-PT"/>
        </w:rPr>
        <w:t>,</w:t>
      </w:r>
      <w:r w:rsidRPr="004E512F">
        <w:rPr>
          <w:color w:val="000000"/>
          <w:sz w:val="24"/>
          <w:szCs w:val="24"/>
          <w:lang w:val="pt-PT"/>
        </w:rPr>
        <w:t xml:space="preserve"> ELI: </w:t>
      </w:r>
      <w:hyperlink r:id="rId4" w:tooltip="Permite aceder ao documento através do seu identificador ELI." w:history="1">
        <w:r w:rsidRPr="004E512F">
          <w:rPr>
            <w:rStyle w:val="Hyperlink"/>
            <w:color w:val="0000FF"/>
            <w:sz w:val="24"/>
            <w:szCs w:val="24"/>
            <w:lang w:val="pt-PT"/>
          </w:rPr>
          <w:t>http://data.europa.eu/eli/reg/2009/1073/oj</w:t>
        </w:r>
      </w:hyperlink>
      <w:r w:rsidRPr="004E512F">
        <w:rPr>
          <w:color w:val="000000"/>
          <w:sz w:val="24"/>
          <w:szCs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0F5FB" w14:textId="77777777" w:rsidR="00064002" w:rsidRPr="00FE2FF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D10A0" w14:textId="77777777" w:rsidR="00064002" w:rsidRPr="00FE2FF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3A9BB" w14:textId="77777777" w:rsidR="00064002" w:rsidRPr="00FE2FF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51653212">
    <w:abstractNumId w:val="9"/>
  </w:num>
  <w:num w:numId="2" w16cid:durableId="36515172">
    <w:abstractNumId w:val="9"/>
  </w:num>
  <w:num w:numId="3" w16cid:durableId="1710952378">
    <w:abstractNumId w:val="7"/>
  </w:num>
  <w:num w:numId="4" w16cid:durableId="1138180144">
    <w:abstractNumId w:val="7"/>
  </w:num>
  <w:num w:numId="5" w16cid:durableId="2119324204">
    <w:abstractNumId w:val="6"/>
  </w:num>
  <w:num w:numId="6" w16cid:durableId="18943156">
    <w:abstractNumId w:val="6"/>
  </w:num>
  <w:num w:numId="7" w16cid:durableId="1488550762">
    <w:abstractNumId w:val="5"/>
  </w:num>
  <w:num w:numId="8" w16cid:durableId="1658532162">
    <w:abstractNumId w:val="5"/>
  </w:num>
  <w:num w:numId="9" w16cid:durableId="1201170220">
    <w:abstractNumId w:val="4"/>
  </w:num>
  <w:num w:numId="10" w16cid:durableId="1277635560">
    <w:abstractNumId w:val="4"/>
  </w:num>
  <w:num w:numId="11" w16cid:durableId="1685131140">
    <w:abstractNumId w:val="8"/>
  </w:num>
  <w:num w:numId="12" w16cid:durableId="1634600191">
    <w:abstractNumId w:val="8"/>
  </w:num>
  <w:num w:numId="13" w16cid:durableId="444037627">
    <w:abstractNumId w:val="3"/>
  </w:num>
  <w:num w:numId="14" w16cid:durableId="1567229559">
    <w:abstractNumId w:val="3"/>
  </w:num>
  <w:num w:numId="15" w16cid:durableId="4599167">
    <w:abstractNumId w:val="2"/>
  </w:num>
  <w:num w:numId="16" w16cid:durableId="1116291997">
    <w:abstractNumId w:val="2"/>
  </w:num>
  <w:num w:numId="17" w16cid:durableId="1811827188">
    <w:abstractNumId w:val="1"/>
  </w:num>
  <w:num w:numId="18" w16cid:durableId="366419002">
    <w:abstractNumId w:val="1"/>
  </w:num>
  <w:num w:numId="19" w16cid:durableId="376585692">
    <w:abstractNumId w:val="0"/>
  </w:num>
  <w:num w:numId="20" w16cid:durableId="1456871884">
    <w:abstractNumId w:val="0"/>
  </w:num>
  <w:num w:numId="21" w16cid:durableId="1790851692">
    <w:abstractNumId w:val="9"/>
  </w:num>
  <w:num w:numId="22" w16cid:durableId="1984697171">
    <w:abstractNumId w:val="7"/>
  </w:num>
  <w:num w:numId="23" w16cid:durableId="837229278">
    <w:abstractNumId w:val="6"/>
  </w:num>
  <w:num w:numId="24" w16cid:durableId="1315913250">
    <w:abstractNumId w:val="5"/>
  </w:num>
  <w:num w:numId="25" w16cid:durableId="705644095">
    <w:abstractNumId w:val="4"/>
  </w:num>
  <w:num w:numId="26" w16cid:durableId="121383082">
    <w:abstractNumId w:val="8"/>
  </w:num>
  <w:num w:numId="27" w16cid:durableId="234708194">
    <w:abstractNumId w:val="3"/>
  </w:num>
  <w:num w:numId="28" w16cid:durableId="1193886270">
    <w:abstractNumId w:val="2"/>
  </w:num>
  <w:num w:numId="29" w16cid:durableId="669065317">
    <w:abstractNumId w:val="1"/>
  </w:num>
  <w:num w:numId="30" w16cid:durableId="405227919">
    <w:abstractNumId w:val="0"/>
  </w:num>
  <w:num w:numId="31" w16cid:durableId="1211959738">
    <w:abstractNumId w:val="9"/>
  </w:num>
  <w:num w:numId="32" w16cid:durableId="984700095">
    <w:abstractNumId w:val="7"/>
  </w:num>
  <w:num w:numId="33" w16cid:durableId="545259697">
    <w:abstractNumId w:val="6"/>
  </w:num>
  <w:num w:numId="34" w16cid:durableId="722872491">
    <w:abstractNumId w:val="5"/>
  </w:num>
  <w:num w:numId="35" w16cid:durableId="992485151">
    <w:abstractNumId w:val="4"/>
  </w:num>
  <w:num w:numId="36" w16cid:durableId="324675410">
    <w:abstractNumId w:val="8"/>
  </w:num>
  <w:num w:numId="37" w16cid:durableId="1463038520">
    <w:abstractNumId w:val="3"/>
  </w:num>
  <w:num w:numId="38" w16cid:durableId="1966570849">
    <w:abstractNumId w:val="2"/>
  </w:num>
  <w:num w:numId="39" w16cid:durableId="424037915">
    <w:abstractNumId w:val="1"/>
  </w:num>
  <w:num w:numId="40" w16cid:durableId="1637375487">
    <w:abstractNumId w:val="0"/>
  </w:num>
  <w:num w:numId="41" w16cid:durableId="1876000326">
    <w:abstractNumId w:val="10"/>
  </w:num>
  <w:num w:numId="42" w16cid:durableId="1371101943">
    <w:abstractNumId w:val="10"/>
  </w:num>
  <w:num w:numId="43" w16cid:durableId="327826238">
    <w:abstractNumId w:val="10"/>
  </w:num>
  <w:num w:numId="44" w16cid:durableId="15279859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4/2026"/>
    <w:docVar w:name="dvlangue" w:val="PT"/>
    <w:docVar w:name="dvnumam" w:val="2"/>
    <w:docVar w:name="dvpe" w:val="785.404"/>
    <w:docVar w:name="dvrapporteur" w:val="Relatora: "/>
    <w:docVar w:name="dvstar" w:val="***I"/>
    <w:docVar w:name="dvtitre" w:val="Decisão do Parlamento Europeu, de ... de ... de 2026,_x000d__x000a_ sobre a proposta de decisão do Parlamento Europeu e do Conselho que habilita a Áustria a alterar o seu atual acordo bilateral de transporte rodoviário com a Suíça com vista a autorizar as operações de cabotagem no decurso da prestação de serviços de transporte rodoviário internacional de passageiros em autocarro nas regiões fronteiriças entre os dois países(COM(2025)0773 – C10-0367/2025 – 2025/0407(COD))"/>
  </w:docVars>
  <w:rsids>
    <w:rsidRoot w:val="008C1DD4"/>
    <w:rsid w:val="00002272"/>
    <w:rsid w:val="00034B61"/>
    <w:rsid w:val="000610F1"/>
    <w:rsid w:val="00064002"/>
    <w:rsid w:val="000677B9"/>
    <w:rsid w:val="000831BA"/>
    <w:rsid w:val="000A42CC"/>
    <w:rsid w:val="000C78AE"/>
    <w:rsid w:val="000E7DD9"/>
    <w:rsid w:val="0010095E"/>
    <w:rsid w:val="00107732"/>
    <w:rsid w:val="00125B37"/>
    <w:rsid w:val="001576F7"/>
    <w:rsid w:val="00187494"/>
    <w:rsid w:val="001F32AE"/>
    <w:rsid w:val="0025567B"/>
    <w:rsid w:val="002767FF"/>
    <w:rsid w:val="002B18FE"/>
    <w:rsid w:val="002B5493"/>
    <w:rsid w:val="0033499E"/>
    <w:rsid w:val="00343214"/>
    <w:rsid w:val="00361C00"/>
    <w:rsid w:val="00395FA1"/>
    <w:rsid w:val="003E15D4"/>
    <w:rsid w:val="00411CCE"/>
    <w:rsid w:val="0041666E"/>
    <w:rsid w:val="00416C28"/>
    <w:rsid w:val="00421060"/>
    <w:rsid w:val="00471C19"/>
    <w:rsid w:val="004867E3"/>
    <w:rsid w:val="00494A28"/>
    <w:rsid w:val="004C0004"/>
    <w:rsid w:val="004C5D52"/>
    <w:rsid w:val="004E512F"/>
    <w:rsid w:val="0050519A"/>
    <w:rsid w:val="005072A1"/>
    <w:rsid w:val="00514517"/>
    <w:rsid w:val="00545827"/>
    <w:rsid w:val="00560270"/>
    <w:rsid w:val="005C2568"/>
    <w:rsid w:val="005D7984"/>
    <w:rsid w:val="005F1B17"/>
    <w:rsid w:val="006037C0"/>
    <w:rsid w:val="0061539A"/>
    <w:rsid w:val="006631B6"/>
    <w:rsid w:val="00680577"/>
    <w:rsid w:val="006F74FA"/>
    <w:rsid w:val="00731ADD"/>
    <w:rsid w:val="00734777"/>
    <w:rsid w:val="00747932"/>
    <w:rsid w:val="00751A4A"/>
    <w:rsid w:val="00756632"/>
    <w:rsid w:val="00762C74"/>
    <w:rsid w:val="00786EC0"/>
    <w:rsid w:val="007D1690"/>
    <w:rsid w:val="007E22AD"/>
    <w:rsid w:val="00817416"/>
    <w:rsid w:val="008227DD"/>
    <w:rsid w:val="00842779"/>
    <w:rsid w:val="00865F67"/>
    <w:rsid w:val="00881A7B"/>
    <w:rsid w:val="008840E5"/>
    <w:rsid w:val="00887B3E"/>
    <w:rsid w:val="008C1DD4"/>
    <w:rsid w:val="008C2AC6"/>
    <w:rsid w:val="008C60E0"/>
    <w:rsid w:val="008E0097"/>
    <w:rsid w:val="008F51C3"/>
    <w:rsid w:val="00930C23"/>
    <w:rsid w:val="0093193B"/>
    <w:rsid w:val="009509D8"/>
    <w:rsid w:val="00950B64"/>
    <w:rsid w:val="00972393"/>
    <w:rsid w:val="00981893"/>
    <w:rsid w:val="009A5D89"/>
    <w:rsid w:val="00A1687D"/>
    <w:rsid w:val="00A43E52"/>
    <w:rsid w:val="00A4678D"/>
    <w:rsid w:val="00A778C7"/>
    <w:rsid w:val="00AB441E"/>
    <w:rsid w:val="00AB6293"/>
    <w:rsid w:val="00AE0928"/>
    <w:rsid w:val="00AF3B82"/>
    <w:rsid w:val="00B12E95"/>
    <w:rsid w:val="00B22876"/>
    <w:rsid w:val="00B558F0"/>
    <w:rsid w:val="00B61A27"/>
    <w:rsid w:val="00B943BF"/>
    <w:rsid w:val="00BD48FE"/>
    <w:rsid w:val="00BD7BD8"/>
    <w:rsid w:val="00BE6ADC"/>
    <w:rsid w:val="00C05BFE"/>
    <w:rsid w:val="00C23CD4"/>
    <w:rsid w:val="00C3366A"/>
    <w:rsid w:val="00C61C0C"/>
    <w:rsid w:val="00C665AF"/>
    <w:rsid w:val="00C941CB"/>
    <w:rsid w:val="00CC2357"/>
    <w:rsid w:val="00CF071A"/>
    <w:rsid w:val="00CF38AC"/>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1528"/>
    <w:rsid w:val="00F369AB"/>
    <w:rsid w:val="00F5134D"/>
    <w:rsid w:val="00F74202"/>
    <w:rsid w:val="00F87713"/>
    <w:rsid w:val="00FB4360"/>
    <w:rsid w:val="00FD0C70"/>
    <w:rsid w:val="00FE2FFC"/>
    <w:rsid w:val="00FF054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32B56A"/>
  <w15:chartTrackingRefBased/>
  <w15:docId w15:val="{F12EB5EE-2A59-44E8-9571-709BD25C6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CF38AC"/>
    <w:rPr>
      <w:b/>
    </w:rPr>
  </w:style>
  <w:style w:type="paragraph" w:customStyle="1" w:styleId="AmJustText">
    <w:name w:val="AmJustText"/>
    <w:basedOn w:val="Normal"/>
    <w:rsid w:val="00CF38AC"/>
    <w:pPr>
      <w:spacing w:after="240"/>
    </w:pPr>
    <w:rPr>
      <w:i/>
    </w:rPr>
  </w:style>
  <w:style w:type="paragraph" w:customStyle="1" w:styleId="NormalHanging12a">
    <w:name w:val="NormalHanging12a"/>
    <w:basedOn w:val="Normal"/>
    <w:rsid w:val="00CF38AC"/>
    <w:pPr>
      <w:spacing w:after="240"/>
      <w:ind w:left="567" w:hanging="567"/>
    </w:pPr>
  </w:style>
  <w:style w:type="paragraph" w:customStyle="1" w:styleId="AmJustTitle">
    <w:name w:val="AmJustTitle"/>
    <w:basedOn w:val="Normal"/>
    <w:next w:val="AmJustText"/>
    <w:rsid w:val="00CF38AC"/>
    <w:pPr>
      <w:keepNext/>
      <w:spacing w:before="240" w:after="240"/>
      <w:jc w:val="center"/>
    </w:pPr>
    <w:rPr>
      <w:i/>
    </w:rPr>
  </w:style>
  <w:style w:type="paragraph" w:customStyle="1" w:styleId="AmNumberTabs">
    <w:name w:val="AmNumberTabs"/>
    <w:basedOn w:val="Normal"/>
    <w:rsid w:val="00CF38A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CF38AC"/>
    <w:pPr>
      <w:spacing w:before="480" w:after="240"/>
    </w:pPr>
  </w:style>
  <w:style w:type="character" w:customStyle="1" w:styleId="Normal6Char">
    <w:name w:val="Normal6 Char"/>
    <w:basedOn w:val="DefaultParagraphFont"/>
    <w:link w:val="Normal6"/>
    <w:locked/>
    <w:rsid w:val="00CF38AC"/>
    <w:rPr>
      <w:sz w:val="24"/>
      <w:lang w:val="pt-PT"/>
    </w:rPr>
  </w:style>
  <w:style w:type="paragraph" w:customStyle="1" w:styleId="Normal6">
    <w:name w:val="Normal6"/>
    <w:basedOn w:val="Normal"/>
    <w:link w:val="Normal6Char"/>
    <w:rsid w:val="00CF38AC"/>
    <w:pPr>
      <w:spacing w:after="120"/>
    </w:pPr>
  </w:style>
  <w:style w:type="character" w:customStyle="1" w:styleId="NormalBoldChar">
    <w:name w:val="NormalBold Char"/>
    <w:basedOn w:val="DefaultParagraphFont"/>
    <w:link w:val="NormalBold"/>
    <w:locked/>
    <w:rsid w:val="00CF38AC"/>
    <w:rPr>
      <w:b/>
      <w:sz w:val="24"/>
      <w:lang w:val="pt-PT"/>
    </w:rPr>
  </w:style>
  <w:style w:type="paragraph" w:customStyle="1" w:styleId="ColumnHeading">
    <w:name w:val="ColumnHeading"/>
    <w:basedOn w:val="Normal"/>
    <w:rsid w:val="00CF38AC"/>
    <w:pPr>
      <w:spacing w:after="240"/>
      <w:jc w:val="center"/>
    </w:pPr>
    <w:rPr>
      <w:i/>
    </w:rPr>
  </w:style>
  <w:style w:type="paragraph" w:styleId="Revision">
    <w:name w:val="Revision"/>
    <w:hidden/>
    <w:uiPriority w:val="99"/>
    <w:semiHidden/>
    <w:rsid w:val="008227DD"/>
    <w:rPr>
      <w:sz w:val="24"/>
      <w:lang w:val="pt-PT"/>
    </w:rPr>
  </w:style>
  <w:style w:type="character" w:styleId="CommentReference">
    <w:name w:val="annotation reference"/>
    <w:basedOn w:val="DefaultParagraphFont"/>
    <w:rsid w:val="00416C28"/>
    <w:rPr>
      <w:sz w:val="16"/>
      <w:szCs w:val="16"/>
    </w:rPr>
  </w:style>
  <w:style w:type="paragraph" w:styleId="CommentText">
    <w:name w:val="annotation text"/>
    <w:basedOn w:val="Normal"/>
    <w:link w:val="CommentTextChar"/>
    <w:rsid w:val="00416C28"/>
    <w:rPr>
      <w:sz w:val="20"/>
    </w:rPr>
  </w:style>
  <w:style w:type="character" w:customStyle="1" w:styleId="CommentTextChar">
    <w:name w:val="Comment Text Char"/>
    <w:basedOn w:val="DefaultParagraphFont"/>
    <w:link w:val="CommentText"/>
    <w:rsid w:val="00416C28"/>
    <w:rPr>
      <w:lang w:val="pt-PT"/>
    </w:rPr>
  </w:style>
  <w:style w:type="paragraph" w:styleId="CommentSubject">
    <w:name w:val="annotation subject"/>
    <w:basedOn w:val="CommentText"/>
    <w:next w:val="CommentText"/>
    <w:link w:val="CommentSubjectChar"/>
    <w:rsid w:val="00416C28"/>
    <w:rPr>
      <w:b/>
      <w:bCs/>
    </w:rPr>
  </w:style>
  <w:style w:type="character" w:customStyle="1" w:styleId="CommentSubjectChar">
    <w:name w:val="Comment Subject Char"/>
    <w:basedOn w:val="CommentTextChar"/>
    <w:link w:val="CommentSubject"/>
    <w:rsid w:val="00416C28"/>
    <w:rPr>
      <w:b/>
      <w:bCs/>
      <w:lang w:val="pt-PT"/>
    </w:rPr>
  </w:style>
  <w:style w:type="character" w:styleId="Hyperlink">
    <w:name w:val="Hyperlink"/>
    <w:basedOn w:val="DefaultParagraphFont"/>
    <w:uiPriority w:val="99"/>
    <w:rsid w:val="00416C28"/>
    <w:rPr>
      <w:color w:val="0563C1" w:themeColor="hyperlink"/>
      <w:u w:val="single"/>
    </w:rPr>
  </w:style>
  <w:style w:type="character" w:styleId="UnresolvedMention">
    <w:name w:val="Unresolved Mention"/>
    <w:basedOn w:val="DefaultParagraphFont"/>
    <w:uiPriority w:val="99"/>
    <w:semiHidden/>
    <w:unhideWhenUsed/>
    <w:rsid w:val="00416C28"/>
    <w:rPr>
      <w:color w:val="605E5C"/>
      <w:shd w:val="clear" w:color="auto" w:fill="E1DFDD"/>
    </w:rPr>
  </w:style>
  <w:style w:type="character" w:styleId="FollowedHyperlink">
    <w:name w:val="FollowedHyperlink"/>
    <w:basedOn w:val="DefaultParagraphFont"/>
    <w:rsid w:val="00B943B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nation/2002/309(3)/oj" TargetMode="External"/><Relationship Id="rId2" Type="http://schemas.openxmlformats.org/officeDocument/2006/relationships/hyperlink" Target="http://data.europa.eu/eli/C/2026/1970/oj" TargetMode="External"/><Relationship Id="rId1" Type="http://schemas.openxmlformats.org/officeDocument/2006/relationships/hyperlink" Target="http://data.europa.eu/eli/C/2026/1970/oj" TargetMode="External"/><Relationship Id="rId4" Type="http://schemas.openxmlformats.org/officeDocument/2006/relationships/hyperlink" Target="http://data.europa.eu/eli/reg/2009/10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1319</Words>
  <Characters>7434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MARTINSIsabelAlex-ConsCommAM</dc:creator>
  <cp:keywords/>
  <cp:lastModifiedBy>MARTINSIsabelAlex</cp:lastModifiedBy>
  <cp:revision>2</cp:revision>
  <cp:lastPrinted>2004-11-19T15:42:00Z</cp:lastPrinted>
  <dcterms:created xsi:type="dcterms:W3CDTF">2026-07-07T09:57:00Z</dcterms:created>
  <dcterms:modified xsi:type="dcterms:W3CDTF">2026-07-07T09:57:00Z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P10_TA-PROV(2026)0000_A10-0174_2026_PT_net-ConsCommA</vt:lpwstr>
  </property>
  <property fmtid="{D5CDD505-2E9C-101B-9397-08002B2CF9AE}" pid="4" name="&lt;Type&gt;">
    <vt:lpwstr>RR</vt:lpwstr>
  </property>
</Properties>
</file>