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7978" w14:paraId="7962F527" w14:textId="77777777" w:rsidTr="0010095E">
        <w:trPr>
          <w:trHeight w:hRule="exact" w:val="1418"/>
        </w:trPr>
        <w:tc>
          <w:tcPr>
            <w:tcW w:w="6804" w:type="dxa"/>
            <w:shd w:val="clear" w:color="auto" w:fill="auto"/>
            <w:vAlign w:val="center"/>
          </w:tcPr>
          <w:p w14:paraId="64DF48D3" w14:textId="675D950B" w:rsidR="00751A4A" w:rsidRPr="00A17978" w:rsidRDefault="00706E6D" w:rsidP="0010095E">
            <w:pPr>
              <w:pStyle w:val="EPName"/>
            </w:pPr>
            <w:r w:rsidRPr="00A17978">
              <w:t>Parlamentul European</w:t>
            </w:r>
          </w:p>
          <w:p w14:paraId="64F9B41F" w14:textId="77777777" w:rsidR="00751A4A" w:rsidRPr="00A17978" w:rsidRDefault="005F1B17" w:rsidP="005F1B17">
            <w:pPr>
              <w:pStyle w:val="EPTerm"/>
              <w:rPr>
                <w:rStyle w:val="HideTWBExt"/>
                <w:noProof w:val="0"/>
                <w:vanish w:val="0"/>
                <w:color w:val="auto"/>
              </w:rPr>
            </w:pPr>
            <w:r w:rsidRPr="00A17978">
              <w:t>2024</w:t>
            </w:r>
            <w:r w:rsidR="00817416" w:rsidRPr="00A17978">
              <w:t>-202</w:t>
            </w:r>
            <w:r w:rsidRPr="00A17978">
              <w:t>9</w:t>
            </w:r>
          </w:p>
        </w:tc>
        <w:tc>
          <w:tcPr>
            <w:tcW w:w="2268" w:type="dxa"/>
            <w:shd w:val="clear" w:color="auto" w:fill="auto"/>
          </w:tcPr>
          <w:p w14:paraId="5A7FF190" w14:textId="77777777" w:rsidR="00751A4A" w:rsidRPr="00A17978" w:rsidRDefault="00187494" w:rsidP="0010095E">
            <w:pPr>
              <w:pStyle w:val="EPLogo"/>
            </w:pPr>
            <w:r w:rsidRPr="00A17978">
              <w:rPr>
                <w:noProof/>
                <w:lang w:eastAsia="ja-JP"/>
              </w:rPr>
              <w:drawing>
                <wp:inline distT="0" distB="0" distL="0" distR="0" wp14:anchorId="047A6704" wp14:editId="66CEB3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63E32F" w14:textId="77777777" w:rsidR="00D058B8" w:rsidRPr="00A17978" w:rsidRDefault="00D058B8" w:rsidP="004C5D52">
      <w:pPr>
        <w:pStyle w:val="LineTop"/>
      </w:pPr>
    </w:p>
    <w:p w14:paraId="670F7264" w14:textId="016CBBEB" w:rsidR="00680577" w:rsidRPr="00A17978" w:rsidRDefault="00706E6D" w:rsidP="00680577">
      <w:pPr>
        <w:pStyle w:val="EPBodyTA1"/>
      </w:pPr>
      <w:r w:rsidRPr="00A17978">
        <w:t>TEXTE ADOPTATE</w:t>
      </w:r>
    </w:p>
    <w:p w14:paraId="56A44AE1" w14:textId="77777777" w:rsidR="00D058B8" w:rsidRPr="00A17978" w:rsidRDefault="00D058B8" w:rsidP="00D058B8">
      <w:pPr>
        <w:pStyle w:val="LineBottom"/>
      </w:pPr>
    </w:p>
    <w:p w14:paraId="1FC1E026" w14:textId="417F5F56" w:rsidR="00706E6D" w:rsidRPr="00A17978" w:rsidRDefault="00706E6D" w:rsidP="00706E6D">
      <w:pPr>
        <w:pStyle w:val="ATHeading1"/>
      </w:pPr>
      <w:bookmarkStart w:id="0" w:name="TANumber"/>
      <w:r w:rsidRPr="00A17978">
        <w:t>P10_TA(2026)0</w:t>
      </w:r>
      <w:bookmarkEnd w:id="0"/>
      <w:r w:rsidR="00A17978" w:rsidRPr="00A17978">
        <w:t>241</w:t>
      </w:r>
    </w:p>
    <w:p w14:paraId="57EC07B3" w14:textId="77777777" w:rsidR="00706E6D" w:rsidRPr="00A17978" w:rsidRDefault="00706E6D" w:rsidP="00706E6D">
      <w:pPr>
        <w:pStyle w:val="ATHeading2"/>
      </w:pPr>
      <w:bookmarkStart w:id="1" w:name="title"/>
      <w:r w:rsidRPr="00A17978">
        <w:t>Serviciile de transport rutier internațional de călători cu autocarul și autobuzul în regiunile de frontieră: operațiunile de cabotaj dintre Austria și Elveția</w:t>
      </w:r>
      <w:bookmarkEnd w:id="1"/>
    </w:p>
    <w:p w14:paraId="57395B23" w14:textId="77777777" w:rsidR="00706E6D" w:rsidRPr="00A17978" w:rsidRDefault="00706E6D" w:rsidP="00706E6D">
      <w:pPr>
        <w:rPr>
          <w:i/>
          <w:vanish/>
        </w:rPr>
      </w:pPr>
      <w:r w:rsidRPr="00A17978">
        <w:rPr>
          <w:i/>
        </w:rPr>
        <w:fldChar w:fldCharType="begin"/>
      </w:r>
      <w:r w:rsidRPr="00A17978">
        <w:rPr>
          <w:i/>
        </w:rPr>
        <w:instrText xml:space="preserve"> TC"(</w:instrText>
      </w:r>
      <w:bookmarkStart w:id="2" w:name="DocNumber"/>
      <w:r w:rsidRPr="00A17978">
        <w:rPr>
          <w:i/>
        </w:rPr>
        <w:instrText>A10-0174/2026</w:instrText>
      </w:r>
      <w:bookmarkEnd w:id="2"/>
      <w:r w:rsidRPr="00A17978">
        <w:rPr>
          <w:i/>
        </w:rPr>
        <w:instrText xml:space="preserve"> - Raportoare: Elissavet Vozemberg-Vrionidi)"\l3 \n&gt; \* MERGEFORMAT </w:instrText>
      </w:r>
      <w:r w:rsidRPr="00A17978">
        <w:rPr>
          <w:i/>
        </w:rPr>
        <w:fldChar w:fldCharType="end"/>
      </w:r>
    </w:p>
    <w:p w14:paraId="1B1A2113" w14:textId="77777777" w:rsidR="00706E6D" w:rsidRPr="00A17978" w:rsidRDefault="00706E6D" w:rsidP="00706E6D">
      <w:pPr>
        <w:rPr>
          <w:vanish/>
        </w:rPr>
      </w:pPr>
      <w:bookmarkStart w:id="3" w:name="Commission"/>
      <w:r w:rsidRPr="00A17978">
        <w:rPr>
          <w:vanish/>
        </w:rPr>
        <w:t>Comisia pentru transport și turism</w:t>
      </w:r>
      <w:bookmarkEnd w:id="3"/>
    </w:p>
    <w:p w14:paraId="4B965880" w14:textId="77777777" w:rsidR="00706E6D" w:rsidRPr="00A17978" w:rsidRDefault="00706E6D" w:rsidP="00706E6D">
      <w:pPr>
        <w:rPr>
          <w:vanish/>
        </w:rPr>
      </w:pPr>
      <w:bookmarkStart w:id="4" w:name="PE"/>
      <w:r w:rsidRPr="00A17978">
        <w:rPr>
          <w:vanish/>
        </w:rPr>
        <w:t>PE785.404</w:t>
      </w:r>
      <w:bookmarkEnd w:id="4"/>
    </w:p>
    <w:p w14:paraId="0E986385" w14:textId="4E794CE5" w:rsidR="00706E6D" w:rsidRPr="00A17978" w:rsidRDefault="00706E6D" w:rsidP="00706E6D">
      <w:pPr>
        <w:pStyle w:val="ATHeading3"/>
      </w:pPr>
      <w:bookmarkStart w:id="5" w:name="Sujet"/>
      <w:r w:rsidRPr="00A17978">
        <w:t xml:space="preserve">Rezoluția legislativă a Parlamentului European din </w:t>
      </w:r>
      <w:r w:rsidR="00B31B19" w:rsidRPr="00A17978">
        <w:t>7</w:t>
      </w:r>
      <w:r w:rsidRPr="00A17978">
        <w:t xml:space="preserve"> iulie 2026 referitoare la propunerea de decizie a Parlamentului European și a Consiliului prin care Austria este împuternicită să modifice Acordul bilateral existent privind transportul rutier încheiat cu Elveția, în vederea autorizării operațiunilor de cabotaj în cursul furnizării de servicii de transport rutier internațional de călători cu autocarul și autobuzul în regiunile de frontieră dintre cele două țări</w:t>
      </w:r>
      <w:bookmarkEnd w:id="5"/>
      <w:r w:rsidRPr="00A17978">
        <w:t xml:space="preserve"> </w:t>
      </w:r>
      <w:bookmarkStart w:id="6" w:name="References"/>
      <w:r w:rsidRPr="00A17978">
        <w:t>(COM(2025)0773 – C10-0367/2025 – 2025/0407(COD))</w:t>
      </w:r>
      <w:bookmarkEnd w:id="6"/>
    </w:p>
    <w:p w14:paraId="6846E073" w14:textId="77777777" w:rsidR="005271E6" w:rsidRPr="00A17978" w:rsidRDefault="005271E6" w:rsidP="005271E6">
      <w:pPr>
        <w:pStyle w:val="NormalBold"/>
      </w:pPr>
      <w:r w:rsidRPr="00A17978">
        <w:t>(Procedura legislativă ordinară: prima lectură)</w:t>
      </w:r>
    </w:p>
    <w:p w14:paraId="021D995C" w14:textId="77777777" w:rsidR="005271E6" w:rsidRPr="00A17978" w:rsidRDefault="005271E6" w:rsidP="005271E6">
      <w:pPr>
        <w:pStyle w:val="EPComma"/>
      </w:pPr>
      <w:r w:rsidRPr="00A17978">
        <w:rPr>
          <w:i/>
          <w:iCs/>
        </w:rPr>
        <w:t>Parlamentul European</w:t>
      </w:r>
      <w:r w:rsidRPr="00A17978">
        <w:t>,</w:t>
      </w:r>
    </w:p>
    <w:p w14:paraId="44912262" w14:textId="77777777" w:rsidR="005271E6" w:rsidRPr="00A17978" w:rsidRDefault="005271E6" w:rsidP="005271E6">
      <w:pPr>
        <w:pStyle w:val="NormalHanging12a"/>
      </w:pPr>
      <w:r w:rsidRPr="00A17978">
        <w:t>–</w:t>
      </w:r>
      <w:r w:rsidRPr="00A17978">
        <w:tab/>
        <w:t>având în vedere propunerea Comisiei prezentată Parlamentului European și Consiliului (COM(2025)0773),</w:t>
      </w:r>
    </w:p>
    <w:p w14:paraId="0EE0D9C8" w14:textId="77777777" w:rsidR="005271E6" w:rsidRPr="00A17978" w:rsidRDefault="005271E6" w:rsidP="005271E6">
      <w:pPr>
        <w:pStyle w:val="NormalHanging12a"/>
      </w:pPr>
      <w:r w:rsidRPr="00A17978">
        <w:t>–</w:t>
      </w:r>
      <w:r w:rsidRPr="00A17978">
        <w:tab/>
        <w:t>având în vedere articolul 294 alineatul (2), articolul 2 alineatul (1) și articolul 91 din Tratatul privind funcționarea Uniunii Europene, în temeiul cărora propunerea a fost prezentată de către Comisie (C10</w:t>
      </w:r>
      <w:r w:rsidRPr="00A17978">
        <w:noBreakHyphen/>
        <w:t>0367/2025),</w:t>
      </w:r>
    </w:p>
    <w:p w14:paraId="630F7F68" w14:textId="77777777" w:rsidR="005271E6" w:rsidRPr="00A17978" w:rsidRDefault="005271E6" w:rsidP="005271E6">
      <w:pPr>
        <w:pStyle w:val="NormalHanging12a"/>
      </w:pPr>
      <w:r w:rsidRPr="00A17978">
        <w:t>–</w:t>
      </w:r>
      <w:r w:rsidRPr="00A17978">
        <w:tab/>
        <w:t>având în vedere articolul 294 alineatul (3) din Tratatul privind funcționarea Uniunii Europene,</w:t>
      </w:r>
    </w:p>
    <w:p w14:paraId="122007D2" w14:textId="6C8693B4" w:rsidR="00B31B19" w:rsidRPr="00A17978" w:rsidRDefault="00B31B19" w:rsidP="005271E6">
      <w:pPr>
        <w:pStyle w:val="NormalHanging12a"/>
      </w:pPr>
      <w:r w:rsidRPr="00A17978">
        <w:t>–</w:t>
      </w:r>
      <w:r w:rsidRPr="00A17978">
        <w:tab/>
        <w:t>având în vedere angajamentul reprezentantului Consiliului, exprimat în scrisoarea din 10 iunie 2026, de a aproba poziția Parlamentului în conformitate cu articolul 294 alineatul (4) din Tratatul privind funcționarea Uniunii Europene,</w:t>
      </w:r>
    </w:p>
    <w:p w14:paraId="6497A9FF" w14:textId="62A2944C" w:rsidR="005271E6" w:rsidRPr="00A17978" w:rsidRDefault="005271E6" w:rsidP="005271E6">
      <w:pPr>
        <w:pStyle w:val="NormalHanging12a"/>
      </w:pPr>
      <w:r w:rsidRPr="00A17978">
        <w:t>–</w:t>
      </w:r>
      <w:r w:rsidRPr="00A17978">
        <w:tab/>
        <w:t>având în vedere avizul Comisiei pentru afaceri juridice privind temeiul juridic propus,</w:t>
      </w:r>
    </w:p>
    <w:p w14:paraId="29618716" w14:textId="77777777" w:rsidR="005271E6" w:rsidRPr="00A17978" w:rsidRDefault="005271E6" w:rsidP="005271E6">
      <w:pPr>
        <w:pStyle w:val="NormalHanging12a"/>
      </w:pPr>
      <w:r w:rsidRPr="00A17978">
        <w:t>–</w:t>
      </w:r>
      <w:r w:rsidRPr="00A17978">
        <w:tab/>
        <w:t>având în vedere avizul Comitetului Economic și Social European din 21 ianuarie 2026</w:t>
      </w:r>
      <w:r w:rsidRPr="00A17978">
        <w:rPr>
          <w:vertAlign w:val="superscript"/>
        </w:rPr>
        <w:footnoteReference w:id="1"/>
      </w:r>
      <w:r w:rsidRPr="00A17978">
        <w:t>,</w:t>
      </w:r>
    </w:p>
    <w:p w14:paraId="1D881C9A" w14:textId="77777777" w:rsidR="005271E6" w:rsidRPr="00A17978" w:rsidRDefault="005271E6" w:rsidP="005271E6">
      <w:pPr>
        <w:pStyle w:val="NormalHanging12a"/>
      </w:pPr>
      <w:r w:rsidRPr="00A17978">
        <w:lastRenderedPageBreak/>
        <w:t>–</w:t>
      </w:r>
      <w:r w:rsidRPr="00A17978">
        <w:tab/>
        <w:t>după consultarea Comitetului Regiunilor,</w:t>
      </w:r>
    </w:p>
    <w:p w14:paraId="09BE0FF9" w14:textId="77777777" w:rsidR="005271E6" w:rsidRPr="00A17978" w:rsidRDefault="005271E6" w:rsidP="005271E6">
      <w:pPr>
        <w:pStyle w:val="NormalHanging12a"/>
      </w:pPr>
      <w:r w:rsidRPr="00A17978">
        <w:t>–</w:t>
      </w:r>
      <w:r w:rsidRPr="00A17978">
        <w:tab/>
        <w:t>având în vedere articolele 60 și 41 din Regulamentul său de procedură,</w:t>
      </w:r>
    </w:p>
    <w:p w14:paraId="5B7776A2" w14:textId="77777777" w:rsidR="005271E6" w:rsidRPr="00A17978" w:rsidRDefault="005271E6" w:rsidP="005271E6">
      <w:pPr>
        <w:pStyle w:val="NormalHanging12a"/>
      </w:pPr>
      <w:r w:rsidRPr="00A17978">
        <w:t>–</w:t>
      </w:r>
      <w:r w:rsidRPr="00A17978">
        <w:tab/>
        <w:t>având în vedere raportul Comisiei pentru transport și turism (A10-0174/2026),</w:t>
      </w:r>
    </w:p>
    <w:p w14:paraId="110F0104" w14:textId="77777777" w:rsidR="005271E6" w:rsidRPr="00A17978" w:rsidRDefault="005271E6" w:rsidP="005271E6">
      <w:pPr>
        <w:pStyle w:val="NormalHanging12a"/>
      </w:pPr>
      <w:r w:rsidRPr="00A17978">
        <w:t>1.</w:t>
      </w:r>
      <w:r w:rsidRPr="00A17978">
        <w:tab/>
        <w:t>adoptă poziția sa în primă lectură prezentată în continuare;</w:t>
      </w:r>
    </w:p>
    <w:p w14:paraId="07A6B9F8" w14:textId="0A38438C" w:rsidR="00E73E71" w:rsidRPr="00A17978" w:rsidRDefault="005271E6" w:rsidP="005271E6">
      <w:pPr>
        <w:pStyle w:val="NormalHanging12a"/>
      </w:pPr>
      <w:r w:rsidRPr="00A17978">
        <w:t>2.</w:t>
      </w:r>
      <w:r w:rsidRPr="00A17978">
        <w:tab/>
        <w:t>încredințează Președintei sarcina de a transmite Consiliului și Comisiei, precum și parlamentelor naționale poziția Parlamentului.</w:t>
      </w:r>
    </w:p>
    <w:p w14:paraId="36156A03" w14:textId="77777777" w:rsidR="00B31B19" w:rsidRPr="00A17978" w:rsidRDefault="00B31B19">
      <w:pPr>
        <w:widowControl/>
        <w:sectPr w:rsidR="00B31B19" w:rsidRPr="00A17978" w:rsidSect="005B35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EE6DE1" w14:textId="00093CA2" w:rsidR="00B31B19" w:rsidRPr="00A17978" w:rsidRDefault="00B31B19" w:rsidP="00B31B19">
      <w:pPr>
        <w:rPr>
          <w:rFonts w:eastAsia="Calibri"/>
          <w:b/>
        </w:rPr>
      </w:pPr>
      <w:r w:rsidRPr="00A17978">
        <w:rPr>
          <w:rFonts w:eastAsia="Calibri"/>
          <w:b/>
        </w:rPr>
        <w:lastRenderedPageBreak/>
        <w:t>P10_TC1-COD(2025)0407</w:t>
      </w:r>
    </w:p>
    <w:p w14:paraId="18462B5F" w14:textId="258CDD3C" w:rsidR="00E73E71" w:rsidRPr="00A17978" w:rsidRDefault="00B31B19" w:rsidP="00B31B19">
      <w:pPr>
        <w:spacing w:before="240"/>
        <w:rPr>
          <w:b/>
          <w:color w:val="000000"/>
        </w:rPr>
      </w:pPr>
      <w:r w:rsidRPr="00A17978">
        <w:rPr>
          <w:rFonts w:eastAsia="Calibri"/>
          <w:b/>
        </w:rPr>
        <w:t xml:space="preserve">Poziția Parlamentului European adoptată în primă lectură la 7 iulie 2026 în vederea adoptării Deciziei (UE) 2026/... a Parlamentului European și a Consiliului </w:t>
      </w:r>
      <w:r w:rsidR="00E73E71" w:rsidRPr="00A17978">
        <w:rPr>
          <w:b/>
          <w:color w:val="000000"/>
        </w:rPr>
        <w:t xml:space="preserve">prin care Austria este împuternicită să modifice Acordul bilateral privind transportul rutier încheiat cu Elveția, în vederea autorizării operațiunilor de cabotaj în cursul furnizării de servicii de transport internațional de călători cu autocarul și autobuzul în regiunile de frontieră dintre cele două țări </w:t>
      </w:r>
    </w:p>
    <w:p w14:paraId="56FA9761" w14:textId="77777777" w:rsidR="00E73E71" w:rsidRPr="00A17978" w:rsidRDefault="00E73E71" w:rsidP="00B31B19">
      <w:pPr>
        <w:keepNext/>
        <w:spacing w:before="600" w:after="120" w:line="360" w:lineRule="auto"/>
        <w:rPr>
          <w:color w:val="000000"/>
        </w:rPr>
      </w:pPr>
      <w:r w:rsidRPr="00A17978">
        <w:rPr>
          <w:color w:val="000000"/>
        </w:rPr>
        <w:t>PARLAMENTUL EUROPEAN ȘI CONSILIUL UNIUNII EUROPENE,</w:t>
      </w:r>
    </w:p>
    <w:p w14:paraId="668E4318" w14:textId="77777777" w:rsidR="00E73E71" w:rsidRPr="00A17978" w:rsidRDefault="00E73E71" w:rsidP="00B31B19">
      <w:pPr>
        <w:spacing w:before="120" w:after="120" w:line="360" w:lineRule="auto"/>
        <w:rPr>
          <w:color w:val="000000"/>
        </w:rPr>
      </w:pPr>
      <w:r w:rsidRPr="00A17978">
        <w:rPr>
          <w:color w:val="000000"/>
        </w:rPr>
        <w:t xml:space="preserve">având în vedere Tratatul privind funcționarea Uniunii Europene, în special </w:t>
      </w:r>
      <w:r w:rsidRPr="00A17978">
        <w:rPr>
          <w:b/>
          <w:bCs/>
          <w:i/>
          <w:iCs/>
          <w:color w:val="000000"/>
        </w:rPr>
        <w:t>articolul</w:t>
      </w:r>
      <w:r w:rsidRPr="00A17978">
        <w:rPr>
          <w:color w:val="000000"/>
        </w:rPr>
        <w:t xml:space="preserve"> 91,</w:t>
      </w:r>
    </w:p>
    <w:p w14:paraId="7AB0EE45" w14:textId="77777777" w:rsidR="00E73E71" w:rsidRPr="00A17978" w:rsidRDefault="00E73E71" w:rsidP="00B31B19">
      <w:pPr>
        <w:spacing w:before="120" w:after="120" w:line="360" w:lineRule="auto"/>
        <w:rPr>
          <w:color w:val="000000"/>
        </w:rPr>
      </w:pPr>
      <w:r w:rsidRPr="00A17978">
        <w:rPr>
          <w:color w:val="000000"/>
        </w:rPr>
        <w:t>având în vedere propunerea Comisiei Europene,</w:t>
      </w:r>
    </w:p>
    <w:p w14:paraId="70B1C540" w14:textId="77777777" w:rsidR="00E73E71" w:rsidRPr="00A17978" w:rsidRDefault="00E73E71" w:rsidP="00B31B19">
      <w:pPr>
        <w:spacing w:before="120" w:after="120" w:line="360" w:lineRule="auto"/>
        <w:rPr>
          <w:color w:val="000000"/>
        </w:rPr>
      </w:pPr>
      <w:r w:rsidRPr="00A17978">
        <w:rPr>
          <w:color w:val="000000"/>
        </w:rPr>
        <w:t>după transmiterea proiectului de act legislativ către parlamentele naționale,</w:t>
      </w:r>
    </w:p>
    <w:p w14:paraId="6EE90F93" w14:textId="77777777" w:rsidR="00E73E71" w:rsidRPr="00A17978" w:rsidRDefault="00E73E71" w:rsidP="00B31B19">
      <w:pPr>
        <w:spacing w:before="120" w:after="120" w:line="360" w:lineRule="auto"/>
        <w:rPr>
          <w:color w:val="000000"/>
        </w:rPr>
      </w:pPr>
      <w:r w:rsidRPr="00A17978">
        <w:rPr>
          <w:color w:val="000000"/>
        </w:rPr>
        <w:t>având în vedere avizul Comitetului Economic și Social European</w:t>
      </w:r>
      <w:r w:rsidRPr="00A17978">
        <w:rPr>
          <w:color w:val="000000"/>
          <w:vertAlign w:val="superscript"/>
        </w:rPr>
        <w:footnoteReference w:id="2"/>
      </w:r>
      <w:r w:rsidRPr="00A17978">
        <w:rPr>
          <w:color w:val="000000"/>
        </w:rPr>
        <w:t>,</w:t>
      </w:r>
    </w:p>
    <w:p w14:paraId="7E0766D2" w14:textId="77777777" w:rsidR="00E73E71" w:rsidRPr="00A17978" w:rsidRDefault="00E73E71" w:rsidP="00B31B19">
      <w:pPr>
        <w:spacing w:before="120" w:after="120" w:line="360" w:lineRule="auto"/>
        <w:rPr>
          <w:color w:val="000000"/>
        </w:rPr>
      </w:pPr>
      <w:r w:rsidRPr="00A17978">
        <w:rPr>
          <w:color w:val="000000"/>
        </w:rPr>
        <w:t>după consultarea Comitetului Regiunilor,</w:t>
      </w:r>
    </w:p>
    <w:p w14:paraId="7D008032" w14:textId="77777777" w:rsidR="00E73E71" w:rsidRPr="00A17978" w:rsidRDefault="00E73E71" w:rsidP="00B31B19">
      <w:pPr>
        <w:spacing w:before="120" w:after="120" w:line="360" w:lineRule="auto"/>
        <w:rPr>
          <w:color w:val="000000"/>
        </w:rPr>
      </w:pPr>
      <w:r w:rsidRPr="00A17978">
        <w:rPr>
          <w:color w:val="000000"/>
        </w:rPr>
        <w:t>hotărând în conformitate cu procedura legislativă ordinară</w:t>
      </w:r>
      <w:r w:rsidRPr="00A17978">
        <w:rPr>
          <w:rStyle w:val="FootnoteReference"/>
          <w:color w:val="000000"/>
        </w:rPr>
        <w:footnoteReference w:id="3"/>
      </w:r>
      <w:r w:rsidRPr="00A17978">
        <w:rPr>
          <w:color w:val="000000"/>
        </w:rPr>
        <w:t>,</w:t>
      </w:r>
    </w:p>
    <w:p w14:paraId="1742EC63" w14:textId="77777777" w:rsidR="00E73E71" w:rsidRPr="00A17978" w:rsidRDefault="00E73E71" w:rsidP="00B31B19">
      <w:pPr>
        <w:spacing w:after="160" w:line="360" w:lineRule="auto"/>
        <w:rPr>
          <w:color w:val="000000"/>
        </w:rPr>
      </w:pPr>
      <w:r w:rsidRPr="00A17978">
        <w:rPr>
          <w:color w:val="000000"/>
        </w:rPr>
        <w:br w:type="page"/>
      </w:r>
    </w:p>
    <w:p w14:paraId="7D734CEE" w14:textId="77777777" w:rsidR="00E73E71" w:rsidRPr="00A17978" w:rsidRDefault="00E73E71" w:rsidP="00B31B19">
      <w:pPr>
        <w:spacing w:before="120" w:after="120" w:line="360" w:lineRule="auto"/>
        <w:rPr>
          <w:color w:val="000000"/>
        </w:rPr>
      </w:pPr>
      <w:r w:rsidRPr="00A17978">
        <w:rPr>
          <w:color w:val="000000"/>
        </w:rPr>
        <w:lastRenderedPageBreak/>
        <w:t>întrucât:</w:t>
      </w:r>
    </w:p>
    <w:p w14:paraId="4B5B44CA" w14:textId="77777777" w:rsidR="00E73E71" w:rsidRPr="00A17978" w:rsidRDefault="00E73E71" w:rsidP="00B31B19">
      <w:pPr>
        <w:spacing w:before="120" w:after="120" w:line="360" w:lineRule="auto"/>
        <w:ind w:left="851" w:hanging="851"/>
        <w:rPr>
          <w:color w:val="000000"/>
        </w:rPr>
      </w:pPr>
      <w:bookmarkStart w:id="7" w:name="_Hlk211264391"/>
      <w:r w:rsidRPr="00A17978">
        <w:rPr>
          <w:color w:val="000000"/>
        </w:rPr>
        <w:t>(1)</w:t>
      </w:r>
      <w:r w:rsidRPr="00A17978">
        <w:rPr>
          <w:color w:val="000000"/>
        </w:rPr>
        <w:tab/>
        <w:t>În conformitate cu articolul 20 alineatul (1) din Acordul dintre Comunitatea Europeană și Confederația Elvețiană privind transportul feroviar și rutier de mărfuri și călători</w:t>
      </w:r>
      <w:r w:rsidRPr="00A17978">
        <w:rPr>
          <w:color w:val="000000"/>
          <w:vertAlign w:val="superscript"/>
        </w:rPr>
        <w:footnoteReference w:id="4"/>
      </w:r>
      <w:r w:rsidRPr="00A17978">
        <w:rPr>
          <w:color w:val="000000"/>
        </w:rPr>
        <w:t xml:space="preserve"> (denumit în continuare „Acordul </w:t>
      </w:r>
      <w:bookmarkStart w:id="8" w:name="_Hlk232402990"/>
      <w:r w:rsidRPr="00A17978">
        <w:rPr>
          <w:color w:val="000000"/>
        </w:rPr>
        <w:t>UE</w:t>
      </w:r>
      <w:r w:rsidRPr="00A17978">
        <w:rPr>
          <w:color w:val="000000"/>
        </w:rPr>
        <w:noBreakHyphen/>
        <w:t>Elveția</w:t>
      </w:r>
      <w:bookmarkEnd w:id="8"/>
      <w:r w:rsidRPr="00A17978">
        <w:rPr>
          <w:color w:val="000000"/>
        </w:rPr>
        <w:t>”), nu este autorizat transportul călătorilor cu autocarul și autobuzul între două puncte situate pe teritoriul aceleiași părți contractante la Acordul UE</w:t>
      </w:r>
      <w:r w:rsidRPr="00A17978">
        <w:rPr>
          <w:color w:val="000000"/>
        </w:rPr>
        <w:noBreakHyphen/>
        <w:t>Elveția de către transportatori cu sediul pe teritoriul celeilalte părți contractante, cunoscut sub denumirea de „cabotaj”.</w:t>
      </w:r>
    </w:p>
    <w:p w14:paraId="076ADCD1" w14:textId="77777777" w:rsidR="00E73E71" w:rsidRPr="00A17978" w:rsidRDefault="00E73E71" w:rsidP="00B31B19">
      <w:pPr>
        <w:spacing w:before="120" w:after="120" w:line="360" w:lineRule="auto"/>
        <w:ind w:left="851" w:hanging="851"/>
        <w:rPr>
          <w:color w:val="000000"/>
        </w:rPr>
      </w:pPr>
      <w:r w:rsidRPr="00A17978">
        <w:rPr>
          <w:color w:val="000000"/>
        </w:rPr>
        <w:t>(2)</w:t>
      </w:r>
      <w:r w:rsidRPr="00A17978">
        <w:rPr>
          <w:color w:val="000000"/>
        </w:rPr>
        <w:tab/>
        <w:t>În conformitate cu articolul 20 alineatul (2) din Acordul UE</w:t>
      </w:r>
      <w:r w:rsidRPr="00A17978">
        <w:rPr>
          <w:color w:val="000000"/>
        </w:rPr>
        <w:noBreakHyphen/>
        <w:t>Elveția, drepturile de cabotaj existente prevăzute în acordurile bilaterale încheiate între state membre și Elveția care erau în vigoare la data încheierii Acordului UE</w:t>
      </w:r>
      <w:r w:rsidRPr="00A17978">
        <w:rPr>
          <w:color w:val="000000"/>
        </w:rPr>
        <w:noBreakHyphen/>
        <w:t>Elveția, la 21 iunie 1999, pot fi exercitate în continuare, cu condiția să nu existe nicio discriminare între transportatorii stabiliți în Uniune și nicio denaturare a concurenței. Acordul bilateral privind transportul rutier încheiat la 22 octombrie 1958 între Austria și Elveția</w:t>
      </w:r>
      <w:r w:rsidRPr="00A17978">
        <w:rPr>
          <w:color w:val="000000"/>
          <w:vertAlign w:val="superscript"/>
        </w:rPr>
        <w:footnoteReference w:id="5"/>
      </w:r>
      <w:r w:rsidRPr="00A17978">
        <w:rPr>
          <w:color w:val="000000"/>
        </w:rPr>
        <w:t xml:space="preserve"> (denumit în continuare „Acordul Austria</w:t>
      </w:r>
      <w:r w:rsidRPr="00A17978">
        <w:rPr>
          <w:color w:val="000000"/>
        </w:rPr>
        <w:noBreakHyphen/>
        <w:t>Elveția”) nu autorizează operațiunile de cabotaj în cursul furnizării de servicii de transport internațional de călători cu autocarul și autobuzul între cele două țări. Prin urmare, dreptul de a efectua astfel de operațiuni nu se numără printre drepturile prevăzute la articolul 20 alineatul (2) din Acordul UE</w:t>
      </w:r>
      <w:r w:rsidRPr="00A17978">
        <w:rPr>
          <w:color w:val="000000"/>
        </w:rPr>
        <w:noBreakHyphen/>
        <w:t>Elveția.</w:t>
      </w:r>
    </w:p>
    <w:p w14:paraId="29A5F2D4" w14:textId="77777777" w:rsidR="00E73E71" w:rsidRPr="00A17978" w:rsidRDefault="00E73E71" w:rsidP="00B31B19">
      <w:pPr>
        <w:spacing w:after="160" w:line="360" w:lineRule="auto"/>
        <w:rPr>
          <w:color w:val="000000"/>
        </w:rPr>
      </w:pPr>
      <w:r w:rsidRPr="00A17978">
        <w:rPr>
          <w:color w:val="000000"/>
        </w:rPr>
        <w:br w:type="page"/>
      </w:r>
    </w:p>
    <w:p w14:paraId="5E616BA2" w14:textId="62FFE39E" w:rsidR="00E73E71" w:rsidRPr="00A17978" w:rsidRDefault="00E73E71" w:rsidP="00B31B19">
      <w:pPr>
        <w:spacing w:before="120" w:after="120" w:line="360" w:lineRule="auto"/>
        <w:ind w:left="851" w:hanging="851"/>
        <w:rPr>
          <w:color w:val="000000"/>
        </w:rPr>
      </w:pPr>
      <w:r w:rsidRPr="00A17978">
        <w:rPr>
          <w:color w:val="000000"/>
        </w:rPr>
        <w:lastRenderedPageBreak/>
        <w:t>(3)</w:t>
      </w:r>
      <w:r w:rsidRPr="00A17978">
        <w:rPr>
          <w:color w:val="000000"/>
        </w:rPr>
        <w:tab/>
        <w:t>Angajamentele internaționale care permit transportatorilor stabiliți în Elveția să desfășoare operațiuni de cabotaj pe teritoriul Uniunii sunt susceptibile să aducă atingere articolului 20 din Acordul UE</w:t>
      </w:r>
      <w:r w:rsidRPr="00A17978">
        <w:rPr>
          <w:color w:val="000000"/>
        </w:rPr>
        <w:noBreakHyphen/>
        <w:t>Elveția, deoarece articolul respectiv nu autorizează astfel de operațiuni.</w:t>
      </w:r>
    </w:p>
    <w:p w14:paraId="5A6AFDAB" w14:textId="77777777" w:rsidR="00E73E71" w:rsidRPr="00A17978" w:rsidRDefault="00E73E71" w:rsidP="00B31B19">
      <w:pPr>
        <w:spacing w:before="120" w:after="120" w:line="360" w:lineRule="auto"/>
        <w:ind w:left="851" w:hanging="851"/>
        <w:rPr>
          <w:color w:val="000000"/>
        </w:rPr>
      </w:pPr>
      <w:r w:rsidRPr="00A17978">
        <w:rPr>
          <w:color w:val="000000"/>
        </w:rPr>
        <w:t>(4)</w:t>
      </w:r>
      <w:r w:rsidRPr="00A17978">
        <w:rPr>
          <w:color w:val="000000"/>
        </w:rPr>
        <w:tab/>
        <w:t>În plus, Regulamentul (CE) nr. 1073/2009 al Parlamentului European și al Consiliului</w:t>
      </w:r>
      <w:r w:rsidRPr="00A17978">
        <w:rPr>
          <w:color w:val="000000"/>
          <w:vertAlign w:val="superscript"/>
        </w:rPr>
        <w:footnoteReference w:id="6"/>
      </w:r>
      <w:r w:rsidRPr="00A17978">
        <w:rPr>
          <w:color w:val="000000"/>
        </w:rPr>
        <w:t xml:space="preserve"> permite să fie efectuate operațiuni de cabotaj pe teritoriul Uniunii, în anumite condiții, exclusiv de către transportatori care dețin o licență comunitară. Angajamentele internaționale care permit transportatorilor din țări terțe, care nu dețin o astfel de licență, să desfășoare operațiuni de acest tip pot să aducă atingere regulamentului respectiv.</w:t>
      </w:r>
    </w:p>
    <w:p w14:paraId="55925E77" w14:textId="77777777" w:rsidR="00E73E71" w:rsidRPr="00A17978" w:rsidRDefault="00E73E71" w:rsidP="00B31B19">
      <w:pPr>
        <w:spacing w:before="120" w:after="120" w:line="360" w:lineRule="auto"/>
        <w:ind w:left="851" w:hanging="851"/>
        <w:rPr>
          <w:color w:val="000000"/>
        </w:rPr>
      </w:pPr>
      <w:r w:rsidRPr="00A17978">
        <w:rPr>
          <w:color w:val="000000"/>
        </w:rPr>
        <w:t>(5)</w:t>
      </w:r>
      <w:r w:rsidRPr="00A17978">
        <w:rPr>
          <w:color w:val="000000"/>
        </w:rPr>
        <w:tab/>
        <w:t>În consecință, astfel de angajamente internaționale intră în sfera competenței externe exclusive a Uniunii. Statele membre pot să negocieze sau să încheie astfel de angajamente numai dacă sunt împuternicite în acest sens de către Uniune, în conformitate cu articolul 2 alineatul (1) din Tratatul privind funcționarea Uniunii Europene (TFUE).</w:t>
      </w:r>
    </w:p>
    <w:p w14:paraId="6B3ED0CC" w14:textId="77777777" w:rsidR="00E73E71" w:rsidRPr="00A17978" w:rsidRDefault="00E73E71" w:rsidP="00B31B19">
      <w:pPr>
        <w:spacing w:after="160" w:line="360" w:lineRule="auto"/>
        <w:rPr>
          <w:color w:val="000000"/>
        </w:rPr>
      </w:pPr>
      <w:r w:rsidRPr="00A17978">
        <w:rPr>
          <w:color w:val="000000"/>
        </w:rPr>
        <w:br w:type="page"/>
      </w:r>
    </w:p>
    <w:p w14:paraId="63DD0C95" w14:textId="77777777" w:rsidR="00E73E71" w:rsidRPr="00A17978" w:rsidRDefault="00E73E71" w:rsidP="00B31B19">
      <w:pPr>
        <w:spacing w:before="120" w:after="120" w:line="360" w:lineRule="auto"/>
        <w:ind w:left="851" w:hanging="851"/>
        <w:rPr>
          <w:color w:val="000000"/>
        </w:rPr>
      </w:pPr>
      <w:r w:rsidRPr="00A17978">
        <w:rPr>
          <w:color w:val="000000"/>
        </w:rPr>
        <w:lastRenderedPageBreak/>
        <w:t>(6)</w:t>
      </w:r>
      <w:r w:rsidRPr="00A17978">
        <w:rPr>
          <w:color w:val="000000"/>
        </w:rPr>
        <w:tab/>
        <w:t>Operațiunile de cabotaj din Uniune efectuate de către transportatori din țări terțe, care nu dețin o licență comunitară în conformitate cu Regulamentul (CE) nr. 1073/2009, au un impact asupra funcționării pieței interne a serviciilor de transport cu autocarul și autobuzul, astfel cum este reglementată de regulamentul respectiv. Prin urmare, este necesar ca legiuitorul Uniunii să acorde o împuternicire în temeiul articolului 2 alineatul (1) din TFUE, în conformitate cu procedura legislativă menționată la articolul 91 din TFUE.</w:t>
      </w:r>
    </w:p>
    <w:p w14:paraId="32388E51" w14:textId="77777777" w:rsidR="00E73E71" w:rsidRPr="00A17978" w:rsidRDefault="00E73E71" w:rsidP="00B31B19">
      <w:pPr>
        <w:spacing w:before="120" w:after="120" w:line="360" w:lineRule="auto"/>
        <w:ind w:left="851" w:hanging="851"/>
        <w:rPr>
          <w:color w:val="000000"/>
        </w:rPr>
      </w:pPr>
      <w:r w:rsidRPr="00A17978">
        <w:rPr>
          <w:color w:val="000000"/>
        </w:rPr>
        <w:t>(7)</w:t>
      </w:r>
      <w:r w:rsidRPr="00A17978">
        <w:rPr>
          <w:color w:val="000000"/>
        </w:rPr>
        <w:tab/>
        <w:t>Prin scrisoarea din 17 martie 2025, Austria a solicitat o împuternicire din partea Uniunii pentru a modifica Acordul Austria</w:t>
      </w:r>
      <w:r w:rsidRPr="00A17978">
        <w:rPr>
          <w:color w:val="000000"/>
        </w:rPr>
        <w:noBreakHyphen/>
        <w:t xml:space="preserve">Elveția în vederea autorizării operațiunilor de cabotaj în cursul furnizării de servicii de transport internațional de călători cu autocarul și autobuzul în regiunile de frontieră ale Austriei și Elveției, </w:t>
      </w:r>
      <w:r w:rsidRPr="00A17978">
        <w:rPr>
          <w:b/>
          <w:bCs/>
          <w:i/>
          <w:iCs/>
          <w:color w:val="000000"/>
        </w:rPr>
        <w:t>promovând astfel o mai bună coeziune teritorială.</w:t>
      </w:r>
    </w:p>
    <w:p w14:paraId="3EB87944" w14:textId="77777777" w:rsidR="00E73E71" w:rsidRPr="00A17978" w:rsidRDefault="00E73E71" w:rsidP="00B31B19">
      <w:pPr>
        <w:spacing w:before="120" w:after="120" w:line="360" w:lineRule="auto"/>
        <w:ind w:left="851" w:hanging="851"/>
        <w:rPr>
          <w:color w:val="000000"/>
        </w:rPr>
      </w:pPr>
      <w:r w:rsidRPr="00A17978">
        <w:rPr>
          <w:color w:val="000000"/>
        </w:rPr>
        <w:t>(8)</w:t>
      </w:r>
      <w:r w:rsidRPr="00A17978">
        <w:rPr>
          <w:color w:val="000000"/>
        </w:rPr>
        <w:tab/>
        <w:t>Operațiunile de cabotaj permit creșterea factorului de încărcare al vehiculelor, ceea ce sporește eficiența economică a serviciilor de transport internațional de călători cu autocarul și autobuzul. Prin urmare, ar trebui să se autorizeze astfel de operațiuni în cursul furnizării de servicii de transport internațional de călători cu autocarul și autobuzul în regiunile de frontieră ale Elveției și Austriei. Astfel s-ar putea consolida și mai mult integrarea strânsă a respectivelor regiuni de frontieră.</w:t>
      </w:r>
    </w:p>
    <w:p w14:paraId="4610F640" w14:textId="77777777" w:rsidR="00E73E71" w:rsidRPr="00A17978" w:rsidRDefault="00E73E71" w:rsidP="00B31B19">
      <w:pPr>
        <w:spacing w:after="160" w:line="360" w:lineRule="auto"/>
        <w:rPr>
          <w:color w:val="000000"/>
        </w:rPr>
      </w:pPr>
      <w:r w:rsidRPr="00A17978">
        <w:rPr>
          <w:color w:val="000000"/>
        </w:rPr>
        <w:br w:type="page"/>
      </w:r>
    </w:p>
    <w:p w14:paraId="13C3D935" w14:textId="77777777" w:rsidR="00E73E71" w:rsidRPr="00A17978" w:rsidRDefault="00E73E71" w:rsidP="00B31B19">
      <w:pPr>
        <w:spacing w:before="120" w:after="120" w:line="360" w:lineRule="auto"/>
        <w:ind w:left="851" w:hanging="851"/>
        <w:rPr>
          <w:color w:val="000000"/>
        </w:rPr>
      </w:pPr>
      <w:r w:rsidRPr="00A17978">
        <w:rPr>
          <w:color w:val="000000"/>
        </w:rPr>
        <w:lastRenderedPageBreak/>
        <w:t>(9)</w:t>
      </w:r>
      <w:r w:rsidRPr="00A17978">
        <w:rPr>
          <w:color w:val="000000"/>
        </w:rPr>
        <w:tab/>
        <w:t xml:space="preserve">Pentru a asigura faptul că operațiunile de cabotaj în cauză nu modifică în mod excesiv funcționarea pieței interne a serviciilor de transport cu autocarul și autobuzul, astfel cum este reglementată prin Regulamentul (CE) nr. 1073/2009, operațiunile de cabotaj ar trebui să fie autorizate cu condiția să nu existe nicio discriminare între transportatorii stabiliți în Uniune și nicio denaturare a concurenței. </w:t>
      </w:r>
    </w:p>
    <w:p w14:paraId="5B708591" w14:textId="77777777" w:rsidR="00E73E71" w:rsidRPr="00A17978" w:rsidRDefault="00E73E71" w:rsidP="00B31B19">
      <w:pPr>
        <w:spacing w:before="120" w:after="120" w:line="360" w:lineRule="auto"/>
        <w:ind w:left="851" w:hanging="851"/>
        <w:rPr>
          <w:color w:val="000000"/>
        </w:rPr>
      </w:pPr>
      <w:r w:rsidRPr="00A17978">
        <w:rPr>
          <w:color w:val="000000"/>
        </w:rPr>
        <w:t>(10)</w:t>
      </w:r>
      <w:r w:rsidRPr="00A17978">
        <w:rPr>
          <w:color w:val="000000"/>
        </w:rPr>
        <w:tab/>
        <w:t>Din același motiv, operațiunile de cabotaj ar trebui să fie autorizate numai în regiunile de frontieră ale Austriei în cursul furnizării de servicii de transport internațional de călători cu autocarul și autobuzul între Austria și Elveția. În acest scop, este necesar să fie determinate, în sensul prezentei decizii, regiunile de frontieră ale Austriei într-un mod prin care să se țină seama de funcționarea Regulamentului (CE) nr. 1073/2009, permițând totodată sporirea eficienței operațiunilor în cauză,</w:t>
      </w:r>
    </w:p>
    <w:bookmarkEnd w:id="7"/>
    <w:p w14:paraId="06C0F82D" w14:textId="77777777" w:rsidR="00E73E71" w:rsidRPr="00A17978" w:rsidRDefault="00E73E71" w:rsidP="00B31B19">
      <w:pPr>
        <w:keepNext/>
        <w:spacing w:before="120" w:after="120" w:line="360" w:lineRule="auto"/>
        <w:rPr>
          <w:color w:val="000000"/>
        </w:rPr>
      </w:pPr>
      <w:r w:rsidRPr="00A17978">
        <w:rPr>
          <w:color w:val="000000"/>
        </w:rPr>
        <w:t>ADOPTĂ PREZENTA DECIZIE:</w:t>
      </w:r>
    </w:p>
    <w:p w14:paraId="33FD8A6D" w14:textId="77777777" w:rsidR="00E73E71" w:rsidRPr="00A17978" w:rsidRDefault="00E73E71" w:rsidP="00B31B19">
      <w:pPr>
        <w:spacing w:after="160" w:line="360" w:lineRule="auto"/>
        <w:rPr>
          <w:i/>
          <w:color w:val="000000"/>
        </w:rPr>
      </w:pPr>
      <w:r w:rsidRPr="00A17978">
        <w:rPr>
          <w:i/>
          <w:color w:val="000000"/>
        </w:rPr>
        <w:br w:type="page"/>
      </w:r>
    </w:p>
    <w:p w14:paraId="20B4344B" w14:textId="77777777" w:rsidR="00E73E71" w:rsidRPr="00A17978" w:rsidRDefault="00E73E71" w:rsidP="00B31B19">
      <w:pPr>
        <w:keepNext/>
        <w:spacing w:before="360" w:after="120" w:line="360" w:lineRule="auto"/>
        <w:jc w:val="center"/>
        <w:rPr>
          <w:i/>
          <w:color w:val="000000"/>
        </w:rPr>
      </w:pPr>
      <w:r w:rsidRPr="00A17978">
        <w:rPr>
          <w:i/>
          <w:color w:val="000000"/>
        </w:rPr>
        <w:lastRenderedPageBreak/>
        <w:t>Articolul 1</w:t>
      </w:r>
    </w:p>
    <w:p w14:paraId="3C46D9AB" w14:textId="77777777" w:rsidR="00E73E71" w:rsidRPr="00A17978" w:rsidRDefault="00E73E71" w:rsidP="00B31B19">
      <w:pPr>
        <w:spacing w:before="120" w:after="120" w:line="360" w:lineRule="auto"/>
        <w:rPr>
          <w:color w:val="000000"/>
        </w:rPr>
      </w:pPr>
      <w:r w:rsidRPr="00A17978">
        <w:rPr>
          <w:color w:val="000000"/>
        </w:rPr>
        <w:t>Prin prezenta decizie, Austria este împuternicită să modifice acordul bilateral privind transportul rutier încheiat la 22 octombrie 1958 între Austria și Elveția (denumit în continuare „Acordul Austria</w:t>
      </w:r>
      <w:r w:rsidRPr="00A17978">
        <w:rPr>
          <w:color w:val="000000"/>
        </w:rPr>
        <w:noBreakHyphen/>
        <w:t>Elveția”) în vederea autorizării operațiunilor de cabotaj în regiunile de frontieră ale Austriei și Elveției în cursul furnizării de servicii de transport internațional de călători cu autocarul și autobuzul între cele două țări, cu condiția să nu existe nicio discriminare între transportatorii stabiliți în Uniune și nicio denaturare a concurenței.</w:t>
      </w:r>
    </w:p>
    <w:p w14:paraId="05194659" w14:textId="77777777" w:rsidR="00E73E71" w:rsidRPr="00A17978" w:rsidRDefault="00E73E71" w:rsidP="00B31B19">
      <w:pPr>
        <w:spacing w:before="120" w:after="120" w:line="360" w:lineRule="auto"/>
        <w:rPr>
          <w:color w:val="000000"/>
        </w:rPr>
      </w:pPr>
      <w:r w:rsidRPr="00A17978">
        <w:rPr>
          <w:color w:val="000000"/>
        </w:rPr>
        <w:t>Districtele administrative Bludenz, Bregenz, Dornbirn și Feldkirch din regiunea Vorarlberg și districtul Landeck din regiunea Tirol sunt considerate regiuni de frontieră ale Austriei în sensul primului paragraf.</w:t>
      </w:r>
    </w:p>
    <w:p w14:paraId="35AC73EA" w14:textId="77777777" w:rsidR="00E73E71" w:rsidRPr="00A17978" w:rsidRDefault="00E73E71" w:rsidP="00B31B19">
      <w:pPr>
        <w:spacing w:after="160" w:line="360" w:lineRule="auto"/>
        <w:rPr>
          <w:i/>
          <w:color w:val="000000"/>
        </w:rPr>
      </w:pPr>
      <w:r w:rsidRPr="00A17978">
        <w:rPr>
          <w:i/>
          <w:color w:val="000000"/>
        </w:rPr>
        <w:br w:type="page"/>
      </w:r>
    </w:p>
    <w:p w14:paraId="33E79899" w14:textId="77777777" w:rsidR="00E73E71" w:rsidRPr="00A17978" w:rsidRDefault="00E73E71" w:rsidP="00B31B19">
      <w:pPr>
        <w:keepNext/>
        <w:spacing w:before="360" w:after="120" w:line="360" w:lineRule="auto"/>
        <w:jc w:val="center"/>
        <w:rPr>
          <w:i/>
          <w:color w:val="000000"/>
        </w:rPr>
      </w:pPr>
      <w:r w:rsidRPr="00A17978">
        <w:rPr>
          <w:i/>
          <w:color w:val="000000"/>
        </w:rPr>
        <w:lastRenderedPageBreak/>
        <w:t>Articolul 2</w:t>
      </w:r>
    </w:p>
    <w:p w14:paraId="56D5EF16" w14:textId="77777777" w:rsidR="00E73E71" w:rsidRPr="00A17978" w:rsidRDefault="00E73E71" w:rsidP="00B31B19">
      <w:pPr>
        <w:keepLines/>
        <w:spacing w:before="120" w:after="120" w:line="360" w:lineRule="auto"/>
        <w:rPr>
          <w:color w:val="000000"/>
        </w:rPr>
      </w:pPr>
      <w:r w:rsidRPr="00A17978">
        <w:rPr>
          <w:color w:val="000000"/>
        </w:rPr>
        <w:t>Austria informează Comisia cu privire la modificarea Acordului Austria</w:t>
      </w:r>
      <w:r w:rsidRPr="00A17978">
        <w:rPr>
          <w:color w:val="000000"/>
        </w:rPr>
        <w:noBreakHyphen/>
        <w:t xml:space="preserve">Elveția în conformitate cu articolul 1 din prezenta decizie și notifică Comisiei textul acordului modificat. </w:t>
      </w:r>
    </w:p>
    <w:p w14:paraId="68420019" w14:textId="77777777" w:rsidR="00E73E71" w:rsidRPr="00A17978" w:rsidRDefault="00E73E71" w:rsidP="00B31B19">
      <w:pPr>
        <w:keepLines/>
        <w:spacing w:before="120" w:after="120" w:line="360" w:lineRule="auto"/>
        <w:rPr>
          <w:color w:val="000000"/>
        </w:rPr>
      </w:pPr>
      <w:r w:rsidRPr="00A17978">
        <w:rPr>
          <w:color w:val="000000"/>
        </w:rPr>
        <w:t>Comisia informează Parlamentul European și Consiliul în acest sens.</w:t>
      </w:r>
    </w:p>
    <w:p w14:paraId="470AA882" w14:textId="77777777" w:rsidR="00E73E71" w:rsidRPr="00A17978" w:rsidRDefault="00E73E71" w:rsidP="00B31B19">
      <w:pPr>
        <w:keepNext/>
        <w:spacing w:before="360" w:after="120" w:line="360" w:lineRule="auto"/>
        <w:jc w:val="center"/>
        <w:rPr>
          <w:i/>
          <w:color w:val="000000"/>
        </w:rPr>
      </w:pPr>
      <w:r w:rsidRPr="00A17978">
        <w:rPr>
          <w:i/>
          <w:color w:val="000000"/>
        </w:rPr>
        <w:t>Articolul 3</w:t>
      </w:r>
    </w:p>
    <w:p w14:paraId="7EEF4C81" w14:textId="77777777" w:rsidR="00E73E71" w:rsidRPr="00A17978" w:rsidRDefault="00E73E71" w:rsidP="00B31B19">
      <w:pPr>
        <w:keepNext/>
        <w:keepLines/>
        <w:spacing w:before="120" w:after="120" w:line="360" w:lineRule="auto"/>
        <w:rPr>
          <w:color w:val="000000"/>
        </w:rPr>
      </w:pPr>
      <w:r w:rsidRPr="00A17978">
        <w:rPr>
          <w:color w:val="000000"/>
        </w:rPr>
        <w:t>Prezenta decizie se adresează Republicii Austria.</w:t>
      </w:r>
    </w:p>
    <w:p w14:paraId="3D56E36E" w14:textId="77777777" w:rsidR="00E73E71" w:rsidRPr="00A17978" w:rsidRDefault="00E73E71" w:rsidP="00B31B19">
      <w:pPr>
        <w:keepNext/>
        <w:spacing w:before="120" w:line="360" w:lineRule="auto"/>
        <w:rPr>
          <w:color w:val="000000"/>
        </w:rPr>
      </w:pPr>
      <w:r w:rsidRPr="00A17978">
        <w:rPr>
          <w:color w:val="000000"/>
        </w:rPr>
        <w:t>Adoptată la …,</w:t>
      </w:r>
    </w:p>
    <w:p w14:paraId="495FC276" w14:textId="77777777" w:rsidR="00E73E71" w:rsidRPr="00A17978" w:rsidRDefault="00E73E71" w:rsidP="00B31B19">
      <w:pPr>
        <w:keepNext/>
        <w:tabs>
          <w:tab w:val="left" w:pos="4252"/>
        </w:tabs>
        <w:spacing w:before="720" w:line="360" w:lineRule="auto"/>
        <w:rPr>
          <w:i/>
          <w:color w:val="000000"/>
        </w:rPr>
      </w:pPr>
      <w:r w:rsidRPr="00A17978">
        <w:rPr>
          <w:i/>
          <w:color w:val="000000"/>
        </w:rPr>
        <w:t>Pentru Parlamentul European,</w:t>
      </w:r>
      <w:r w:rsidRPr="00A17978">
        <w:rPr>
          <w:i/>
          <w:color w:val="000000"/>
        </w:rPr>
        <w:tab/>
        <w:t>Pentru Consiliu,</w:t>
      </w:r>
    </w:p>
    <w:p w14:paraId="79B3F7FD" w14:textId="77777777" w:rsidR="00E73E71" w:rsidRPr="00A17978" w:rsidRDefault="00E73E71" w:rsidP="00B31B19">
      <w:pPr>
        <w:tabs>
          <w:tab w:val="left" w:pos="4252"/>
        </w:tabs>
        <w:spacing w:line="360" w:lineRule="auto"/>
        <w:rPr>
          <w:i/>
          <w:color w:val="000000"/>
        </w:rPr>
      </w:pPr>
      <w:r w:rsidRPr="00A17978">
        <w:rPr>
          <w:i/>
          <w:color w:val="000000"/>
        </w:rPr>
        <w:t>Președinta</w:t>
      </w:r>
      <w:r w:rsidRPr="00A17978">
        <w:rPr>
          <w:i/>
          <w:color w:val="000000"/>
        </w:rPr>
        <w:tab/>
        <w:t>Președintele</w:t>
      </w:r>
    </w:p>
    <w:p w14:paraId="083D9DEC" w14:textId="77777777" w:rsidR="00E73E71" w:rsidRPr="00A17978" w:rsidRDefault="00E73E71" w:rsidP="00B31B19">
      <w:pPr>
        <w:pStyle w:val="NoSpacing"/>
        <w:spacing w:line="360" w:lineRule="auto"/>
        <w:rPr>
          <w:rFonts w:cs="Times New Roman"/>
          <w:color w:val="000000"/>
          <w:lang w:val="ro-RO"/>
        </w:rPr>
      </w:pPr>
    </w:p>
    <w:p w14:paraId="2D35F657" w14:textId="77777777" w:rsidR="005271E6" w:rsidRPr="00A17978" w:rsidRDefault="005271E6" w:rsidP="00B31B19">
      <w:pPr>
        <w:pStyle w:val="NormalHanging12a"/>
        <w:spacing w:line="360" w:lineRule="auto"/>
      </w:pPr>
    </w:p>
    <w:sectPr w:rsidR="005271E6" w:rsidRPr="00A17978" w:rsidSect="005B35A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A14B" w14:textId="77777777" w:rsidR="00706E6D" w:rsidRPr="005B35A0" w:rsidRDefault="00706E6D">
      <w:r w:rsidRPr="005B35A0">
        <w:separator/>
      </w:r>
    </w:p>
  </w:endnote>
  <w:endnote w:type="continuationSeparator" w:id="0">
    <w:p w14:paraId="09A803CF" w14:textId="77777777" w:rsidR="00706E6D" w:rsidRPr="005B35A0" w:rsidRDefault="00706E6D">
      <w:r w:rsidRPr="005B3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DC995" w14:textId="77777777" w:rsidR="00064002" w:rsidRPr="005B35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56E1" w14:textId="77777777" w:rsidR="00064002" w:rsidRPr="005B35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C6A2" w14:textId="77777777" w:rsidR="00064002" w:rsidRPr="005B35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EE411" w14:textId="77777777" w:rsidR="00706E6D" w:rsidRPr="005B35A0" w:rsidRDefault="00706E6D">
      <w:r w:rsidRPr="005B35A0">
        <w:separator/>
      </w:r>
    </w:p>
  </w:footnote>
  <w:footnote w:type="continuationSeparator" w:id="0">
    <w:p w14:paraId="39DC0F3B" w14:textId="77777777" w:rsidR="00706E6D" w:rsidRPr="005B35A0" w:rsidRDefault="00706E6D">
      <w:r w:rsidRPr="005B35A0">
        <w:continuationSeparator/>
      </w:r>
    </w:p>
  </w:footnote>
  <w:footnote w:id="1">
    <w:p w14:paraId="13C76F5D" w14:textId="2D6ED39E" w:rsidR="005271E6" w:rsidRPr="005B35A0" w:rsidRDefault="005271E6" w:rsidP="005B35A0">
      <w:pPr>
        <w:pStyle w:val="FootnoteText"/>
        <w:ind w:left="567" w:hanging="567"/>
        <w:rPr>
          <w:sz w:val="24"/>
          <w:lang w:val="ro-RO"/>
        </w:rPr>
      </w:pPr>
      <w:r w:rsidRPr="005B35A0">
        <w:rPr>
          <w:rStyle w:val="FootnoteReference"/>
          <w:sz w:val="24"/>
          <w:lang w:val="ro-RO"/>
        </w:rPr>
        <w:footnoteRef/>
      </w:r>
      <w:r w:rsidR="005B35A0" w:rsidRPr="005B35A0">
        <w:rPr>
          <w:sz w:val="24"/>
          <w:lang w:val="ro-RO"/>
        </w:rPr>
        <w:t xml:space="preserve"> </w:t>
      </w:r>
      <w:r w:rsidR="005B35A0" w:rsidRPr="005B35A0">
        <w:rPr>
          <w:sz w:val="24"/>
          <w:lang w:val="ro-RO"/>
        </w:rPr>
        <w:tab/>
      </w:r>
      <w:r w:rsidRPr="005B35A0">
        <w:rPr>
          <w:sz w:val="24"/>
          <w:lang w:val="ro-RO"/>
        </w:rPr>
        <w:t xml:space="preserve">JO C, C/2026/1970, 28.4.2026, ELI: </w:t>
      </w:r>
      <w:hyperlink r:id="rId1" w:history="1">
        <w:r w:rsidRPr="005B35A0">
          <w:rPr>
            <w:rStyle w:val="Hyperlink"/>
            <w:sz w:val="24"/>
            <w:lang w:val="ro-RO"/>
          </w:rPr>
          <w:t>http://data.europa.eu/eli/C/2026/1970/oj</w:t>
        </w:r>
      </w:hyperlink>
    </w:p>
  </w:footnote>
  <w:footnote w:id="2">
    <w:p w14:paraId="3EE027B3" w14:textId="77777777" w:rsidR="00E73E71" w:rsidRPr="00A17978" w:rsidRDefault="00E73E71" w:rsidP="00D339DD">
      <w:pPr>
        <w:pStyle w:val="FootnoteText"/>
        <w:ind w:left="850" w:hanging="850"/>
        <w:rPr>
          <w:color w:val="000000"/>
          <w:sz w:val="24"/>
          <w:szCs w:val="24"/>
          <w:lang w:val="ro-RO"/>
        </w:rPr>
      </w:pPr>
      <w:r w:rsidRPr="00D339DD">
        <w:rPr>
          <w:rStyle w:val="FootnoteReference"/>
          <w:color w:val="000000"/>
          <w:sz w:val="24"/>
          <w:szCs w:val="24"/>
          <w:lang w:val="ro-RO"/>
        </w:rPr>
        <w:footnoteRef/>
      </w:r>
      <w:r w:rsidRPr="00D339DD">
        <w:rPr>
          <w:color w:val="000000"/>
          <w:sz w:val="24"/>
          <w:szCs w:val="24"/>
          <w:lang w:val="ro-RO"/>
        </w:rPr>
        <w:tab/>
      </w:r>
      <w:r w:rsidRPr="00A17978">
        <w:rPr>
          <w:color w:val="000000"/>
          <w:sz w:val="24"/>
          <w:szCs w:val="24"/>
          <w:lang w:val="ro-RO"/>
        </w:rPr>
        <w:t>JO C</w:t>
      </w:r>
      <w:r w:rsidRPr="00A17978">
        <w:rPr>
          <w:rFonts w:eastAsia="Aptos"/>
          <w:color w:val="000000"/>
          <w:sz w:val="24"/>
          <w:szCs w:val="24"/>
          <w:lang w:val="ro-RO"/>
        </w:rPr>
        <w:t xml:space="preserve">, C/2026/1970, 28.4.2026, ELI: </w:t>
      </w:r>
      <w:hyperlink r:id="rId2" w:history="1">
        <w:r w:rsidRPr="00A17978">
          <w:rPr>
            <w:rStyle w:val="Hyperlink"/>
            <w:rFonts w:eastAsia="Aptos"/>
            <w:color w:val="0000FF"/>
            <w:sz w:val="24"/>
            <w:szCs w:val="24"/>
            <w:lang w:val="fi-FI"/>
          </w:rPr>
          <w:t>http://data.europa.eu/eli/C/2026/1970/oj</w:t>
        </w:r>
      </w:hyperlink>
      <w:r w:rsidRPr="00A17978">
        <w:rPr>
          <w:color w:val="000000"/>
          <w:sz w:val="24"/>
          <w:szCs w:val="24"/>
          <w:lang w:val="ro-RO"/>
        </w:rPr>
        <w:t>.</w:t>
      </w:r>
    </w:p>
  </w:footnote>
  <w:footnote w:id="3">
    <w:p w14:paraId="385FC403" w14:textId="438E4B5F" w:rsidR="00E73E71" w:rsidRPr="00D339DD" w:rsidRDefault="00E73E71" w:rsidP="00D339DD">
      <w:pPr>
        <w:pStyle w:val="FootnoteText"/>
        <w:ind w:left="850" w:hanging="850"/>
        <w:rPr>
          <w:color w:val="000000"/>
          <w:sz w:val="24"/>
          <w:szCs w:val="24"/>
          <w:lang w:val="ro-RO"/>
        </w:rPr>
      </w:pPr>
      <w:r w:rsidRPr="00A17978">
        <w:rPr>
          <w:rStyle w:val="FootnoteReference"/>
          <w:color w:val="000000"/>
          <w:sz w:val="24"/>
          <w:szCs w:val="24"/>
          <w:lang w:val="ro-RO"/>
        </w:rPr>
        <w:footnoteRef/>
      </w:r>
      <w:r w:rsidRPr="00A17978">
        <w:rPr>
          <w:color w:val="000000"/>
          <w:sz w:val="24"/>
          <w:szCs w:val="24"/>
          <w:lang w:val="ro-RO"/>
        </w:rPr>
        <w:tab/>
      </w:r>
      <w:r w:rsidRPr="00A17978">
        <w:rPr>
          <w:color w:val="000000"/>
          <w:sz w:val="24"/>
          <w:szCs w:val="24"/>
          <w:lang w:val="ro-RO"/>
        </w:rPr>
        <w:t xml:space="preserve">Poziția Parlamentului European din </w:t>
      </w:r>
      <w:r w:rsidR="00B31B19" w:rsidRPr="00A17978">
        <w:rPr>
          <w:color w:val="000000"/>
          <w:sz w:val="24"/>
          <w:szCs w:val="24"/>
          <w:lang w:val="ro-RO"/>
        </w:rPr>
        <w:t>7 iulie 2026.</w:t>
      </w:r>
    </w:p>
  </w:footnote>
  <w:footnote w:id="4">
    <w:p w14:paraId="4CEF7397" w14:textId="77777777" w:rsidR="00E73E71" w:rsidRPr="00D339DD" w:rsidRDefault="00E73E71" w:rsidP="00D339DD">
      <w:pPr>
        <w:pStyle w:val="FootnoteText"/>
        <w:ind w:left="850" w:hanging="850"/>
        <w:rPr>
          <w:color w:val="000000"/>
          <w:sz w:val="24"/>
          <w:szCs w:val="24"/>
          <w:lang w:val="ro-RO"/>
        </w:rPr>
      </w:pPr>
      <w:r w:rsidRPr="00D339DD">
        <w:rPr>
          <w:rStyle w:val="FootnoteReference"/>
          <w:color w:val="000000"/>
          <w:sz w:val="24"/>
          <w:szCs w:val="24"/>
          <w:lang w:val="ro-RO"/>
        </w:rPr>
        <w:footnoteRef/>
      </w:r>
      <w:r w:rsidRPr="00D339DD">
        <w:rPr>
          <w:color w:val="000000"/>
          <w:sz w:val="24"/>
          <w:szCs w:val="24"/>
          <w:lang w:val="ro-RO"/>
        </w:rPr>
        <w:tab/>
        <w:t xml:space="preserve">JO L 114, 30.4.2002, p. </w:t>
      </w:r>
      <w:r w:rsidRPr="00D339DD">
        <w:rPr>
          <w:color w:val="000000"/>
          <w:sz w:val="24"/>
          <w:szCs w:val="24"/>
          <w:lang w:val="ro-RO"/>
        </w:rPr>
        <w:t>91, ELI: </w:t>
      </w:r>
      <w:hyperlink r:id="rId3" w:tooltip="Oferă acces la acest document prin identificatorul său uniform de resurse ELI." w:history="1">
        <w:r w:rsidRPr="00A17978">
          <w:rPr>
            <w:rStyle w:val="Hyperlink"/>
            <w:color w:val="0000FF"/>
            <w:szCs w:val="24"/>
            <w:lang w:val="fi-FI"/>
          </w:rPr>
          <w:t>http://data.europa.eu/eli/agree_internation/2002/309(3)/oj</w:t>
        </w:r>
      </w:hyperlink>
      <w:r w:rsidRPr="00D339DD">
        <w:rPr>
          <w:color w:val="000000"/>
          <w:sz w:val="24"/>
          <w:szCs w:val="24"/>
          <w:lang w:val="ro-RO"/>
        </w:rPr>
        <w:t>.</w:t>
      </w:r>
    </w:p>
  </w:footnote>
  <w:footnote w:id="5">
    <w:p w14:paraId="19325328" w14:textId="77777777" w:rsidR="00E73E71" w:rsidRPr="00D339DD" w:rsidRDefault="00E73E71" w:rsidP="00D339DD">
      <w:pPr>
        <w:pStyle w:val="FootnoteText"/>
        <w:ind w:left="850" w:hanging="850"/>
        <w:rPr>
          <w:color w:val="000000"/>
          <w:sz w:val="24"/>
          <w:szCs w:val="24"/>
          <w:lang w:val="ro-RO"/>
        </w:rPr>
      </w:pPr>
      <w:r w:rsidRPr="00D339DD">
        <w:rPr>
          <w:rStyle w:val="FootnoteReference"/>
          <w:color w:val="000000"/>
          <w:sz w:val="24"/>
          <w:szCs w:val="24"/>
          <w:lang w:val="ro-RO"/>
        </w:rPr>
        <w:footnoteRef/>
      </w:r>
      <w:r w:rsidRPr="00D339DD">
        <w:rPr>
          <w:color w:val="000000"/>
          <w:sz w:val="24"/>
          <w:szCs w:val="24"/>
          <w:lang w:val="ro-RO"/>
        </w:rPr>
        <w:tab/>
        <w:t>BGBl. (Austria) nr. 123/1959.</w:t>
      </w:r>
    </w:p>
  </w:footnote>
  <w:footnote w:id="6">
    <w:p w14:paraId="3AACDD34" w14:textId="77777777" w:rsidR="00E73E71" w:rsidRPr="00D339DD" w:rsidRDefault="00E73E71" w:rsidP="00D339DD">
      <w:pPr>
        <w:pStyle w:val="FootnoteText"/>
        <w:ind w:left="850" w:hanging="850"/>
        <w:rPr>
          <w:color w:val="000000"/>
          <w:sz w:val="24"/>
          <w:szCs w:val="24"/>
          <w:lang w:val="ro-RO"/>
        </w:rPr>
      </w:pPr>
      <w:r w:rsidRPr="00D339DD">
        <w:rPr>
          <w:rStyle w:val="FootnoteReference"/>
          <w:color w:val="000000"/>
          <w:sz w:val="24"/>
          <w:szCs w:val="24"/>
          <w:lang w:val="ro-RO"/>
        </w:rPr>
        <w:footnoteRef/>
      </w:r>
      <w:r w:rsidRPr="00D339DD">
        <w:rPr>
          <w:color w:val="000000"/>
          <w:sz w:val="24"/>
          <w:szCs w:val="24"/>
          <w:lang w:val="ro-RO"/>
        </w:rPr>
        <w:tab/>
        <w:t xml:space="preserve">Regulamentul (CE) nr. 1073/2009 al Parlamentului European și al Consiliului din 21 octombrie 2009 privind normele comune pentru accesul la piața internațională a serviciilor de transport cu autocarul și autobuzul și de modificare a Regulamentului (CE) nr. 561/2006 (JO L 300, 14.11.2009, p. </w:t>
      </w:r>
      <w:r w:rsidRPr="00D339DD">
        <w:rPr>
          <w:color w:val="000000"/>
          <w:sz w:val="24"/>
          <w:szCs w:val="24"/>
          <w:lang w:val="ro-RO"/>
        </w:rPr>
        <w:t>88, ELI: </w:t>
      </w:r>
      <w:hyperlink r:id="rId4" w:tooltip="Oferă acces la acest document prin identificatorul său uniform de resurse ELI." w:history="1">
        <w:r w:rsidRPr="00A17978">
          <w:rPr>
            <w:rStyle w:val="Hyperlink"/>
            <w:color w:val="0000FF"/>
            <w:szCs w:val="24"/>
            <w:lang w:val="ro-RO"/>
          </w:rPr>
          <w:t>http://data.europa.eu/eli/reg/2009/1073/oj</w:t>
        </w:r>
      </w:hyperlink>
      <w:r w:rsidRPr="00D339DD">
        <w:rPr>
          <w:color w:val="000000"/>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9A80" w14:textId="77777777" w:rsidR="00064002" w:rsidRPr="005B35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3611" w14:textId="77777777" w:rsidR="00064002" w:rsidRPr="005B35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DE77" w14:textId="77777777" w:rsidR="00064002" w:rsidRPr="005B35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3799896">
    <w:abstractNumId w:val="9"/>
  </w:num>
  <w:num w:numId="2" w16cid:durableId="735975584">
    <w:abstractNumId w:val="9"/>
  </w:num>
  <w:num w:numId="3" w16cid:durableId="841968465">
    <w:abstractNumId w:val="7"/>
  </w:num>
  <w:num w:numId="4" w16cid:durableId="517157247">
    <w:abstractNumId w:val="7"/>
  </w:num>
  <w:num w:numId="5" w16cid:durableId="415714759">
    <w:abstractNumId w:val="6"/>
  </w:num>
  <w:num w:numId="6" w16cid:durableId="2106074772">
    <w:abstractNumId w:val="6"/>
  </w:num>
  <w:num w:numId="7" w16cid:durableId="1461266351">
    <w:abstractNumId w:val="5"/>
  </w:num>
  <w:num w:numId="8" w16cid:durableId="803155887">
    <w:abstractNumId w:val="5"/>
  </w:num>
  <w:num w:numId="9" w16cid:durableId="235476932">
    <w:abstractNumId w:val="4"/>
  </w:num>
  <w:num w:numId="10" w16cid:durableId="1477868606">
    <w:abstractNumId w:val="4"/>
  </w:num>
  <w:num w:numId="11" w16cid:durableId="989747181">
    <w:abstractNumId w:val="8"/>
  </w:num>
  <w:num w:numId="12" w16cid:durableId="1941138484">
    <w:abstractNumId w:val="8"/>
  </w:num>
  <w:num w:numId="13" w16cid:durableId="340737518">
    <w:abstractNumId w:val="3"/>
  </w:num>
  <w:num w:numId="14" w16cid:durableId="1854757606">
    <w:abstractNumId w:val="3"/>
  </w:num>
  <w:num w:numId="15" w16cid:durableId="1225725073">
    <w:abstractNumId w:val="2"/>
  </w:num>
  <w:num w:numId="16" w16cid:durableId="829754608">
    <w:abstractNumId w:val="2"/>
  </w:num>
  <w:num w:numId="17" w16cid:durableId="799960600">
    <w:abstractNumId w:val="1"/>
  </w:num>
  <w:num w:numId="18" w16cid:durableId="1369447132">
    <w:abstractNumId w:val="1"/>
  </w:num>
  <w:num w:numId="19" w16cid:durableId="552666929">
    <w:abstractNumId w:val="0"/>
  </w:num>
  <w:num w:numId="20" w16cid:durableId="1514418364">
    <w:abstractNumId w:val="0"/>
  </w:num>
  <w:num w:numId="21" w16cid:durableId="867835753">
    <w:abstractNumId w:val="9"/>
  </w:num>
  <w:num w:numId="22" w16cid:durableId="346753312">
    <w:abstractNumId w:val="7"/>
  </w:num>
  <w:num w:numId="23" w16cid:durableId="370421469">
    <w:abstractNumId w:val="6"/>
  </w:num>
  <w:num w:numId="24" w16cid:durableId="182283905">
    <w:abstractNumId w:val="5"/>
  </w:num>
  <w:num w:numId="25" w16cid:durableId="1219589075">
    <w:abstractNumId w:val="4"/>
  </w:num>
  <w:num w:numId="26" w16cid:durableId="366611533">
    <w:abstractNumId w:val="8"/>
  </w:num>
  <w:num w:numId="27" w16cid:durableId="615059888">
    <w:abstractNumId w:val="3"/>
  </w:num>
  <w:num w:numId="28" w16cid:durableId="1443722027">
    <w:abstractNumId w:val="2"/>
  </w:num>
  <w:num w:numId="29" w16cid:durableId="1074087433">
    <w:abstractNumId w:val="1"/>
  </w:num>
  <w:num w:numId="30" w16cid:durableId="384988364">
    <w:abstractNumId w:val="0"/>
  </w:num>
  <w:num w:numId="31" w16cid:durableId="1352146557">
    <w:abstractNumId w:val="9"/>
  </w:num>
  <w:num w:numId="32" w16cid:durableId="1328174134">
    <w:abstractNumId w:val="7"/>
  </w:num>
  <w:num w:numId="33" w16cid:durableId="1278412101">
    <w:abstractNumId w:val="6"/>
  </w:num>
  <w:num w:numId="34" w16cid:durableId="1884557118">
    <w:abstractNumId w:val="5"/>
  </w:num>
  <w:num w:numId="35" w16cid:durableId="1328904632">
    <w:abstractNumId w:val="4"/>
  </w:num>
  <w:num w:numId="36" w16cid:durableId="1408532371">
    <w:abstractNumId w:val="8"/>
  </w:num>
  <w:num w:numId="37" w16cid:durableId="2004435129">
    <w:abstractNumId w:val="3"/>
  </w:num>
  <w:num w:numId="38" w16cid:durableId="983122002">
    <w:abstractNumId w:val="2"/>
  </w:num>
  <w:num w:numId="39" w16cid:durableId="944046101">
    <w:abstractNumId w:val="1"/>
  </w:num>
  <w:num w:numId="40" w16cid:durableId="604312751">
    <w:abstractNumId w:val="0"/>
  </w:num>
  <w:num w:numId="41" w16cid:durableId="1878741006">
    <w:abstractNumId w:val="10"/>
  </w:num>
  <w:num w:numId="42" w16cid:durableId="1781803774">
    <w:abstractNumId w:val="10"/>
  </w:num>
  <w:num w:numId="43" w16cid:durableId="355691123">
    <w:abstractNumId w:val="10"/>
  </w:num>
  <w:num w:numId="44" w16cid:durableId="1287589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RO"/>
    <w:docVar w:name="dvnumam" w:val="0"/>
    <w:docVar w:name="dvpe" w:val="785.404"/>
    <w:docVar w:name="dvrapporteur" w:val="Raportoare: "/>
    <w:docVar w:name="dvstar" w:val="***I"/>
    <w:docVar w:name="dvtitre" w:val="Rezoluția legislativă a Parlamentului European din ... iulie 2026 referitoare la propunerea de decizie a Parlamentului European și a Consiliului prin care Austria este împuternicită să modifice Acordul bilateral existent privind transportul rutier încheiat cu Elveția, în vederea autorizării operațiunilor de cabotaj în cursul furnizării de servicii de transport rutier internațional de călători cu autocarul și autobuzul în regiunile de frontieră dintre cele două țări(COM(2025)0773 – C10-0367/2025 – 2025/0407(COD))"/>
  </w:docVars>
  <w:rsids>
    <w:rsidRoot w:val="00706E6D"/>
    <w:rsid w:val="00002272"/>
    <w:rsid w:val="00064002"/>
    <w:rsid w:val="000677B9"/>
    <w:rsid w:val="000831BA"/>
    <w:rsid w:val="000A42CC"/>
    <w:rsid w:val="000E7DD9"/>
    <w:rsid w:val="0010095E"/>
    <w:rsid w:val="00125B37"/>
    <w:rsid w:val="0013109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1E6"/>
    <w:rsid w:val="00545827"/>
    <w:rsid w:val="00560270"/>
    <w:rsid w:val="005B35A0"/>
    <w:rsid w:val="005C2568"/>
    <w:rsid w:val="005D0FC8"/>
    <w:rsid w:val="005F1B17"/>
    <w:rsid w:val="006037C0"/>
    <w:rsid w:val="006631B6"/>
    <w:rsid w:val="00680577"/>
    <w:rsid w:val="006F74FA"/>
    <w:rsid w:val="00706E6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978"/>
    <w:rsid w:val="00A43E52"/>
    <w:rsid w:val="00A4678D"/>
    <w:rsid w:val="00A778C7"/>
    <w:rsid w:val="00AB441E"/>
    <w:rsid w:val="00AB6293"/>
    <w:rsid w:val="00AE0928"/>
    <w:rsid w:val="00AF3B82"/>
    <w:rsid w:val="00B12E95"/>
    <w:rsid w:val="00B22876"/>
    <w:rsid w:val="00B31B19"/>
    <w:rsid w:val="00B558F0"/>
    <w:rsid w:val="00BD48FE"/>
    <w:rsid w:val="00BD7BD8"/>
    <w:rsid w:val="00BE6ADC"/>
    <w:rsid w:val="00C05BFE"/>
    <w:rsid w:val="00C23CD4"/>
    <w:rsid w:val="00C61C0C"/>
    <w:rsid w:val="00C941CB"/>
    <w:rsid w:val="00CC2357"/>
    <w:rsid w:val="00CF071A"/>
    <w:rsid w:val="00D058B8"/>
    <w:rsid w:val="00D56C11"/>
    <w:rsid w:val="00D834A0"/>
    <w:rsid w:val="00D848E5"/>
    <w:rsid w:val="00D872DF"/>
    <w:rsid w:val="00D91E21"/>
    <w:rsid w:val="00DA7FCD"/>
    <w:rsid w:val="00E365E1"/>
    <w:rsid w:val="00E73E7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1B54D"/>
  <w15:chartTrackingRefBased/>
  <w15:docId w15:val="{0043C9D6-AAA0-41DB-BC3A-C98AFC6F9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271E6"/>
    <w:rPr>
      <w:b/>
    </w:rPr>
  </w:style>
  <w:style w:type="paragraph" w:customStyle="1" w:styleId="AmJustText">
    <w:name w:val="AmJustText"/>
    <w:basedOn w:val="Normal"/>
    <w:rsid w:val="005271E6"/>
    <w:pPr>
      <w:spacing w:after="240"/>
    </w:pPr>
    <w:rPr>
      <w:i/>
    </w:rPr>
  </w:style>
  <w:style w:type="paragraph" w:customStyle="1" w:styleId="NormalHanging12a">
    <w:name w:val="NormalHanging12a"/>
    <w:basedOn w:val="Normal"/>
    <w:rsid w:val="005271E6"/>
    <w:pPr>
      <w:spacing w:after="240"/>
      <w:ind w:left="567" w:hanging="567"/>
    </w:pPr>
  </w:style>
  <w:style w:type="paragraph" w:customStyle="1" w:styleId="AmJustTitle">
    <w:name w:val="AmJustTitle"/>
    <w:basedOn w:val="Normal"/>
    <w:next w:val="AmJustText"/>
    <w:rsid w:val="005271E6"/>
    <w:pPr>
      <w:keepNext/>
      <w:spacing w:before="240" w:after="240"/>
      <w:jc w:val="center"/>
    </w:pPr>
    <w:rPr>
      <w:i/>
    </w:rPr>
  </w:style>
  <w:style w:type="paragraph" w:customStyle="1" w:styleId="AmNumberTabs">
    <w:name w:val="AmNumberTabs"/>
    <w:basedOn w:val="Normal"/>
    <w:rsid w:val="005271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271E6"/>
    <w:pPr>
      <w:spacing w:before="480" w:after="240"/>
    </w:pPr>
  </w:style>
  <w:style w:type="character" w:customStyle="1" w:styleId="Normal6Char">
    <w:name w:val="Normal6 Char"/>
    <w:basedOn w:val="DefaultParagraphFont"/>
    <w:link w:val="Normal6"/>
    <w:locked/>
    <w:rsid w:val="005271E6"/>
    <w:rPr>
      <w:sz w:val="24"/>
      <w:lang w:val="ro-RO"/>
    </w:rPr>
  </w:style>
  <w:style w:type="paragraph" w:customStyle="1" w:styleId="Normal6">
    <w:name w:val="Normal6"/>
    <w:basedOn w:val="Normal"/>
    <w:link w:val="Normal6Char"/>
    <w:rsid w:val="005271E6"/>
    <w:pPr>
      <w:spacing w:after="120"/>
    </w:pPr>
  </w:style>
  <w:style w:type="character" w:customStyle="1" w:styleId="NormalBoldChar">
    <w:name w:val="NormalBold Char"/>
    <w:basedOn w:val="DefaultParagraphFont"/>
    <w:link w:val="NormalBold"/>
    <w:locked/>
    <w:rsid w:val="005271E6"/>
    <w:rPr>
      <w:b/>
      <w:sz w:val="24"/>
      <w:lang w:val="ro-RO"/>
    </w:rPr>
  </w:style>
  <w:style w:type="paragraph" w:customStyle="1" w:styleId="ColumnHeading">
    <w:name w:val="ColumnHeading"/>
    <w:basedOn w:val="Normal"/>
    <w:rsid w:val="005271E6"/>
    <w:pPr>
      <w:spacing w:after="240"/>
      <w:jc w:val="center"/>
    </w:pPr>
    <w:rPr>
      <w:i/>
    </w:rPr>
  </w:style>
  <w:style w:type="character" w:styleId="Hyperlink">
    <w:name w:val="Hyperlink"/>
    <w:basedOn w:val="DefaultParagraphFont"/>
    <w:uiPriority w:val="99"/>
    <w:rsid w:val="005271E6"/>
    <w:rPr>
      <w:color w:val="0563C1" w:themeColor="hyperlink"/>
      <w:u w:val="single"/>
    </w:rPr>
  </w:style>
  <w:style w:type="paragraph" w:styleId="NoSpacing">
    <w:name w:val="No Spacing"/>
    <w:uiPriority w:val="1"/>
    <w:qFormat/>
    <w:rsid w:val="00E73E71"/>
    <w:rPr>
      <w:rFonts w:eastAsiaTheme="minorHAnsi" w:cstheme="minorBidi"/>
      <w:sz w:val="24"/>
      <w:szCs w:val="22"/>
      <w:lang w:eastAsia="en-US"/>
    </w:rPr>
  </w:style>
  <w:style w:type="paragraph" w:styleId="Revision">
    <w:name w:val="Revision"/>
    <w:hidden/>
    <w:uiPriority w:val="99"/>
    <w:semiHidden/>
    <w:rsid w:val="00E73E7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1230</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TEODORESCU-ILIE Camelia</cp:lastModifiedBy>
  <cp:revision>2</cp:revision>
  <cp:lastPrinted>2004-11-19T15:42:00Z</cp:lastPrinted>
  <dcterms:created xsi:type="dcterms:W3CDTF">2026-07-07T11:34:00Z</dcterms:created>
  <dcterms:modified xsi:type="dcterms:W3CDTF">2026-07-07T11:34:00Z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A10-0174/2026</vt:lpwstr>
  </property>
  <property fmtid="{D5CDD505-2E9C-101B-9397-08002B2CF9AE}" pid="4" name="&lt;Type&gt;">
    <vt:lpwstr>RR</vt:lpwstr>
  </property>
</Properties>
</file>