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B6F4F" w14:paraId="4A72C15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1990E5" w14:textId="77777777" w:rsidR="00751A4A" w:rsidRPr="00EB6F4F" w:rsidRDefault="00772F6B" w:rsidP="0010095E">
            <w:pPr>
              <w:pStyle w:val="EPName"/>
            </w:pPr>
            <w:r w:rsidRPr="00EB6F4F">
              <w:t>Európsky parlament</w:t>
            </w:r>
          </w:p>
          <w:p w14:paraId="5BD87615" w14:textId="77777777" w:rsidR="00751A4A" w:rsidRPr="00EB6F4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B6F4F">
              <w:t>2024</w:t>
            </w:r>
            <w:r w:rsidR="00817416" w:rsidRPr="00EB6F4F">
              <w:t>-202</w:t>
            </w:r>
            <w:r w:rsidRPr="00EB6F4F">
              <w:t>9</w:t>
            </w:r>
          </w:p>
        </w:tc>
        <w:tc>
          <w:tcPr>
            <w:tcW w:w="2268" w:type="dxa"/>
            <w:shd w:val="clear" w:color="auto" w:fill="auto"/>
          </w:tcPr>
          <w:p w14:paraId="1A36FC1E" w14:textId="77777777" w:rsidR="00751A4A" w:rsidRPr="00EB6F4F" w:rsidRDefault="00187494" w:rsidP="0010095E">
            <w:pPr>
              <w:pStyle w:val="EPLogo"/>
            </w:pPr>
            <w:r w:rsidRPr="00EB6F4F">
              <w:rPr>
                <w:noProof/>
                <w:lang w:eastAsia="ja-JP"/>
              </w:rPr>
              <w:drawing>
                <wp:inline distT="0" distB="0" distL="0" distR="0" wp14:anchorId="47FED7F3" wp14:editId="16AF59A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713560" w14:textId="77777777" w:rsidR="00D058B8" w:rsidRPr="00EB6F4F" w:rsidRDefault="00D058B8" w:rsidP="004C5D52">
      <w:pPr>
        <w:pStyle w:val="LineTop"/>
      </w:pPr>
    </w:p>
    <w:p w14:paraId="251971E1" w14:textId="77777777" w:rsidR="00680577" w:rsidRPr="00EB6F4F" w:rsidRDefault="00772F6B" w:rsidP="00680577">
      <w:pPr>
        <w:pStyle w:val="EPBodyTA1"/>
      </w:pPr>
      <w:r w:rsidRPr="00EB6F4F">
        <w:t>PRIJATÉ TEXTY</w:t>
      </w:r>
    </w:p>
    <w:p w14:paraId="5C327B96" w14:textId="77777777" w:rsidR="00D058B8" w:rsidRPr="00EB6F4F" w:rsidRDefault="00D058B8" w:rsidP="00D058B8">
      <w:pPr>
        <w:pStyle w:val="LineBottom"/>
      </w:pPr>
    </w:p>
    <w:p w14:paraId="17BC01D6" w14:textId="6674F175" w:rsidR="00772F6B" w:rsidRPr="00EB6F4F" w:rsidRDefault="00772F6B" w:rsidP="00772F6B">
      <w:pPr>
        <w:pStyle w:val="ATHeading1"/>
      </w:pPr>
      <w:bookmarkStart w:id="0" w:name="TANumber"/>
      <w:r w:rsidRPr="00EB6F4F">
        <w:t>P10_TA(2026)0</w:t>
      </w:r>
      <w:bookmarkEnd w:id="0"/>
      <w:r w:rsidR="00BF5D0D" w:rsidRPr="00EB6F4F">
        <w:t>241</w:t>
      </w:r>
    </w:p>
    <w:p w14:paraId="229F2824" w14:textId="77777777" w:rsidR="00772F6B" w:rsidRPr="00EB6F4F" w:rsidRDefault="00772F6B" w:rsidP="00772F6B">
      <w:pPr>
        <w:pStyle w:val="ATHeading2"/>
      </w:pPr>
      <w:bookmarkStart w:id="1" w:name="title"/>
      <w:r w:rsidRPr="00EB6F4F">
        <w:t xml:space="preserve">Medzinárodná cestná osobná autokarová a autobusová doprava v pohraničných regiónoch: </w:t>
      </w:r>
      <w:proofErr w:type="spellStart"/>
      <w:r w:rsidRPr="00EB6F4F">
        <w:t>kabotážna</w:t>
      </w:r>
      <w:proofErr w:type="spellEnd"/>
      <w:r w:rsidRPr="00EB6F4F">
        <w:t xml:space="preserve"> preprava medzi Rakúskom a Švajčiarskom</w:t>
      </w:r>
      <w:bookmarkEnd w:id="1"/>
    </w:p>
    <w:p w14:paraId="4ED3A5CC" w14:textId="77777777" w:rsidR="00772F6B" w:rsidRPr="00EB6F4F" w:rsidRDefault="00772F6B" w:rsidP="00772F6B">
      <w:pPr>
        <w:rPr>
          <w:i/>
          <w:vanish/>
        </w:rPr>
      </w:pPr>
      <w:r w:rsidRPr="00EB6F4F">
        <w:rPr>
          <w:i/>
        </w:rPr>
        <w:fldChar w:fldCharType="begin"/>
      </w:r>
      <w:r w:rsidRPr="00EB6F4F">
        <w:rPr>
          <w:i/>
        </w:rPr>
        <w:instrText xml:space="preserve"> TC"(</w:instrText>
      </w:r>
      <w:bookmarkStart w:id="2" w:name="DocNumber"/>
      <w:r w:rsidRPr="00EB6F4F">
        <w:rPr>
          <w:i/>
        </w:rPr>
        <w:instrText>A10-0174/2026</w:instrText>
      </w:r>
      <w:bookmarkEnd w:id="2"/>
      <w:r w:rsidRPr="00EB6F4F">
        <w:rPr>
          <w:i/>
        </w:rPr>
        <w:instrText xml:space="preserve"> - Spravodajkyňa: Elissavet Vozemberg-Vrionidi)"\l3 \n&gt; \* MERGEFORMAT </w:instrText>
      </w:r>
      <w:r w:rsidRPr="00EB6F4F">
        <w:rPr>
          <w:i/>
        </w:rPr>
        <w:fldChar w:fldCharType="end"/>
      </w:r>
    </w:p>
    <w:p w14:paraId="288C7035" w14:textId="77777777" w:rsidR="00772F6B" w:rsidRPr="00EB6F4F" w:rsidRDefault="00772F6B" w:rsidP="00772F6B">
      <w:pPr>
        <w:rPr>
          <w:vanish/>
        </w:rPr>
      </w:pPr>
      <w:bookmarkStart w:id="3" w:name="Commission"/>
      <w:r w:rsidRPr="00EB6F4F">
        <w:rPr>
          <w:vanish/>
        </w:rPr>
        <w:t>Výbor pre dopravu a cestovný ruch</w:t>
      </w:r>
      <w:bookmarkEnd w:id="3"/>
    </w:p>
    <w:p w14:paraId="2EB966B7" w14:textId="77777777" w:rsidR="00772F6B" w:rsidRPr="00EB6F4F" w:rsidRDefault="00772F6B" w:rsidP="00772F6B">
      <w:pPr>
        <w:rPr>
          <w:vanish/>
        </w:rPr>
      </w:pPr>
      <w:bookmarkStart w:id="4" w:name="PE"/>
      <w:r w:rsidRPr="00EB6F4F">
        <w:rPr>
          <w:vanish/>
        </w:rPr>
        <w:t>PE785.404</w:t>
      </w:r>
      <w:bookmarkEnd w:id="4"/>
    </w:p>
    <w:p w14:paraId="19A63C92" w14:textId="4C26307D" w:rsidR="00772F6B" w:rsidRPr="00EB6F4F" w:rsidRDefault="00772F6B" w:rsidP="00772F6B">
      <w:pPr>
        <w:pStyle w:val="ATHeading3"/>
      </w:pPr>
      <w:bookmarkStart w:id="5" w:name="Sujet"/>
      <w:r w:rsidRPr="00EB6F4F">
        <w:t xml:space="preserve">Legislatívne uznesenie Európskeho parlamentu zo </w:t>
      </w:r>
      <w:r w:rsidR="00A436AB" w:rsidRPr="00EB6F4F">
        <w:t>7. jú</w:t>
      </w:r>
      <w:r w:rsidR="004B1687" w:rsidRPr="00EB6F4F">
        <w:t>l</w:t>
      </w:r>
      <w:r w:rsidR="00A436AB" w:rsidRPr="00EB6F4F">
        <w:t>a</w:t>
      </w:r>
      <w:r w:rsidRPr="00EB6F4F">
        <w:t xml:space="preserve"> 2026 o návrhu rozhodnutia Európskeho parlamentu a Rady, ktorým sa Rakúsko splnomocňuje zmeniť jeho dvojstrannú dohodu o cestnej doprave so Švajčiarskom s cieľom povoliť </w:t>
      </w:r>
      <w:proofErr w:type="spellStart"/>
      <w:r w:rsidRPr="00EB6F4F">
        <w:t>kabotážnu</w:t>
      </w:r>
      <w:proofErr w:type="spellEnd"/>
      <w:r w:rsidRPr="00EB6F4F">
        <w:t xml:space="preserve"> prepravu počas prevádzkovania medzinárodnej cestnej osobnej autokarovej a autobusovej dopravy v pohraničných regiónoch medzi týmito dvoma krajinami</w:t>
      </w:r>
      <w:bookmarkEnd w:id="5"/>
      <w:r w:rsidRPr="00EB6F4F">
        <w:t xml:space="preserve"> </w:t>
      </w:r>
      <w:bookmarkStart w:id="6" w:name="References"/>
      <w:r w:rsidRPr="00EB6F4F">
        <w:t>(COM(2025)0773 – C10-0367/2025 – 2025/0407(COD))</w:t>
      </w:r>
      <w:bookmarkEnd w:id="6"/>
    </w:p>
    <w:p w14:paraId="5AF4F668" w14:textId="77777777" w:rsidR="000D6D60" w:rsidRPr="00EB6F4F" w:rsidRDefault="000D6D60" w:rsidP="000D6D60">
      <w:pPr>
        <w:pStyle w:val="NormalBold"/>
      </w:pPr>
      <w:r w:rsidRPr="00EB6F4F">
        <w:t>(Riadny legislatívny postup: prvé čítanie)</w:t>
      </w:r>
    </w:p>
    <w:p w14:paraId="029DE228" w14:textId="77777777" w:rsidR="000D6D60" w:rsidRPr="00EB6F4F" w:rsidRDefault="000D6D60" w:rsidP="000D6D60">
      <w:pPr>
        <w:pStyle w:val="EPComma"/>
      </w:pPr>
      <w:r w:rsidRPr="00EB6F4F">
        <w:rPr>
          <w:i/>
        </w:rPr>
        <w:t>Európsky parlament</w:t>
      </w:r>
      <w:r w:rsidRPr="00EB6F4F">
        <w:t>,</w:t>
      </w:r>
    </w:p>
    <w:p w14:paraId="7DF9BAFF" w14:textId="77777777" w:rsidR="000D6D60" w:rsidRPr="00EB6F4F" w:rsidRDefault="000D6D60" w:rsidP="000D6D60">
      <w:pPr>
        <w:pStyle w:val="NormalHanging12a"/>
      </w:pPr>
      <w:r w:rsidRPr="00EB6F4F">
        <w:t>–</w:t>
      </w:r>
      <w:r w:rsidRPr="00EB6F4F">
        <w:tab/>
        <w:t>so zreteľom na návrh Komisie pre Európsky parlament a Radu (COM(2025)0773),</w:t>
      </w:r>
    </w:p>
    <w:p w14:paraId="7087B7C1" w14:textId="77777777" w:rsidR="000D6D60" w:rsidRPr="00EB6F4F" w:rsidRDefault="000D6D60" w:rsidP="000D6D60">
      <w:pPr>
        <w:pStyle w:val="NormalHanging12a"/>
      </w:pPr>
      <w:r w:rsidRPr="00EB6F4F">
        <w:t>–</w:t>
      </w:r>
      <w:r w:rsidRPr="00EB6F4F">
        <w:tab/>
        <w:t>so zreteľom na článok 294 ods. 2 a články 2 ods. 1 a 91 Zmluvy o fungovaní Európskej únie, v súlade s ktorými Komisia predložila návrh Európskemu parlamentu (C10</w:t>
      </w:r>
      <w:r w:rsidRPr="00EB6F4F">
        <w:noBreakHyphen/>
        <w:t>0367/2025),</w:t>
      </w:r>
    </w:p>
    <w:p w14:paraId="21A16645" w14:textId="77777777" w:rsidR="000D6D60" w:rsidRPr="00EB6F4F" w:rsidRDefault="000D6D60" w:rsidP="000D6D60">
      <w:pPr>
        <w:pStyle w:val="NormalHanging12a"/>
      </w:pPr>
      <w:r w:rsidRPr="00EB6F4F">
        <w:t>–</w:t>
      </w:r>
      <w:r w:rsidRPr="00EB6F4F">
        <w:tab/>
        <w:t>so zreteľom na článok 294 ods. 3 Zmluvy o fungovaní Európskej únie,</w:t>
      </w:r>
    </w:p>
    <w:p w14:paraId="2E181494" w14:textId="6F8FC8FC" w:rsidR="00EA7A07" w:rsidRPr="00EB6F4F" w:rsidRDefault="00EA7A07" w:rsidP="000D6D60">
      <w:pPr>
        <w:pStyle w:val="NormalHanging12a"/>
      </w:pPr>
      <w:r w:rsidRPr="00EB6F4F">
        <w:t>–</w:t>
      </w:r>
      <w:r w:rsidRPr="00EB6F4F">
        <w:tab/>
        <w:t>so zreteľom na záväzok zástupcu Rady, vyjadrený v liste z 10. júna 2026, schváliť pozíciu Európskeho parlamentu v súlade s článkom 294 ods. 4 Zmluvy o fungovaní Európskej únie,</w:t>
      </w:r>
    </w:p>
    <w:p w14:paraId="47DD21FC" w14:textId="77777777" w:rsidR="000D6D60" w:rsidRPr="00EB6F4F" w:rsidRDefault="000D6D60" w:rsidP="000D6D60">
      <w:pPr>
        <w:pStyle w:val="NormalHanging12a"/>
      </w:pPr>
      <w:r w:rsidRPr="00EB6F4F">
        <w:t>–</w:t>
      </w:r>
      <w:r w:rsidRPr="00EB6F4F">
        <w:tab/>
        <w:t>so zreteľom na stanovisko Výboru pre právne veci k navrhnutému právnemu základu,</w:t>
      </w:r>
    </w:p>
    <w:p w14:paraId="096D8DE0" w14:textId="77777777" w:rsidR="000D6D60" w:rsidRPr="00EB6F4F" w:rsidRDefault="000D6D60" w:rsidP="000D6D60">
      <w:pPr>
        <w:pStyle w:val="NormalHanging12a"/>
      </w:pPr>
      <w:r w:rsidRPr="00EB6F4F">
        <w:t>–</w:t>
      </w:r>
      <w:r w:rsidRPr="00EB6F4F">
        <w:tab/>
        <w:t>so zreteľom na stanovisko Európskeho hospodárskeho a sociálneho výboru z 21. januára 2026</w:t>
      </w:r>
      <w:r w:rsidRPr="00EB6F4F">
        <w:rPr>
          <w:vertAlign w:val="superscript"/>
        </w:rPr>
        <w:footnoteReference w:id="1"/>
      </w:r>
      <w:r w:rsidRPr="00EB6F4F">
        <w:t>,</w:t>
      </w:r>
    </w:p>
    <w:p w14:paraId="4AE88F3C" w14:textId="77777777" w:rsidR="000D6D60" w:rsidRPr="00EB6F4F" w:rsidRDefault="000D6D60" w:rsidP="000D6D60">
      <w:pPr>
        <w:pStyle w:val="NormalHanging12a"/>
      </w:pPr>
      <w:r w:rsidRPr="00EB6F4F">
        <w:t>–</w:t>
      </w:r>
      <w:r w:rsidRPr="00EB6F4F">
        <w:tab/>
        <w:t>po porade s Výborom regiónov,</w:t>
      </w:r>
    </w:p>
    <w:p w14:paraId="56CBC7DD" w14:textId="77777777" w:rsidR="000D6D60" w:rsidRPr="00EB6F4F" w:rsidRDefault="000D6D60" w:rsidP="000D6D60">
      <w:pPr>
        <w:pStyle w:val="NormalHanging12a"/>
      </w:pPr>
      <w:r w:rsidRPr="00EB6F4F">
        <w:lastRenderedPageBreak/>
        <w:t>–</w:t>
      </w:r>
      <w:r w:rsidRPr="00EB6F4F">
        <w:tab/>
        <w:t>so zreteľom na články 60 a 41 rokovacieho poriadku,</w:t>
      </w:r>
    </w:p>
    <w:p w14:paraId="62BF45AC" w14:textId="77777777" w:rsidR="000D6D60" w:rsidRPr="00EB6F4F" w:rsidRDefault="000D6D60" w:rsidP="000D6D60">
      <w:pPr>
        <w:pStyle w:val="NormalHanging12a"/>
      </w:pPr>
      <w:r w:rsidRPr="00EB6F4F">
        <w:t>–</w:t>
      </w:r>
      <w:r w:rsidRPr="00EB6F4F">
        <w:tab/>
        <w:t>so zreteľom na správu Výboru pre dopravu a cestovný ruch (A10-0174/2026),</w:t>
      </w:r>
    </w:p>
    <w:p w14:paraId="5EE0AFE6" w14:textId="77777777" w:rsidR="000D6D60" w:rsidRPr="00EB6F4F" w:rsidRDefault="000D6D60" w:rsidP="000D6D60">
      <w:pPr>
        <w:pStyle w:val="NormalHanging12a"/>
      </w:pPr>
      <w:r w:rsidRPr="00EB6F4F">
        <w:t>1.</w:t>
      </w:r>
      <w:r w:rsidRPr="00EB6F4F">
        <w:tab/>
        <w:t>prijíma nasledujúcu pozíciu v prvom čítaní;</w:t>
      </w:r>
    </w:p>
    <w:p w14:paraId="6CC8F147" w14:textId="77777777" w:rsidR="000D6D60" w:rsidRPr="00EB6F4F" w:rsidRDefault="000D6D60" w:rsidP="000D6D60">
      <w:pPr>
        <w:pStyle w:val="NormalHanging12a"/>
      </w:pPr>
      <w:r w:rsidRPr="00EB6F4F">
        <w:t>2.</w:t>
      </w:r>
      <w:r w:rsidRPr="00EB6F4F">
        <w:tab/>
        <w:t>poveruje svoju predsedníčku, aby postúpila túto pozíciu Rade, Komisii a národným parlamentom.</w:t>
      </w:r>
    </w:p>
    <w:p w14:paraId="73DD321E" w14:textId="0C38B7E6" w:rsidR="00A436AB" w:rsidRPr="00EB6F4F" w:rsidRDefault="00A436AB" w:rsidP="000D6D60"/>
    <w:p w14:paraId="1A2ED4E9" w14:textId="77777777" w:rsidR="00493D31" w:rsidRPr="00EB6F4F" w:rsidRDefault="00493D31">
      <w:pPr>
        <w:widowControl/>
        <w:sectPr w:rsidR="00493D31" w:rsidRPr="00EB6F4F" w:rsidSect="005E5B4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41D6F25" w14:textId="69B1825E" w:rsidR="00EA7A07" w:rsidRPr="00EB6F4F" w:rsidRDefault="00EA7A07" w:rsidP="00EA7A0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B6F4F">
        <w:rPr>
          <w:rFonts w:eastAsia="Calibri"/>
          <w:b/>
          <w:bCs/>
          <w:color w:val="000000"/>
          <w:szCs w:val="24"/>
        </w:rPr>
        <w:lastRenderedPageBreak/>
        <w:t>P10_TC1-COD(2025)0407</w:t>
      </w:r>
    </w:p>
    <w:p w14:paraId="1C4BF404" w14:textId="2C4D4087" w:rsidR="00FA160D" w:rsidRPr="00EB6F4F" w:rsidRDefault="00EA7A07" w:rsidP="00EA7A07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B6F4F">
        <w:rPr>
          <w:rFonts w:eastAsia="Calibri"/>
          <w:b/>
          <w:bCs/>
          <w:color w:val="000000"/>
          <w:szCs w:val="24"/>
        </w:rPr>
        <w:t xml:space="preserve">Pozícia Európskeho parlamentu prijatá v prvom čítaní 7. júla 2026 na účely prijatia </w:t>
      </w:r>
      <w:r w:rsidR="00381AA9">
        <w:rPr>
          <w:rFonts w:eastAsia="Calibri"/>
          <w:b/>
          <w:bCs/>
          <w:color w:val="000000"/>
          <w:szCs w:val="24"/>
        </w:rPr>
        <w:t>rozhodnutia</w:t>
      </w:r>
      <w:r w:rsidRPr="00EB6F4F">
        <w:rPr>
          <w:rFonts w:eastAsia="Calibri"/>
          <w:b/>
          <w:bCs/>
          <w:color w:val="000000"/>
          <w:szCs w:val="24"/>
        </w:rPr>
        <w:t xml:space="preserve"> Európskeho parlamentu a Rady (EÚ) 2026/..., </w:t>
      </w:r>
      <w:r w:rsidR="00FA160D" w:rsidRPr="00EB6F4F">
        <w:rPr>
          <w:rFonts w:eastAsia="Calibri"/>
          <w:b/>
          <w:noProof/>
          <w:szCs w:val="22"/>
          <w:lang w:eastAsia="en-US"/>
        </w:rPr>
        <w:t xml:space="preserve">ktorým sa Rakúsko splnomocňuje zmeniť jeho dvojstrannú dohodu o cestnej doprave so Švajčiarskom s cieľom povoliť kabotážnu prepravu počas prevádzkovania medzinárodnej osobnej autokarovej a autobusovej dopravy v pohraničných regiónoch medzi týmito dvoma krajinami </w:t>
      </w:r>
    </w:p>
    <w:p w14:paraId="28DD0B15" w14:textId="77777777" w:rsidR="00FA160D" w:rsidRPr="00EB6F4F" w:rsidRDefault="00FA160D" w:rsidP="00FA160D">
      <w:pPr>
        <w:keepNext/>
        <w:widowControl/>
        <w:spacing w:before="60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EURÓPSKY PARLAMENT A RADA EURÓPSKEJ ÚNIE,</w:t>
      </w:r>
    </w:p>
    <w:p w14:paraId="42FEDF00" w14:textId="77777777" w:rsidR="00FA160D" w:rsidRPr="00EB6F4F" w:rsidRDefault="00FA160D" w:rsidP="00FA160D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 xml:space="preserve">so zreteľom na Zmluvu o fungovaní Európskej únie, a najmä na jej článok </w:t>
      </w:r>
      <w:r w:rsidRPr="00EB6F4F">
        <w:rPr>
          <w:rFonts w:eastAsia="Calibri"/>
          <w:b/>
          <w:bCs/>
          <w:i/>
          <w:iCs/>
          <w:noProof/>
          <w:szCs w:val="22"/>
          <w:lang w:eastAsia="en-US"/>
        </w:rPr>
        <w:t>článok</w:t>
      </w:r>
      <w:r w:rsidRPr="00EB6F4F">
        <w:rPr>
          <w:rFonts w:eastAsia="Calibri"/>
          <w:noProof/>
          <w:szCs w:val="22"/>
          <w:lang w:eastAsia="en-US"/>
        </w:rPr>
        <w:t xml:space="preserve"> 91,</w:t>
      </w:r>
    </w:p>
    <w:p w14:paraId="46BDC995" w14:textId="77777777" w:rsidR="00FA160D" w:rsidRPr="00EB6F4F" w:rsidRDefault="00FA160D" w:rsidP="00FA160D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so zreteľom na návrh Európskej komisie,</w:t>
      </w:r>
    </w:p>
    <w:p w14:paraId="79EB3703" w14:textId="77777777" w:rsidR="00FA160D" w:rsidRPr="00EB6F4F" w:rsidRDefault="00FA160D" w:rsidP="00FA160D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po postúpení návrhu legislatívneho aktu národným parlamentom,</w:t>
      </w:r>
    </w:p>
    <w:p w14:paraId="4FAA5EC8" w14:textId="77777777" w:rsidR="00FA160D" w:rsidRPr="00EB6F4F" w:rsidRDefault="00FA160D" w:rsidP="00FA160D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so zreteľom na stanovisko Európskeho hospodárskeho a sociálneho výbor</w:t>
      </w:r>
      <w:r w:rsidRPr="00EB6F4F">
        <w:rPr>
          <w:rFonts w:eastAsia="Calibri"/>
          <w:noProof/>
          <w:szCs w:val="22"/>
          <w:vertAlign w:val="superscript"/>
          <w:lang w:eastAsia="en-US"/>
        </w:rPr>
        <w:footnoteReference w:id="2"/>
      </w:r>
      <w:r w:rsidRPr="00EB6F4F">
        <w:rPr>
          <w:rFonts w:eastAsia="Calibri"/>
          <w:noProof/>
          <w:szCs w:val="22"/>
          <w:lang w:eastAsia="en-US"/>
        </w:rPr>
        <w:t>,</w:t>
      </w:r>
    </w:p>
    <w:p w14:paraId="5602FFB0" w14:textId="77777777" w:rsidR="00FA160D" w:rsidRPr="00EB6F4F" w:rsidRDefault="00FA160D" w:rsidP="00FA160D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po porade s Výborom regiónov,</w:t>
      </w:r>
    </w:p>
    <w:p w14:paraId="4C17E565" w14:textId="77777777" w:rsidR="00FA160D" w:rsidRPr="00EB6F4F" w:rsidRDefault="00FA160D" w:rsidP="00FA160D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konajúc v súlade s riadnym legislatívnym postupom</w:t>
      </w:r>
      <w:r w:rsidRPr="00EB6F4F">
        <w:rPr>
          <w:rFonts w:eastAsia="Calibri"/>
          <w:szCs w:val="22"/>
          <w:vertAlign w:val="superscript"/>
          <w:lang w:eastAsia="en-US"/>
        </w:rPr>
        <w:footnoteReference w:id="3"/>
      </w:r>
      <w:r w:rsidRPr="00EB6F4F">
        <w:rPr>
          <w:rFonts w:eastAsia="Calibri"/>
          <w:noProof/>
          <w:szCs w:val="22"/>
          <w:lang w:eastAsia="en-US"/>
        </w:rPr>
        <w:t>,</w:t>
      </w:r>
    </w:p>
    <w:p w14:paraId="4BC82118" w14:textId="77777777" w:rsidR="00FA160D" w:rsidRPr="00EB6F4F" w:rsidRDefault="00FA160D" w:rsidP="00FA160D">
      <w:pPr>
        <w:widowControl/>
        <w:spacing w:after="160" w:line="360" w:lineRule="auto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br w:type="page"/>
      </w:r>
    </w:p>
    <w:p w14:paraId="57AA618C" w14:textId="77777777" w:rsidR="00FA160D" w:rsidRPr="00EB6F4F" w:rsidRDefault="00FA160D" w:rsidP="00FA160D">
      <w:pPr>
        <w:widowControl/>
        <w:spacing w:before="120" w:after="120" w:line="360" w:lineRule="auto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lastRenderedPageBreak/>
        <w:t>keďže:</w:t>
      </w:r>
    </w:p>
    <w:p w14:paraId="3E6D0ACE" w14:textId="77777777" w:rsidR="00FA160D" w:rsidRPr="00EB6F4F" w:rsidRDefault="00FA160D" w:rsidP="00FA160D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  <w:lang w:eastAsia="en-US"/>
        </w:rPr>
      </w:pPr>
      <w:bookmarkStart w:id="7" w:name="_Hlk211264391"/>
      <w:r w:rsidRPr="00EB6F4F">
        <w:rPr>
          <w:rFonts w:eastAsia="Calibri"/>
          <w:noProof/>
          <w:szCs w:val="22"/>
          <w:lang w:eastAsia="en-US"/>
        </w:rPr>
        <w:t>(1)</w:t>
      </w:r>
      <w:r w:rsidRPr="00EB6F4F">
        <w:rPr>
          <w:rFonts w:eastAsia="Calibri"/>
          <w:noProof/>
          <w:szCs w:val="22"/>
          <w:lang w:eastAsia="en-US"/>
        </w:rPr>
        <w:tab/>
        <w:t>V súlade s článkom 20 ods. 1 Dohody medzi Európskym spoločenstvom a Švajčiarskou konfederáciou o železničnej a cestnej preprave tovaru a osôb</w:t>
      </w:r>
      <w:r w:rsidRPr="00EB6F4F">
        <w:rPr>
          <w:rFonts w:eastAsia="Calibri"/>
          <w:noProof/>
          <w:szCs w:val="22"/>
          <w:vertAlign w:val="superscript"/>
          <w:lang w:eastAsia="en-US"/>
        </w:rPr>
        <w:footnoteReference w:id="4"/>
      </w:r>
      <w:r w:rsidRPr="00EB6F4F">
        <w:rPr>
          <w:rFonts w:eastAsia="Calibri"/>
          <w:noProof/>
          <w:szCs w:val="22"/>
          <w:lang w:eastAsia="en-US"/>
        </w:rPr>
        <w:t xml:space="preserve"> (ďalej len „dohoda medzi EÚ a Švajčiarskom“) sa preprava cestujúcich autokarmi a autobusmi medzi dvomi miestami nachádzajúcimi sa na území tej istej zmluvnej strany dohody medzi EÚ a Švajčiarskom dopravcami usadenými na území druhej zmluvnej strany, známa ako kabotáž, nepovoľuje.</w:t>
      </w:r>
    </w:p>
    <w:p w14:paraId="78445D98" w14:textId="77777777" w:rsidR="00FA160D" w:rsidRPr="00EB6F4F" w:rsidRDefault="00FA160D" w:rsidP="00FA160D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(2)</w:t>
      </w:r>
      <w:r w:rsidRPr="00EB6F4F">
        <w:rPr>
          <w:rFonts w:eastAsia="Calibri"/>
          <w:noProof/>
          <w:szCs w:val="22"/>
          <w:lang w:eastAsia="en-US"/>
        </w:rPr>
        <w:tab/>
        <w:t>V súlade s článkom 20 ods. 2 dohody medzi EÚ a Švajčiarskom je možné naďalej uplatňovať existujúce práva na kabotáž stanovené na základe dvojstranných dohôd uzatvorených medzi členskými štátmi a Švajčiarskom, ktoré boli v platnosti 21. júna 1999 v čase uzavretia dohody medzi EÚa Švajčiarskom, za predpokladu, že sa medzi dopravcami usadenými v Únii nevyskytuje diskriminácia a narušovanie hospodárskej súťaže. Dvojstranná dohoda o cestnej doprave medzi Rakúskom a Švajčiarskom z 22. októbra 1958</w:t>
      </w:r>
      <w:r w:rsidRPr="00EB6F4F">
        <w:rPr>
          <w:rFonts w:eastAsia="Calibri"/>
          <w:noProof/>
          <w:szCs w:val="22"/>
          <w:vertAlign w:val="superscript"/>
          <w:lang w:eastAsia="en-US"/>
        </w:rPr>
        <w:footnoteReference w:id="5"/>
      </w:r>
      <w:r w:rsidRPr="00EB6F4F">
        <w:rPr>
          <w:rFonts w:eastAsia="Calibri"/>
          <w:noProof/>
          <w:szCs w:val="22"/>
          <w:lang w:eastAsia="en-US"/>
        </w:rPr>
        <w:t xml:space="preserve"> (ďalej len „dohoda medzi Rakúskom a Švajčiarskom“) nepovoľuje kabotážnu prepravu počas prevádzkovania medzinárodnej osobnej autokarovej a autobusovej dopravy medzi týmito dvoma krajinami. Právo vykonávať takúto prepravu preto nepatrí medzi práva stanovené v článku 20 ods. 2 dohody medzi EÚ a Švajčiarskom.</w:t>
      </w:r>
    </w:p>
    <w:p w14:paraId="71C78B79" w14:textId="77777777" w:rsidR="00FA160D" w:rsidRPr="00EB6F4F" w:rsidRDefault="00FA160D" w:rsidP="00FA160D">
      <w:pPr>
        <w:widowControl/>
        <w:spacing w:after="160" w:line="360" w:lineRule="auto"/>
        <w:ind w:left="851" w:hanging="851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br w:type="page"/>
      </w:r>
    </w:p>
    <w:p w14:paraId="0F3E9985" w14:textId="77777777" w:rsidR="00FA160D" w:rsidRPr="00EB6F4F" w:rsidRDefault="00FA160D" w:rsidP="00FA160D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lastRenderedPageBreak/>
        <w:t>(3)</w:t>
      </w:r>
      <w:r w:rsidRPr="00EB6F4F">
        <w:rPr>
          <w:rFonts w:eastAsia="Calibri"/>
          <w:noProof/>
          <w:szCs w:val="22"/>
          <w:lang w:eastAsia="en-US"/>
        </w:rPr>
        <w:tab/>
        <w:t>Medzinárodné záväzky, ktoré umožňujú dopravcom usadeným vo Švajčiarsku vykonávať kabotážnu prepravu v rámci Únie, môžu mať vplyv na článok 20 dohody medzi EÚ a Švajčiarskom</w:t>
      </w:r>
      <w:r w:rsidRPr="00EB6F4F">
        <w:rPr>
          <w:rFonts w:eastAsia="Calibri"/>
          <w:i/>
          <w:iCs/>
          <w:noProof/>
          <w:szCs w:val="22"/>
          <w:lang w:eastAsia="en-US"/>
        </w:rPr>
        <w:t xml:space="preserve">, </w:t>
      </w:r>
      <w:r w:rsidRPr="00EB6F4F">
        <w:rPr>
          <w:rFonts w:eastAsia="Calibri"/>
          <w:noProof/>
          <w:szCs w:val="22"/>
          <w:lang w:eastAsia="en-US"/>
        </w:rPr>
        <w:t>keďže uvedený článok</w:t>
      </w:r>
      <w:r w:rsidRPr="00EB6F4F">
        <w:rPr>
          <w:rFonts w:eastAsia="Calibri"/>
          <w:i/>
          <w:iCs/>
          <w:noProof/>
          <w:szCs w:val="22"/>
          <w:lang w:eastAsia="en-US"/>
        </w:rPr>
        <w:t xml:space="preserve"> </w:t>
      </w:r>
      <w:r w:rsidRPr="00EB6F4F">
        <w:rPr>
          <w:rFonts w:eastAsia="Calibri"/>
          <w:noProof/>
          <w:szCs w:val="22"/>
          <w:lang w:eastAsia="en-US"/>
        </w:rPr>
        <w:t>nepovoľuje takúto prepravu.</w:t>
      </w:r>
    </w:p>
    <w:p w14:paraId="6F9440D4" w14:textId="77777777" w:rsidR="00FA160D" w:rsidRPr="00EB6F4F" w:rsidRDefault="00FA160D" w:rsidP="00FA160D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(4)</w:t>
      </w:r>
      <w:r w:rsidRPr="00EB6F4F">
        <w:rPr>
          <w:rFonts w:eastAsia="Calibri"/>
          <w:noProof/>
          <w:szCs w:val="22"/>
          <w:lang w:eastAsia="en-US"/>
        </w:rPr>
        <w:tab/>
        <w:t>Okrem toho nariadenie Európskeho parlamentu a Rady (ES) č. 1073/2009</w:t>
      </w:r>
      <w:r w:rsidRPr="00EB6F4F">
        <w:rPr>
          <w:rFonts w:eastAsia="Calibri"/>
          <w:noProof/>
          <w:szCs w:val="22"/>
          <w:vertAlign w:val="superscript"/>
          <w:lang w:eastAsia="en-US"/>
        </w:rPr>
        <w:footnoteReference w:id="6"/>
      </w:r>
      <w:r w:rsidRPr="00EB6F4F">
        <w:rPr>
          <w:rFonts w:eastAsia="Calibri"/>
          <w:noProof/>
          <w:szCs w:val="22"/>
          <w:lang w:eastAsia="en-US"/>
        </w:rPr>
        <w:t xml:space="preserve"> povoľuje vykonávanie kabotážnej prepravy v rámci Únie za určitých podmienok výlučne dopravcami, ktorí sú držiteľmi licencie Spoločenstva. Medzinárodné záväzky, ktoré umožňujú dopravcom z tretích krajín, ktorí nie sú držiteľmi takejto licencie, vykonávať prepravu tohto druhu, môžu mať vplyv na toto nariadenie.</w:t>
      </w:r>
    </w:p>
    <w:p w14:paraId="25880A17" w14:textId="77777777" w:rsidR="00FA160D" w:rsidRPr="00EB6F4F" w:rsidRDefault="00FA160D" w:rsidP="00FA160D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(5)</w:t>
      </w:r>
      <w:r w:rsidRPr="00EB6F4F">
        <w:rPr>
          <w:rFonts w:eastAsia="Calibri"/>
          <w:noProof/>
          <w:szCs w:val="22"/>
          <w:lang w:eastAsia="en-US"/>
        </w:rPr>
        <w:tab/>
        <w:t>Takéto medzinárodné záväzky preto patria do výlučnej vonkajšej právomoci Únie. Členské štáty môžu rokovať o takýchto záväzkoch alebo k nim pristúpiť len vtedy, ak ich na to splnomocní Únia v súlade s článkom 2 ods. 1 Zmluvy o fungovaní Európskej únie (ďalej len „ZFEÚ“).</w:t>
      </w:r>
    </w:p>
    <w:p w14:paraId="6EF7DE9B" w14:textId="77777777" w:rsidR="00FA160D" w:rsidRPr="00EB6F4F" w:rsidRDefault="00FA160D" w:rsidP="00FA160D">
      <w:pPr>
        <w:widowControl/>
        <w:spacing w:after="160" w:line="360" w:lineRule="auto"/>
        <w:ind w:left="851" w:hanging="851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br w:type="page"/>
      </w:r>
    </w:p>
    <w:p w14:paraId="3623E0BD" w14:textId="77777777" w:rsidR="00FA160D" w:rsidRPr="00EB6F4F" w:rsidRDefault="00FA160D" w:rsidP="00FA160D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lastRenderedPageBreak/>
        <w:t>(6)</w:t>
      </w:r>
      <w:r w:rsidRPr="00EB6F4F">
        <w:rPr>
          <w:rFonts w:eastAsia="Calibri"/>
          <w:noProof/>
          <w:szCs w:val="22"/>
          <w:lang w:eastAsia="en-US"/>
        </w:rPr>
        <w:tab/>
        <w:t>Kabotážna preprava vykonávaná v rámci Únie dopravcami z tretích krajín, ktorí nie sú držiteľmi licencie Spoločenstva, ako sa stanovuje v nariadení (ES) č. 1073/2009, ovplyvňuje fungovanie vnútorného trhu autokarovej a autobusovej dopravy stanoveného uvedeným nariadením. Preto je potrebné, aby splnomocnenie podľa článku 2 ods. 1 ZFEÚ udelil zákonodarca Únie, a to v súlade s legislatívnym postupom uvedeným v článku 91 ZFEÚ.</w:t>
      </w:r>
    </w:p>
    <w:p w14:paraId="19717307" w14:textId="77777777" w:rsidR="00FA160D" w:rsidRPr="00EB6F4F" w:rsidRDefault="00FA160D" w:rsidP="00FA160D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(7)</w:t>
      </w:r>
      <w:r w:rsidRPr="00EB6F4F">
        <w:rPr>
          <w:rFonts w:eastAsia="Calibri"/>
          <w:noProof/>
          <w:szCs w:val="22"/>
          <w:lang w:eastAsia="en-US"/>
        </w:rPr>
        <w:tab/>
        <w:t xml:space="preserve">Listom zo 17. marca 2025 Rakúsko požiadalo Úniu o splnomocnenie na zmenu dohody medzi Rakúskom a Švajčiarskom s cieľom povoliť kabotážnu prepravu počas prevádzkovania medzinárodnej osobnej autokarovej a autobusovej dopravy v pohraničných regiónoch Rakúska a Švajčiarska, </w:t>
      </w:r>
      <w:r w:rsidRPr="00EB6F4F">
        <w:rPr>
          <w:rFonts w:eastAsia="Calibri"/>
          <w:b/>
          <w:bCs/>
          <w:i/>
          <w:iCs/>
          <w:noProof/>
          <w:szCs w:val="22"/>
          <w:lang w:eastAsia="en-US"/>
        </w:rPr>
        <w:t>čím sa podporí väčšia územná súdržnosť.</w:t>
      </w:r>
    </w:p>
    <w:p w14:paraId="30568825" w14:textId="77777777" w:rsidR="00FA160D" w:rsidRPr="00EB6F4F" w:rsidRDefault="00FA160D" w:rsidP="00FA160D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(8)</w:t>
      </w:r>
      <w:r w:rsidRPr="00EB6F4F">
        <w:rPr>
          <w:rFonts w:eastAsia="Calibri"/>
          <w:noProof/>
          <w:szCs w:val="22"/>
          <w:lang w:eastAsia="en-US"/>
        </w:rPr>
        <w:tab/>
        <w:t>Kabotážna preprava umožňuje zvýšiť vyťaženosť vozidiel, čo zvyšuje hospodársku efektívnosť medzinárodnej osobnej autokarovej a autobusovej dopravy. Preto je vhodné povoliť takúto prepravu počas prevádzkovania medzinárodnej osobnej autokarovej a autobusovej dopravy v príslušných pohraničných regiónoch Rakúska a Švajčiarska. To by mohlo ešte viac posilniť úzku integráciu týchto pohraničných regiónov.</w:t>
      </w:r>
    </w:p>
    <w:p w14:paraId="02B1BA8D" w14:textId="77777777" w:rsidR="00FA160D" w:rsidRPr="00EB6F4F" w:rsidRDefault="00FA160D" w:rsidP="00FA160D">
      <w:pPr>
        <w:widowControl/>
        <w:spacing w:after="160" w:line="360" w:lineRule="auto"/>
        <w:ind w:left="851" w:hanging="851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br w:type="page"/>
      </w:r>
    </w:p>
    <w:p w14:paraId="774E7528" w14:textId="77777777" w:rsidR="00FA160D" w:rsidRPr="00EB6F4F" w:rsidRDefault="00FA160D" w:rsidP="00FA160D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lastRenderedPageBreak/>
        <w:t>(9)</w:t>
      </w:r>
      <w:r w:rsidRPr="00EB6F4F">
        <w:rPr>
          <w:rFonts w:eastAsia="Calibri"/>
          <w:noProof/>
          <w:szCs w:val="22"/>
          <w:lang w:eastAsia="en-US"/>
        </w:rPr>
        <w:tab/>
        <w:t xml:space="preserve">S cieľom zabezpečiť, aby príslušná kabotážna preprava nadmerne nezmenila fungovanie vnútorného trhu autokarovej a autobusovej dopravy, ako sa stanovuje v nariadení (ES) č. 1073/2009, malo by byť povolenie takejto kabotážnej prepravy podmienené tým, že medzi dopravcami usadenými v Únii nedochádza k diskriminácii a nenarúša sa hospodárska súťaž. </w:t>
      </w:r>
    </w:p>
    <w:p w14:paraId="17F179BF" w14:textId="77777777" w:rsidR="00FA160D" w:rsidRPr="00EB6F4F" w:rsidRDefault="00FA160D" w:rsidP="00FA160D">
      <w:pPr>
        <w:widowControl/>
        <w:spacing w:before="120" w:after="120" w:line="360" w:lineRule="auto"/>
        <w:ind w:left="851" w:hanging="851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(10)</w:t>
      </w:r>
      <w:r w:rsidRPr="00EB6F4F">
        <w:rPr>
          <w:rFonts w:eastAsia="Calibri"/>
          <w:noProof/>
          <w:szCs w:val="22"/>
          <w:lang w:eastAsia="en-US"/>
        </w:rPr>
        <w:tab/>
        <w:t>Z rovnakého dôvodu by sa kabotážna preprava mala povoliť len v pohraničných regiónoch Rakúska počas prevádzkovania medzinárodnej osobnej autokarovej a autobusovej dopravy medzi Rakúskom a Švajčiarskom. Na tento účel je potrebné vymedziť pohraničné regióny Rakúska na účely tohto rozhodnutia tak, aby sa náležite zohľadnilo vykonávanie nariadenia (ES) č. 1073/2009 a aby sa zároveň umožnilo zvýšiť efektívnosť príslušnej prepravy,</w:t>
      </w:r>
    </w:p>
    <w:bookmarkEnd w:id="7"/>
    <w:p w14:paraId="25D84252" w14:textId="77777777" w:rsidR="00FA160D" w:rsidRPr="00EB6F4F" w:rsidRDefault="00FA160D" w:rsidP="00FA160D">
      <w:pPr>
        <w:keepNext/>
        <w:widowControl/>
        <w:spacing w:before="120" w:after="120" w:line="360" w:lineRule="auto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PRIJALI TOTO ROZHODNUTIE:</w:t>
      </w:r>
    </w:p>
    <w:p w14:paraId="74750486" w14:textId="77777777" w:rsidR="00FA160D" w:rsidRPr="00EB6F4F" w:rsidRDefault="00FA160D" w:rsidP="00FA160D">
      <w:pPr>
        <w:widowControl/>
        <w:spacing w:after="160" w:line="360" w:lineRule="auto"/>
        <w:rPr>
          <w:rFonts w:eastAsia="Calibri"/>
          <w:i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br w:type="page"/>
      </w:r>
    </w:p>
    <w:p w14:paraId="483B867C" w14:textId="77777777" w:rsidR="00FA160D" w:rsidRPr="00EB6F4F" w:rsidRDefault="00FA160D" w:rsidP="00FA160D">
      <w:pPr>
        <w:keepNext/>
        <w:widowControl/>
        <w:spacing w:before="360" w:after="120" w:line="360" w:lineRule="auto"/>
        <w:jc w:val="center"/>
        <w:rPr>
          <w:rFonts w:eastAsia="Calibri"/>
          <w:i/>
          <w:noProof/>
          <w:szCs w:val="22"/>
          <w:lang w:eastAsia="en-US"/>
        </w:rPr>
      </w:pPr>
      <w:r w:rsidRPr="00EB6F4F">
        <w:rPr>
          <w:rFonts w:eastAsia="Calibri"/>
          <w:i/>
          <w:noProof/>
          <w:szCs w:val="22"/>
          <w:lang w:eastAsia="en-US"/>
        </w:rPr>
        <w:lastRenderedPageBreak/>
        <w:t>Článok 1</w:t>
      </w:r>
    </w:p>
    <w:p w14:paraId="2EA31BFD" w14:textId="77777777" w:rsidR="00FA160D" w:rsidRPr="00EB6F4F" w:rsidRDefault="00FA160D" w:rsidP="00FA160D">
      <w:pPr>
        <w:widowControl/>
        <w:spacing w:before="120" w:after="120" w:line="360" w:lineRule="auto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Rakúsko sa týmto splnomocňuje zmeniť dvojstrannú dohodu o cestnej doprave medzi Rakúskom a Švajčiarskom z 22. októbra 1958 (ďalej len „dohoda medzi Rakúskom a Švajčiarskom“) s cieľom povoliť kabotážnu prepravu v príslušných pohraničných regiónoch Rakúska a Švajčiarska počas prevádzkovania medzinárodnej osobnej autokarovej a autobusovej dopravy medzi týmito dvoma krajinami, za predpokladu, že medzi dopravcami usadenými v Únii nedochádza k diskriminácii a nenarúša sa hospodárska súťaž.</w:t>
      </w:r>
    </w:p>
    <w:p w14:paraId="427583B0" w14:textId="77777777" w:rsidR="00FA160D" w:rsidRPr="00EB6F4F" w:rsidRDefault="00FA160D" w:rsidP="00FA160D">
      <w:pPr>
        <w:widowControl/>
        <w:spacing w:before="120" w:after="120" w:line="360" w:lineRule="auto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Za pohraničné regióny Rakúska v zmysle prvého odseku sa považujú okresy Bludenz, Bregenz, Dornbirn a Feldkirch v regióne Vorarlbersko a okres Landeck v regióne Tirolsko.</w:t>
      </w:r>
    </w:p>
    <w:p w14:paraId="3149DB6B" w14:textId="77777777" w:rsidR="00FA160D" w:rsidRPr="00EB6F4F" w:rsidRDefault="00FA160D" w:rsidP="00FA160D">
      <w:pPr>
        <w:widowControl/>
        <w:spacing w:after="160" w:line="360" w:lineRule="auto"/>
        <w:rPr>
          <w:rFonts w:eastAsia="Calibri"/>
          <w:i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br w:type="page"/>
      </w:r>
    </w:p>
    <w:p w14:paraId="79736199" w14:textId="77777777" w:rsidR="00FA160D" w:rsidRPr="00EB6F4F" w:rsidRDefault="00FA160D" w:rsidP="00FA160D">
      <w:pPr>
        <w:keepNext/>
        <w:widowControl/>
        <w:spacing w:before="360" w:after="120" w:line="360" w:lineRule="auto"/>
        <w:jc w:val="center"/>
        <w:rPr>
          <w:rFonts w:eastAsia="Calibri"/>
          <w:i/>
          <w:noProof/>
          <w:szCs w:val="22"/>
          <w:lang w:eastAsia="en-US"/>
        </w:rPr>
      </w:pPr>
      <w:r w:rsidRPr="00EB6F4F">
        <w:rPr>
          <w:rFonts w:eastAsia="Calibri"/>
          <w:i/>
          <w:noProof/>
          <w:szCs w:val="22"/>
          <w:lang w:eastAsia="en-US"/>
        </w:rPr>
        <w:lastRenderedPageBreak/>
        <w:t>Článok 2</w:t>
      </w:r>
    </w:p>
    <w:p w14:paraId="5A742098" w14:textId="77777777" w:rsidR="00FA160D" w:rsidRPr="00EB6F4F" w:rsidRDefault="00FA160D" w:rsidP="00FA160D">
      <w:pPr>
        <w:widowControl/>
        <w:spacing w:before="120" w:after="120" w:line="360" w:lineRule="auto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 xml:space="preserve">Rakúsko informuje Komisiu o zmene dohody medzi Rakúskom a Švajčiarskom podľa článku 1 tohto rozhodnutia a znenie zmenenej dohody oznámi Komisii. </w:t>
      </w:r>
    </w:p>
    <w:p w14:paraId="3413445B" w14:textId="77777777" w:rsidR="00FA160D" w:rsidRPr="00EB6F4F" w:rsidRDefault="00FA160D" w:rsidP="00FA160D">
      <w:pPr>
        <w:widowControl/>
        <w:spacing w:before="120" w:after="120" w:line="360" w:lineRule="auto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Komisia o tom informuje Európsky parlament a Radu.</w:t>
      </w:r>
    </w:p>
    <w:p w14:paraId="6232286E" w14:textId="77777777" w:rsidR="00FA160D" w:rsidRPr="00EB6F4F" w:rsidRDefault="00FA160D" w:rsidP="00FA160D">
      <w:pPr>
        <w:keepNext/>
        <w:widowControl/>
        <w:spacing w:before="360" w:after="120" w:line="360" w:lineRule="auto"/>
        <w:jc w:val="center"/>
        <w:rPr>
          <w:rFonts w:eastAsia="Calibri"/>
          <w:i/>
          <w:noProof/>
          <w:szCs w:val="22"/>
          <w:lang w:eastAsia="en-US"/>
        </w:rPr>
      </w:pPr>
      <w:r w:rsidRPr="00EB6F4F">
        <w:rPr>
          <w:rFonts w:eastAsia="Calibri"/>
          <w:i/>
          <w:noProof/>
          <w:szCs w:val="22"/>
          <w:lang w:eastAsia="en-US"/>
        </w:rPr>
        <w:t>Článok 3</w:t>
      </w:r>
    </w:p>
    <w:p w14:paraId="3945E7D7" w14:textId="77777777" w:rsidR="00FA160D" w:rsidRPr="00EB6F4F" w:rsidRDefault="00FA160D" w:rsidP="00FA160D">
      <w:pPr>
        <w:widowControl/>
        <w:spacing w:before="120" w:after="120" w:line="360" w:lineRule="auto"/>
        <w:jc w:val="both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Toto rozhodnutie je určené Rakúskej republike.</w:t>
      </w:r>
    </w:p>
    <w:p w14:paraId="49DC01D1" w14:textId="77777777" w:rsidR="00FA160D" w:rsidRPr="00EB6F4F" w:rsidRDefault="00FA160D" w:rsidP="00FA160D">
      <w:pPr>
        <w:keepNext/>
        <w:widowControl/>
        <w:spacing w:before="120" w:line="360" w:lineRule="auto"/>
        <w:jc w:val="both"/>
        <w:rPr>
          <w:rFonts w:eastAsia="Calibri"/>
          <w:noProof/>
          <w:szCs w:val="22"/>
          <w:lang w:eastAsia="en-US"/>
        </w:rPr>
      </w:pPr>
      <w:r w:rsidRPr="00EB6F4F">
        <w:rPr>
          <w:rFonts w:eastAsia="Calibri"/>
          <w:noProof/>
          <w:szCs w:val="22"/>
          <w:lang w:eastAsia="en-US"/>
        </w:rPr>
        <w:t>V ...</w:t>
      </w:r>
    </w:p>
    <w:p w14:paraId="183E792F" w14:textId="77777777" w:rsidR="00FA160D" w:rsidRPr="00EB6F4F" w:rsidRDefault="00FA160D" w:rsidP="00FA160D">
      <w:pPr>
        <w:keepNext/>
        <w:widowControl/>
        <w:tabs>
          <w:tab w:val="left" w:pos="4252"/>
        </w:tabs>
        <w:spacing w:before="720" w:line="360" w:lineRule="auto"/>
        <w:jc w:val="both"/>
        <w:rPr>
          <w:rFonts w:eastAsia="Calibri"/>
          <w:i/>
          <w:noProof/>
          <w:szCs w:val="22"/>
          <w:lang w:eastAsia="en-US"/>
        </w:rPr>
      </w:pPr>
      <w:r w:rsidRPr="00EB6F4F">
        <w:rPr>
          <w:rFonts w:eastAsia="Calibri"/>
          <w:i/>
          <w:noProof/>
          <w:szCs w:val="22"/>
          <w:lang w:eastAsia="en-US"/>
        </w:rPr>
        <w:t>Za Európsky parlament</w:t>
      </w:r>
      <w:r w:rsidRPr="00EB6F4F">
        <w:rPr>
          <w:rFonts w:eastAsia="Calibri"/>
          <w:i/>
          <w:noProof/>
          <w:szCs w:val="22"/>
          <w:lang w:eastAsia="en-US"/>
        </w:rPr>
        <w:tab/>
        <w:t>Za Radu</w:t>
      </w:r>
    </w:p>
    <w:p w14:paraId="2FBBB3C7" w14:textId="77777777" w:rsidR="00FA160D" w:rsidRPr="00EB6F4F" w:rsidRDefault="00FA160D" w:rsidP="00FA160D">
      <w:pPr>
        <w:widowControl/>
        <w:tabs>
          <w:tab w:val="left" w:pos="4252"/>
        </w:tabs>
        <w:spacing w:line="360" w:lineRule="auto"/>
        <w:rPr>
          <w:rFonts w:eastAsia="Calibri"/>
          <w:i/>
          <w:noProof/>
          <w:szCs w:val="22"/>
          <w:lang w:eastAsia="en-US"/>
        </w:rPr>
      </w:pPr>
      <w:r w:rsidRPr="00EB6F4F">
        <w:rPr>
          <w:rFonts w:eastAsia="Calibri"/>
          <w:i/>
          <w:noProof/>
          <w:szCs w:val="22"/>
          <w:lang w:eastAsia="en-US"/>
        </w:rPr>
        <w:t>predsedníčka</w:t>
      </w:r>
      <w:r w:rsidRPr="00EB6F4F">
        <w:rPr>
          <w:rFonts w:eastAsia="Calibri"/>
          <w:i/>
          <w:noProof/>
          <w:szCs w:val="22"/>
          <w:lang w:eastAsia="en-US"/>
        </w:rPr>
        <w:tab/>
        <w:t>predseda/predsedníčka</w:t>
      </w:r>
    </w:p>
    <w:sectPr w:rsidR="00FA160D" w:rsidRPr="00EB6F4F" w:rsidSect="005E5B42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E6E6E7" w14:textId="77777777" w:rsidR="00772F6B" w:rsidRPr="005E5B42" w:rsidRDefault="00772F6B">
      <w:r w:rsidRPr="005E5B42">
        <w:separator/>
      </w:r>
    </w:p>
  </w:endnote>
  <w:endnote w:type="continuationSeparator" w:id="0">
    <w:p w14:paraId="6B875F0C" w14:textId="77777777" w:rsidR="00772F6B" w:rsidRPr="005E5B42" w:rsidRDefault="00772F6B">
      <w:r w:rsidRPr="005E5B4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D608D" w14:textId="77777777" w:rsidR="00064002" w:rsidRPr="005E5B4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C049E" w14:textId="77777777" w:rsidR="00064002" w:rsidRPr="005E5B4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F7D7C" w14:textId="77777777" w:rsidR="00064002" w:rsidRPr="005E5B4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D2F69" w14:textId="77777777" w:rsidR="00772F6B" w:rsidRPr="005E5B42" w:rsidRDefault="00772F6B">
      <w:r w:rsidRPr="005E5B42">
        <w:separator/>
      </w:r>
    </w:p>
  </w:footnote>
  <w:footnote w:type="continuationSeparator" w:id="0">
    <w:p w14:paraId="13A89E42" w14:textId="77777777" w:rsidR="00772F6B" w:rsidRPr="005E5B42" w:rsidRDefault="00772F6B">
      <w:r w:rsidRPr="005E5B42">
        <w:continuationSeparator/>
      </w:r>
    </w:p>
  </w:footnote>
  <w:footnote w:id="1">
    <w:p w14:paraId="43895744" w14:textId="548EF7EE" w:rsidR="000D6D60" w:rsidRPr="00EA7A07" w:rsidRDefault="000D6D60" w:rsidP="005E5B42">
      <w:pPr>
        <w:pStyle w:val="FootnoteText"/>
        <w:ind w:left="567" w:hanging="567"/>
        <w:rPr>
          <w:sz w:val="24"/>
          <w:lang w:val="sk-SK"/>
        </w:rPr>
      </w:pPr>
      <w:r w:rsidRPr="00EA7A07">
        <w:rPr>
          <w:rStyle w:val="FootnoteReference"/>
          <w:sz w:val="24"/>
          <w:lang w:val="sk-SK"/>
        </w:rPr>
        <w:footnoteRef/>
      </w:r>
      <w:r w:rsidR="005E5B42" w:rsidRPr="00EA7A07">
        <w:rPr>
          <w:sz w:val="24"/>
          <w:lang w:val="sk-SK"/>
        </w:rPr>
        <w:t xml:space="preserve"> </w:t>
      </w:r>
      <w:r w:rsidR="005E5B42" w:rsidRPr="00EA7A07">
        <w:rPr>
          <w:sz w:val="24"/>
          <w:lang w:val="sk-SK"/>
        </w:rPr>
        <w:tab/>
      </w:r>
      <w:r w:rsidRPr="00EA7A07">
        <w:rPr>
          <w:sz w:val="24"/>
          <w:lang w:val="sk-SK"/>
        </w:rPr>
        <w:t xml:space="preserve">Ú. v. EÚ C, C/2026/1970, 28.4.2026, ELI: </w:t>
      </w:r>
      <w:r>
        <w:fldChar w:fldCharType="begin"/>
      </w:r>
      <w:r w:rsidRPr="00381AA9">
        <w:rPr>
          <w:lang w:val="fi-FI"/>
        </w:rPr>
        <w:instrText>HYPERLINK "http://data.europa.eu/eli/C/2026/1970/oj"</w:instrText>
      </w:r>
      <w:r>
        <w:fldChar w:fldCharType="separate"/>
      </w:r>
      <w:r w:rsidRPr="00EA7A07">
        <w:rPr>
          <w:rStyle w:val="Hyperlink"/>
          <w:sz w:val="24"/>
          <w:lang w:val="sk-SK"/>
        </w:rPr>
        <w:t>http://data.europa.eu/eli/C/2026/1970/oj</w:t>
      </w:r>
      <w:r>
        <w:fldChar w:fldCharType="end"/>
      </w:r>
    </w:p>
  </w:footnote>
  <w:footnote w:id="2">
    <w:p w14:paraId="65C9DD40" w14:textId="77777777" w:rsidR="00FA160D" w:rsidRPr="00EA7A07" w:rsidRDefault="00FA160D" w:rsidP="00FA160D">
      <w:pPr>
        <w:pStyle w:val="FootnoteText"/>
        <w:ind w:left="851" w:hanging="851"/>
        <w:rPr>
          <w:color w:val="000000"/>
          <w:sz w:val="24"/>
          <w:szCs w:val="24"/>
          <w:lang w:val="sk-SK"/>
        </w:rPr>
      </w:pPr>
      <w:r w:rsidRPr="00EA7A07">
        <w:rPr>
          <w:rStyle w:val="FootnoteReference"/>
          <w:sz w:val="24"/>
          <w:szCs w:val="24"/>
          <w:lang w:val="sk-SK"/>
        </w:rPr>
        <w:footnoteRef/>
      </w:r>
      <w:r w:rsidRPr="00EA7A07">
        <w:rPr>
          <w:sz w:val="24"/>
          <w:szCs w:val="24"/>
          <w:lang w:val="sk-SK"/>
        </w:rPr>
        <w:tab/>
        <w:t xml:space="preserve">Ú. v. EÚ C, C/2026/1970, 28.4.2026, ELI: </w:t>
      </w:r>
      <w:r>
        <w:fldChar w:fldCharType="begin"/>
      </w:r>
      <w:r w:rsidRPr="00381AA9">
        <w:rPr>
          <w:lang w:val="fi-FI"/>
        </w:rPr>
        <w:instrText>HYPERLINK "http://data.europa.eu/eli/C/2026/1970/oj"</w:instrText>
      </w:r>
      <w:r>
        <w:fldChar w:fldCharType="separate"/>
      </w:r>
      <w:r w:rsidRPr="00EA7A07">
        <w:rPr>
          <w:rStyle w:val="Hyperlink"/>
          <w:sz w:val="24"/>
          <w:szCs w:val="24"/>
          <w:lang w:val="sk-SK"/>
        </w:rPr>
        <w:t>http://data.europa.eu/eli/C/2026/1970/oj</w:t>
      </w:r>
      <w:r>
        <w:fldChar w:fldCharType="end"/>
      </w:r>
      <w:r w:rsidRPr="00EA7A07">
        <w:rPr>
          <w:sz w:val="24"/>
          <w:szCs w:val="24"/>
          <w:lang w:val="sk-SK"/>
        </w:rPr>
        <w:t>.</w:t>
      </w:r>
    </w:p>
  </w:footnote>
  <w:footnote w:id="3">
    <w:p w14:paraId="0C39D5F7" w14:textId="7ECFB93A" w:rsidR="00FA160D" w:rsidRPr="00EA7A07" w:rsidRDefault="00FA160D" w:rsidP="00EA7A07">
      <w:pPr>
        <w:pStyle w:val="FootnoteText"/>
        <w:ind w:left="851" w:hanging="851"/>
        <w:rPr>
          <w:sz w:val="24"/>
          <w:szCs w:val="24"/>
          <w:lang w:val="sk-SK"/>
        </w:rPr>
      </w:pPr>
      <w:r w:rsidRPr="00EA7A07">
        <w:rPr>
          <w:rStyle w:val="FootnoteReference"/>
          <w:sz w:val="24"/>
          <w:szCs w:val="24"/>
          <w:lang w:val="sk-SK"/>
        </w:rPr>
        <w:footnoteRef/>
      </w:r>
      <w:r w:rsidRPr="00EA7A07">
        <w:rPr>
          <w:sz w:val="24"/>
          <w:szCs w:val="24"/>
          <w:lang w:val="sk-SK"/>
        </w:rPr>
        <w:tab/>
        <w:t>Pozícia Európskeho parlamentu z</w:t>
      </w:r>
      <w:r w:rsidR="00EA7A07">
        <w:rPr>
          <w:sz w:val="24"/>
          <w:szCs w:val="24"/>
          <w:lang w:val="sk-SK"/>
        </w:rPr>
        <w:t>o</w:t>
      </w:r>
      <w:r w:rsidRPr="00EA7A07">
        <w:rPr>
          <w:sz w:val="24"/>
          <w:szCs w:val="24"/>
          <w:lang w:val="sk-SK"/>
        </w:rPr>
        <w:t> </w:t>
      </w:r>
      <w:r w:rsidR="00EA7A07">
        <w:rPr>
          <w:sz w:val="24"/>
          <w:szCs w:val="24"/>
          <w:lang w:val="sk-SK"/>
        </w:rPr>
        <w:t>7. júla 2026</w:t>
      </w:r>
      <w:r w:rsidRPr="00EA7A07">
        <w:rPr>
          <w:sz w:val="24"/>
          <w:szCs w:val="24"/>
          <w:lang w:val="sk-SK"/>
        </w:rPr>
        <w:t>.</w:t>
      </w:r>
    </w:p>
  </w:footnote>
  <w:footnote w:id="4">
    <w:p w14:paraId="21D225EC" w14:textId="77777777" w:rsidR="00FA160D" w:rsidRPr="00EA7A07" w:rsidRDefault="00FA160D" w:rsidP="00FA160D">
      <w:pPr>
        <w:pStyle w:val="FootnoteText"/>
        <w:ind w:left="851" w:hanging="851"/>
        <w:rPr>
          <w:sz w:val="24"/>
          <w:szCs w:val="24"/>
          <w:lang w:val="sk-SK"/>
        </w:rPr>
      </w:pPr>
      <w:r w:rsidRPr="00EA7A07">
        <w:rPr>
          <w:rStyle w:val="FootnoteReference"/>
          <w:sz w:val="24"/>
          <w:szCs w:val="24"/>
          <w:lang w:val="sk-SK"/>
        </w:rPr>
        <w:footnoteRef/>
      </w:r>
      <w:r w:rsidRPr="00EA7A07">
        <w:rPr>
          <w:sz w:val="24"/>
          <w:szCs w:val="24"/>
          <w:lang w:val="sk-SK"/>
        </w:rPr>
        <w:tab/>
        <w:t>Ú. v. ES L 114, 30.4.2002, s. 91, ELI: </w:t>
      </w:r>
      <w:r>
        <w:fldChar w:fldCharType="begin"/>
      </w:r>
      <w:r w:rsidRPr="00381AA9">
        <w:rPr>
          <w:lang w:val="sk-SK"/>
        </w:rPr>
        <w:instrText>HYPERLINK "http://data.europa.eu/eli/agree_internation/2002/309(3)/oj" \o "Umožňuje prístup k tomuto dokumentu prostredníctvom identifikátora URI používaného v rámci ELI."</w:instrText>
      </w:r>
      <w:r>
        <w:fldChar w:fldCharType="separate"/>
      </w:r>
      <w:r w:rsidRPr="00EA7A07">
        <w:rPr>
          <w:rStyle w:val="Hyperlink"/>
          <w:sz w:val="24"/>
          <w:szCs w:val="24"/>
          <w:lang w:val="sk-SK"/>
        </w:rPr>
        <w:t>http://data.europa.eu/eli/agree_internation/2002/309(3)/oj</w:t>
      </w:r>
      <w:r>
        <w:fldChar w:fldCharType="end"/>
      </w:r>
      <w:r w:rsidRPr="00EA7A07">
        <w:rPr>
          <w:sz w:val="24"/>
          <w:szCs w:val="24"/>
          <w:lang w:val="sk-SK"/>
        </w:rPr>
        <w:t>.</w:t>
      </w:r>
    </w:p>
  </w:footnote>
  <w:footnote w:id="5">
    <w:p w14:paraId="16058343" w14:textId="77777777" w:rsidR="00FA160D" w:rsidRPr="00EA7A07" w:rsidRDefault="00FA160D" w:rsidP="00FA160D">
      <w:pPr>
        <w:pStyle w:val="FootnoteText"/>
        <w:ind w:left="851" w:hanging="851"/>
        <w:rPr>
          <w:sz w:val="24"/>
          <w:szCs w:val="24"/>
          <w:lang w:val="sk-SK"/>
        </w:rPr>
      </w:pPr>
      <w:r w:rsidRPr="00EA7A07">
        <w:rPr>
          <w:rStyle w:val="FootnoteReference"/>
          <w:sz w:val="24"/>
          <w:szCs w:val="24"/>
          <w:lang w:val="sk-SK"/>
        </w:rPr>
        <w:footnoteRef/>
      </w:r>
      <w:r w:rsidRPr="00EA7A07">
        <w:rPr>
          <w:sz w:val="24"/>
          <w:szCs w:val="24"/>
          <w:lang w:val="sk-SK"/>
        </w:rPr>
        <w:tab/>
      </w:r>
      <w:proofErr w:type="spellStart"/>
      <w:r w:rsidRPr="00EA7A07">
        <w:rPr>
          <w:sz w:val="24"/>
          <w:szCs w:val="24"/>
          <w:lang w:val="sk-SK"/>
        </w:rPr>
        <w:t>BGBl</w:t>
      </w:r>
      <w:proofErr w:type="spellEnd"/>
      <w:r w:rsidRPr="00EA7A07">
        <w:rPr>
          <w:sz w:val="24"/>
          <w:szCs w:val="24"/>
          <w:lang w:val="sk-SK"/>
        </w:rPr>
        <w:t>. (Rakúsko) č. 123/1959.</w:t>
      </w:r>
    </w:p>
  </w:footnote>
  <w:footnote w:id="6">
    <w:p w14:paraId="6C89617A" w14:textId="77777777" w:rsidR="00FA160D" w:rsidRPr="00EA7A07" w:rsidRDefault="00FA160D" w:rsidP="00FA160D">
      <w:pPr>
        <w:pStyle w:val="FootnoteText"/>
        <w:ind w:left="851" w:hanging="851"/>
        <w:rPr>
          <w:sz w:val="24"/>
          <w:szCs w:val="24"/>
          <w:lang w:val="sk-SK"/>
        </w:rPr>
      </w:pPr>
      <w:r w:rsidRPr="00EA7A07">
        <w:rPr>
          <w:rStyle w:val="FootnoteReference"/>
          <w:sz w:val="24"/>
          <w:szCs w:val="24"/>
          <w:lang w:val="sk-SK"/>
        </w:rPr>
        <w:footnoteRef/>
      </w:r>
      <w:r w:rsidRPr="00EA7A07">
        <w:rPr>
          <w:sz w:val="24"/>
          <w:szCs w:val="24"/>
          <w:lang w:val="sk-SK"/>
        </w:rPr>
        <w:tab/>
        <w:t>Nariadenie Európskeho parlamentu a Rady (ES) č. 1073/2009 z 21. októbra 2009 o spoločných pravidlách prístupu na medzinárodný trh autokarovej a autobusovej dopravy a o zmene a doplnení nariadenia (ES) č. 561/2006 (Ú. v. EÚ L 300, 14.11.2009, s. 88, ELI: </w:t>
      </w:r>
      <w:r>
        <w:fldChar w:fldCharType="begin"/>
      </w:r>
      <w:r w:rsidRPr="00381AA9">
        <w:rPr>
          <w:lang w:val="sk-SK"/>
        </w:rPr>
        <w:instrText>HYPERLINK "http://data.europa.eu/eli/reg/2009/1073/oj" \o "Umožňuje prístup k tomuto dokumentu prostredníctvom identifikátora URI používaného v rámci ELI."</w:instrText>
      </w:r>
      <w:r>
        <w:fldChar w:fldCharType="separate"/>
      </w:r>
      <w:r w:rsidRPr="00EA7A07">
        <w:rPr>
          <w:rStyle w:val="Hyperlink"/>
          <w:sz w:val="24"/>
          <w:szCs w:val="24"/>
          <w:lang w:val="sk-SK"/>
        </w:rPr>
        <w:t>http://data.europa.eu/eli/reg/2009/1073/oj</w:t>
      </w:r>
      <w:r>
        <w:fldChar w:fldCharType="end"/>
      </w:r>
      <w:r w:rsidRPr="00EA7A07">
        <w:rPr>
          <w:sz w:val="24"/>
          <w:szCs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666C4" w14:textId="77777777" w:rsidR="00064002" w:rsidRPr="005E5B4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27DCF" w14:textId="77777777" w:rsidR="00064002" w:rsidRPr="005E5B4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203AC" w14:textId="77777777" w:rsidR="00064002" w:rsidRPr="005E5B4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14723446">
    <w:abstractNumId w:val="9"/>
  </w:num>
  <w:num w:numId="2" w16cid:durableId="859704210">
    <w:abstractNumId w:val="9"/>
  </w:num>
  <w:num w:numId="3" w16cid:durableId="1642494544">
    <w:abstractNumId w:val="7"/>
  </w:num>
  <w:num w:numId="4" w16cid:durableId="1381512613">
    <w:abstractNumId w:val="7"/>
  </w:num>
  <w:num w:numId="5" w16cid:durableId="693844603">
    <w:abstractNumId w:val="6"/>
  </w:num>
  <w:num w:numId="6" w16cid:durableId="1289899483">
    <w:abstractNumId w:val="6"/>
  </w:num>
  <w:num w:numId="7" w16cid:durableId="170534076">
    <w:abstractNumId w:val="5"/>
  </w:num>
  <w:num w:numId="8" w16cid:durableId="1903297062">
    <w:abstractNumId w:val="5"/>
  </w:num>
  <w:num w:numId="9" w16cid:durableId="1254119867">
    <w:abstractNumId w:val="4"/>
  </w:num>
  <w:num w:numId="10" w16cid:durableId="875048029">
    <w:abstractNumId w:val="4"/>
  </w:num>
  <w:num w:numId="11" w16cid:durableId="783113852">
    <w:abstractNumId w:val="8"/>
  </w:num>
  <w:num w:numId="12" w16cid:durableId="1715033007">
    <w:abstractNumId w:val="8"/>
  </w:num>
  <w:num w:numId="13" w16cid:durableId="2073967997">
    <w:abstractNumId w:val="3"/>
  </w:num>
  <w:num w:numId="14" w16cid:durableId="1479151121">
    <w:abstractNumId w:val="3"/>
  </w:num>
  <w:num w:numId="15" w16cid:durableId="438065191">
    <w:abstractNumId w:val="2"/>
  </w:num>
  <w:num w:numId="16" w16cid:durableId="1500344760">
    <w:abstractNumId w:val="2"/>
  </w:num>
  <w:num w:numId="17" w16cid:durableId="247085668">
    <w:abstractNumId w:val="1"/>
  </w:num>
  <w:num w:numId="18" w16cid:durableId="1314604765">
    <w:abstractNumId w:val="1"/>
  </w:num>
  <w:num w:numId="19" w16cid:durableId="1327705006">
    <w:abstractNumId w:val="0"/>
  </w:num>
  <w:num w:numId="20" w16cid:durableId="1815566293">
    <w:abstractNumId w:val="0"/>
  </w:num>
  <w:num w:numId="21" w16cid:durableId="1382752612">
    <w:abstractNumId w:val="9"/>
  </w:num>
  <w:num w:numId="22" w16cid:durableId="381441293">
    <w:abstractNumId w:val="7"/>
  </w:num>
  <w:num w:numId="23" w16cid:durableId="774636793">
    <w:abstractNumId w:val="6"/>
  </w:num>
  <w:num w:numId="24" w16cid:durableId="884608517">
    <w:abstractNumId w:val="5"/>
  </w:num>
  <w:num w:numId="25" w16cid:durableId="804542386">
    <w:abstractNumId w:val="4"/>
  </w:num>
  <w:num w:numId="26" w16cid:durableId="1178348177">
    <w:abstractNumId w:val="8"/>
  </w:num>
  <w:num w:numId="27" w16cid:durableId="798453852">
    <w:abstractNumId w:val="3"/>
  </w:num>
  <w:num w:numId="28" w16cid:durableId="765881707">
    <w:abstractNumId w:val="2"/>
  </w:num>
  <w:num w:numId="29" w16cid:durableId="1812017222">
    <w:abstractNumId w:val="1"/>
  </w:num>
  <w:num w:numId="30" w16cid:durableId="1638994352">
    <w:abstractNumId w:val="0"/>
  </w:num>
  <w:num w:numId="31" w16cid:durableId="186530550">
    <w:abstractNumId w:val="9"/>
  </w:num>
  <w:num w:numId="32" w16cid:durableId="710803962">
    <w:abstractNumId w:val="7"/>
  </w:num>
  <w:num w:numId="33" w16cid:durableId="239367396">
    <w:abstractNumId w:val="6"/>
  </w:num>
  <w:num w:numId="34" w16cid:durableId="529414161">
    <w:abstractNumId w:val="5"/>
  </w:num>
  <w:num w:numId="35" w16cid:durableId="1558129778">
    <w:abstractNumId w:val="4"/>
  </w:num>
  <w:num w:numId="36" w16cid:durableId="1037049276">
    <w:abstractNumId w:val="8"/>
  </w:num>
  <w:num w:numId="37" w16cid:durableId="1205292098">
    <w:abstractNumId w:val="3"/>
  </w:num>
  <w:num w:numId="38" w16cid:durableId="445929024">
    <w:abstractNumId w:val="2"/>
  </w:num>
  <w:num w:numId="39" w16cid:durableId="1474710392">
    <w:abstractNumId w:val="1"/>
  </w:num>
  <w:num w:numId="40" w16cid:durableId="1426612401">
    <w:abstractNumId w:val="0"/>
  </w:num>
  <w:num w:numId="41" w16cid:durableId="62267162">
    <w:abstractNumId w:val="10"/>
  </w:num>
  <w:num w:numId="42" w16cid:durableId="2041080581">
    <w:abstractNumId w:val="10"/>
  </w:num>
  <w:num w:numId="43" w16cid:durableId="718633358">
    <w:abstractNumId w:val="10"/>
  </w:num>
  <w:num w:numId="44" w16cid:durableId="4275863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4/2026"/>
    <w:docVar w:name="dvlangue" w:val="SK"/>
    <w:docVar w:name="dvnumam" w:val="2"/>
    <w:docVar w:name="dvpe" w:val="785.404"/>
    <w:docVar w:name="dvrapporteur" w:val="Spravodajkyňa: "/>
    <w:docVar w:name="dvstar" w:val="***I"/>
    <w:docVar w:name="dvtitre" w:val="Legislatívne uznesenie Európskeho parlamentu z/zo xx. xxx 2026 o návrhu rozhodnutia Európskeho parlamentu a Rady, ktorým sa Rakúsko splnomocňuje zmeniť jeho dvojstrannú dohodu o cestnej doprave so Švajčiarskom s cieľom povoliť kabotážnu prepravu počas prevádzkovania medzinárodnej cestnej osobnej autokarovej a autobusovej dopravy v pohraničných regiónoch medzi týmito dvoma krajinami(COM(2025)0773 – C10-0367/2025 – 2025/0407(COD))"/>
  </w:docVars>
  <w:rsids>
    <w:rsidRoot w:val="00772F6B"/>
    <w:rsid w:val="00002272"/>
    <w:rsid w:val="00064002"/>
    <w:rsid w:val="0006486F"/>
    <w:rsid w:val="000677B9"/>
    <w:rsid w:val="000831BA"/>
    <w:rsid w:val="000A42CC"/>
    <w:rsid w:val="000D6D60"/>
    <w:rsid w:val="000E7DD9"/>
    <w:rsid w:val="0010095E"/>
    <w:rsid w:val="00125B37"/>
    <w:rsid w:val="00187494"/>
    <w:rsid w:val="001B548A"/>
    <w:rsid w:val="001F32AE"/>
    <w:rsid w:val="002767FF"/>
    <w:rsid w:val="002B18FE"/>
    <w:rsid w:val="002B5493"/>
    <w:rsid w:val="00343214"/>
    <w:rsid w:val="00361C00"/>
    <w:rsid w:val="00373347"/>
    <w:rsid w:val="00381AA9"/>
    <w:rsid w:val="00395FA1"/>
    <w:rsid w:val="003E15D4"/>
    <w:rsid w:val="00411CCE"/>
    <w:rsid w:val="0041666E"/>
    <w:rsid w:val="00421060"/>
    <w:rsid w:val="00471C19"/>
    <w:rsid w:val="004867E3"/>
    <w:rsid w:val="00493D31"/>
    <w:rsid w:val="00494A28"/>
    <w:rsid w:val="004B1687"/>
    <w:rsid w:val="004C0004"/>
    <w:rsid w:val="004C5D52"/>
    <w:rsid w:val="0050519A"/>
    <w:rsid w:val="005072A1"/>
    <w:rsid w:val="00514517"/>
    <w:rsid w:val="00545827"/>
    <w:rsid w:val="00560270"/>
    <w:rsid w:val="005A3C81"/>
    <w:rsid w:val="005C2568"/>
    <w:rsid w:val="005E5B42"/>
    <w:rsid w:val="005F1B17"/>
    <w:rsid w:val="006037C0"/>
    <w:rsid w:val="006631B6"/>
    <w:rsid w:val="00666C0C"/>
    <w:rsid w:val="00680577"/>
    <w:rsid w:val="006C1519"/>
    <w:rsid w:val="006F74FA"/>
    <w:rsid w:val="00731ADD"/>
    <w:rsid w:val="00734777"/>
    <w:rsid w:val="00747932"/>
    <w:rsid w:val="00751A4A"/>
    <w:rsid w:val="00756632"/>
    <w:rsid w:val="00762C74"/>
    <w:rsid w:val="00772F6B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221B"/>
    <w:rsid w:val="00930C23"/>
    <w:rsid w:val="0093193B"/>
    <w:rsid w:val="00932370"/>
    <w:rsid w:val="009509D8"/>
    <w:rsid w:val="00950B64"/>
    <w:rsid w:val="00981893"/>
    <w:rsid w:val="00A1687D"/>
    <w:rsid w:val="00A436AB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5D0D"/>
    <w:rsid w:val="00C05BFE"/>
    <w:rsid w:val="00C11129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043A"/>
    <w:rsid w:val="00E365E1"/>
    <w:rsid w:val="00E820A4"/>
    <w:rsid w:val="00EA7A07"/>
    <w:rsid w:val="00EB006A"/>
    <w:rsid w:val="00EB4772"/>
    <w:rsid w:val="00EB6F4F"/>
    <w:rsid w:val="00ED169E"/>
    <w:rsid w:val="00ED4235"/>
    <w:rsid w:val="00F04346"/>
    <w:rsid w:val="00F075DC"/>
    <w:rsid w:val="00F149E9"/>
    <w:rsid w:val="00F5134D"/>
    <w:rsid w:val="00F74202"/>
    <w:rsid w:val="00F87713"/>
    <w:rsid w:val="00FA160D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DB1220"/>
  <w15:chartTrackingRefBased/>
  <w15:docId w15:val="{96F3D06C-4B04-4B4E-AF87-42AC760B9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D6D60"/>
    <w:rPr>
      <w:b/>
    </w:rPr>
  </w:style>
  <w:style w:type="paragraph" w:customStyle="1" w:styleId="AmJustText">
    <w:name w:val="AmJustText"/>
    <w:basedOn w:val="Normal"/>
    <w:rsid w:val="000D6D60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0D6D60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0D6D60"/>
    <w:pPr>
      <w:keepNext/>
      <w:spacing w:before="240" w:after="240"/>
      <w:jc w:val="center"/>
    </w:pPr>
    <w:rPr>
      <w:i/>
    </w:rPr>
  </w:style>
  <w:style w:type="paragraph" w:customStyle="1" w:styleId="AmNumberTabs">
    <w:name w:val="AmNumberTabs"/>
    <w:basedOn w:val="Normal"/>
    <w:rsid w:val="000D6D6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D6D6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0D6D60"/>
    <w:rPr>
      <w:sz w:val="24"/>
      <w:lang w:val="sk-SK"/>
    </w:rPr>
  </w:style>
  <w:style w:type="paragraph" w:customStyle="1" w:styleId="Normal6">
    <w:name w:val="Normal6"/>
    <w:basedOn w:val="Normal"/>
    <w:link w:val="Normal6Char"/>
    <w:rsid w:val="000D6D6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D6D60"/>
    <w:rPr>
      <w:b/>
      <w:sz w:val="24"/>
      <w:lang w:val="sk-SK"/>
    </w:rPr>
  </w:style>
  <w:style w:type="paragraph" w:customStyle="1" w:styleId="ColumnHeading">
    <w:name w:val="ColumnHeading"/>
    <w:basedOn w:val="Normal"/>
    <w:rsid w:val="000D6D60"/>
    <w:pPr>
      <w:spacing w:after="240"/>
      <w:jc w:val="center"/>
    </w:pPr>
    <w:rPr>
      <w:i/>
    </w:rPr>
  </w:style>
  <w:style w:type="character" w:styleId="Hyperlink">
    <w:name w:val="Hyperlink"/>
    <w:basedOn w:val="DefaultParagraphFont"/>
    <w:uiPriority w:val="99"/>
    <w:rsid w:val="000D6D60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436AB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2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1056</Words>
  <Characters>6676</Characters>
  <Application>Microsoft Office Word</Application>
  <DocSecurity>0</DocSecurity>
  <Lines>256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SUCHANOVA Monika</cp:lastModifiedBy>
  <cp:revision>2</cp:revision>
  <cp:lastPrinted>2004-11-19T15:42:00Z</cp:lastPrinted>
  <dcterms:created xsi:type="dcterms:W3CDTF">2026-07-07T16:14:00Z</dcterms:created>
  <dcterms:modified xsi:type="dcterms:W3CDTF">2026-07-07T16:14:00Z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P10_TA(2026)0241_</vt:lpwstr>
  </property>
  <property fmtid="{D5CDD505-2E9C-101B-9397-08002B2CF9AE}" pid="4" name="&lt;Type&gt;">
    <vt:lpwstr>RR</vt:lpwstr>
  </property>
</Properties>
</file>