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4DD4" w14:paraId="2DD6CFCA" w14:textId="77777777" w:rsidTr="0010095E">
        <w:trPr>
          <w:trHeight w:hRule="exact" w:val="1418"/>
        </w:trPr>
        <w:tc>
          <w:tcPr>
            <w:tcW w:w="6804" w:type="dxa"/>
            <w:shd w:val="clear" w:color="auto" w:fill="auto"/>
            <w:vAlign w:val="center"/>
          </w:tcPr>
          <w:p w14:paraId="594B3E4A" w14:textId="77777777" w:rsidR="00751A4A" w:rsidRPr="00214DD4" w:rsidRDefault="00B6312F" w:rsidP="0010095E">
            <w:pPr>
              <w:pStyle w:val="EPName"/>
            </w:pPr>
            <w:r w:rsidRPr="00214DD4">
              <w:t>Europaparlamentet</w:t>
            </w:r>
          </w:p>
          <w:p w14:paraId="36A17FDD" w14:textId="77777777" w:rsidR="00751A4A" w:rsidRPr="00214DD4" w:rsidRDefault="005F1B17" w:rsidP="005F1B17">
            <w:pPr>
              <w:pStyle w:val="EPTerm"/>
              <w:rPr>
                <w:rStyle w:val="HideTWBExt"/>
                <w:noProof w:val="0"/>
                <w:vanish w:val="0"/>
                <w:color w:val="auto"/>
              </w:rPr>
            </w:pPr>
            <w:r w:rsidRPr="00214DD4">
              <w:t>2024</w:t>
            </w:r>
            <w:r w:rsidR="00817416" w:rsidRPr="00214DD4">
              <w:t>-202</w:t>
            </w:r>
            <w:r w:rsidRPr="00214DD4">
              <w:t>9</w:t>
            </w:r>
          </w:p>
        </w:tc>
        <w:tc>
          <w:tcPr>
            <w:tcW w:w="2268" w:type="dxa"/>
            <w:shd w:val="clear" w:color="auto" w:fill="auto"/>
          </w:tcPr>
          <w:p w14:paraId="6CB31919" w14:textId="77777777" w:rsidR="00751A4A" w:rsidRPr="00214DD4" w:rsidRDefault="00187494" w:rsidP="0010095E">
            <w:pPr>
              <w:pStyle w:val="EPLogo"/>
            </w:pPr>
            <w:r w:rsidRPr="00214DD4">
              <w:rPr>
                <w:noProof/>
                <w:lang w:eastAsia="ja-JP"/>
              </w:rPr>
              <w:drawing>
                <wp:inline distT="0" distB="0" distL="0" distR="0" wp14:anchorId="380218F0" wp14:editId="438390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EE4E07" w14:textId="77777777" w:rsidR="00D058B8" w:rsidRPr="00214DD4" w:rsidRDefault="00D058B8" w:rsidP="004C5D52">
      <w:pPr>
        <w:pStyle w:val="LineTop"/>
      </w:pPr>
    </w:p>
    <w:p w14:paraId="65342D9F" w14:textId="77777777" w:rsidR="00680577" w:rsidRPr="00214DD4" w:rsidRDefault="00B6312F" w:rsidP="00680577">
      <w:pPr>
        <w:pStyle w:val="EPBodyTA1"/>
      </w:pPr>
      <w:r w:rsidRPr="00214DD4">
        <w:t>ANTAGNA TEXTER</w:t>
      </w:r>
    </w:p>
    <w:p w14:paraId="1DC706C1" w14:textId="77777777" w:rsidR="00D058B8" w:rsidRPr="00214DD4" w:rsidRDefault="00D058B8" w:rsidP="00D058B8">
      <w:pPr>
        <w:pStyle w:val="LineBottom"/>
      </w:pPr>
    </w:p>
    <w:p w14:paraId="775AD35B" w14:textId="3D8EE960" w:rsidR="00B6312F" w:rsidRPr="00214DD4" w:rsidRDefault="00B6312F" w:rsidP="00B6312F">
      <w:pPr>
        <w:pStyle w:val="ATHeading1"/>
      </w:pPr>
      <w:bookmarkStart w:id="0" w:name="TANumber"/>
      <w:r w:rsidRPr="00214DD4">
        <w:t>P10_TA(2026)0</w:t>
      </w:r>
      <w:bookmarkEnd w:id="0"/>
      <w:r w:rsidR="00214DD4" w:rsidRPr="00214DD4">
        <w:t>241</w:t>
      </w:r>
    </w:p>
    <w:p w14:paraId="726B4191" w14:textId="77777777" w:rsidR="00B6312F" w:rsidRPr="00214DD4" w:rsidRDefault="00B6312F" w:rsidP="00B6312F">
      <w:pPr>
        <w:pStyle w:val="ATHeading2"/>
      </w:pPr>
      <w:bookmarkStart w:id="1" w:name="title"/>
      <w:r w:rsidRPr="00214DD4">
        <w:t>Internationella persontransporter med buss i gränsregioner: cabotagetrafik mellan Österrike och Schweiz</w:t>
      </w:r>
      <w:bookmarkEnd w:id="1"/>
    </w:p>
    <w:p w14:paraId="17BF4D17" w14:textId="77777777" w:rsidR="00B6312F" w:rsidRPr="00214DD4" w:rsidRDefault="00B6312F" w:rsidP="00B6312F">
      <w:pPr>
        <w:rPr>
          <w:i/>
          <w:vanish/>
        </w:rPr>
      </w:pPr>
      <w:r w:rsidRPr="00214DD4">
        <w:rPr>
          <w:i/>
        </w:rPr>
        <w:fldChar w:fldCharType="begin"/>
      </w:r>
      <w:r w:rsidRPr="00214DD4">
        <w:rPr>
          <w:i/>
        </w:rPr>
        <w:instrText xml:space="preserve"> TC"(</w:instrText>
      </w:r>
      <w:bookmarkStart w:id="2" w:name="DocNumber"/>
      <w:r w:rsidRPr="00214DD4">
        <w:rPr>
          <w:i/>
        </w:rPr>
        <w:instrText>A10-0174/2026</w:instrText>
      </w:r>
      <w:bookmarkEnd w:id="2"/>
      <w:r w:rsidRPr="00214DD4">
        <w:rPr>
          <w:i/>
        </w:rPr>
        <w:instrText xml:space="preserve"> - Föredragande: </w:instrText>
      </w:r>
      <w:proofErr w:type="spellStart"/>
      <w:r w:rsidRPr="00214DD4">
        <w:rPr>
          <w:i/>
        </w:rPr>
        <w:instrText>Elissavet</w:instrText>
      </w:r>
      <w:proofErr w:type="spellEnd"/>
      <w:r w:rsidRPr="00214DD4">
        <w:rPr>
          <w:i/>
        </w:rPr>
        <w:instrText xml:space="preserve"> </w:instrText>
      </w:r>
      <w:proofErr w:type="spellStart"/>
      <w:r w:rsidRPr="00214DD4">
        <w:rPr>
          <w:i/>
        </w:rPr>
        <w:instrText>Vozemberg-Vrionidi</w:instrText>
      </w:r>
      <w:proofErr w:type="spellEnd"/>
      <w:r w:rsidRPr="00214DD4">
        <w:rPr>
          <w:i/>
        </w:rPr>
        <w:instrText xml:space="preserve">)"\l3 \n&gt; \* MERGEFORMAT </w:instrText>
      </w:r>
      <w:r w:rsidRPr="00214DD4">
        <w:rPr>
          <w:i/>
        </w:rPr>
        <w:fldChar w:fldCharType="end"/>
      </w:r>
    </w:p>
    <w:p w14:paraId="20FD371C" w14:textId="77777777" w:rsidR="00B6312F" w:rsidRPr="00214DD4" w:rsidRDefault="00B6312F" w:rsidP="00B6312F">
      <w:pPr>
        <w:rPr>
          <w:vanish/>
        </w:rPr>
      </w:pPr>
      <w:bookmarkStart w:id="3" w:name="Commission"/>
      <w:r w:rsidRPr="00214DD4">
        <w:rPr>
          <w:vanish/>
        </w:rPr>
        <w:t>Utskottet för transport och turism</w:t>
      </w:r>
      <w:bookmarkEnd w:id="3"/>
    </w:p>
    <w:p w14:paraId="2D37F927" w14:textId="77777777" w:rsidR="00B6312F" w:rsidRPr="00214DD4" w:rsidRDefault="00B6312F" w:rsidP="00B6312F">
      <w:pPr>
        <w:rPr>
          <w:vanish/>
        </w:rPr>
      </w:pPr>
      <w:bookmarkStart w:id="4" w:name="PE"/>
      <w:r w:rsidRPr="00214DD4">
        <w:rPr>
          <w:vanish/>
        </w:rPr>
        <w:t>PE785.404</w:t>
      </w:r>
      <w:bookmarkEnd w:id="4"/>
    </w:p>
    <w:p w14:paraId="575E07B0" w14:textId="4AFA3E6F" w:rsidR="00B6312F" w:rsidRPr="00214DD4" w:rsidRDefault="00B6312F" w:rsidP="00B6312F">
      <w:pPr>
        <w:pStyle w:val="ATHeading3"/>
      </w:pPr>
      <w:bookmarkStart w:id="5" w:name="Sujet"/>
      <w:r w:rsidRPr="00214DD4">
        <w:t xml:space="preserve">Europaparlamentets lagstiftningsresolution av den </w:t>
      </w:r>
      <w:r w:rsidR="00E65D6B" w:rsidRPr="00214DD4">
        <w:t>7</w:t>
      </w:r>
      <w:r w:rsidRPr="00214DD4">
        <w:t xml:space="preserve"> </w:t>
      </w:r>
      <w:r w:rsidR="00E65D6B" w:rsidRPr="00214DD4">
        <w:t>juli</w:t>
      </w:r>
      <w:r w:rsidRPr="00214DD4">
        <w:t xml:space="preserve"> 2026 om förslaget till Europaparlamentets och rådets beslut om bemyndigande för Österrike att ändra sitt befintliga bilaterala avtal om vägtransporter med Schweiz i syfte att tillåta cabotagetrafik vid internationella persontransporter med buss i de båda ländernas gränsregioner</w:t>
      </w:r>
      <w:bookmarkEnd w:id="5"/>
      <w:r w:rsidRPr="00214DD4">
        <w:t xml:space="preserve"> </w:t>
      </w:r>
      <w:bookmarkStart w:id="6" w:name="References"/>
      <w:r w:rsidRPr="00214DD4">
        <w:t>(COM(2025)0773 – C10-0367/2025 – 2025/0407(COD))</w:t>
      </w:r>
      <w:bookmarkEnd w:id="6"/>
    </w:p>
    <w:p w14:paraId="28E95867" w14:textId="77777777" w:rsidR="00223B58" w:rsidRPr="00214DD4" w:rsidRDefault="00223B58" w:rsidP="00223B58">
      <w:pPr>
        <w:pStyle w:val="NormalBold"/>
      </w:pPr>
      <w:r w:rsidRPr="00214DD4">
        <w:t>(Ordinarie lagstiftningsförfarande: första behandlingen)</w:t>
      </w:r>
    </w:p>
    <w:p w14:paraId="1AF123BD" w14:textId="77777777" w:rsidR="00223B58" w:rsidRPr="00214DD4" w:rsidRDefault="00223B58" w:rsidP="00223B58">
      <w:pPr>
        <w:pStyle w:val="EPComma"/>
      </w:pPr>
      <w:r w:rsidRPr="00214DD4">
        <w:rPr>
          <w:i/>
          <w:iCs/>
        </w:rPr>
        <w:t>Europaparlamentet utfärdar denna resolution</w:t>
      </w:r>
    </w:p>
    <w:p w14:paraId="2FF4C59B" w14:textId="77777777" w:rsidR="00223B58" w:rsidRPr="00214DD4" w:rsidRDefault="00223B58" w:rsidP="00223B58">
      <w:pPr>
        <w:pStyle w:val="NormalHanging12a"/>
      </w:pPr>
      <w:r w:rsidRPr="00214DD4">
        <w:t>–</w:t>
      </w:r>
      <w:r w:rsidRPr="00214DD4">
        <w:tab/>
        <w:t>med beaktande av kommissionens förslag till Europaparlamentet och rådet (COM(2025)0773),</w:t>
      </w:r>
    </w:p>
    <w:p w14:paraId="5C4D8AC5" w14:textId="77777777" w:rsidR="00223B58" w:rsidRPr="00214DD4" w:rsidRDefault="00223B58" w:rsidP="00223B58">
      <w:pPr>
        <w:pStyle w:val="NormalHanging12a"/>
      </w:pPr>
      <w:r w:rsidRPr="00214DD4">
        <w:t>–</w:t>
      </w:r>
      <w:r w:rsidRPr="00214DD4">
        <w:tab/>
        <w:t>med beaktande av artikel 294.2 och artiklarna 2.1 och 91 i fördraget om Europeiska unionens funktionssätt, i enlighet med vilka kommissionen har lagt fram sitt förslag för parlamentet (C10</w:t>
      </w:r>
      <w:r w:rsidRPr="00214DD4">
        <w:noBreakHyphen/>
        <w:t>0367/2025),</w:t>
      </w:r>
    </w:p>
    <w:p w14:paraId="25D1A200" w14:textId="77777777" w:rsidR="00223B58" w:rsidRPr="00214DD4" w:rsidRDefault="00223B58" w:rsidP="00223B58">
      <w:pPr>
        <w:pStyle w:val="NormalHanging12a"/>
      </w:pPr>
      <w:r w:rsidRPr="00214DD4">
        <w:t>–</w:t>
      </w:r>
      <w:r w:rsidRPr="00214DD4">
        <w:tab/>
        <w:t>med beaktande av artikel 294.3 i fördraget om Europeiska unionens funktionssätt,</w:t>
      </w:r>
    </w:p>
    <w:p w14:paraId="0614A66C" w14:textId="0E34926C" w:rsidR="008B12D8" w:rsidRPr="00214DD4" w:rsidRDefault="00CD3898" w:rsidP="00CD3898">
      <w:pPr>
        <w:widowControl/>
        <w:spacing w:after="240"/>
        <w:ind w:left="567" w:hanging="567"/>
        <w:jc w:val="both"/>
      </w:pPr>
      <w:bookmarkStart w:id="7" w:name="_Hlk221543651"/>
      <w:r w:rsidRPr="00214DD4">
        <w:t>–</w:t>
      </w:r>
      <w:r w:rsidRPr="00214DD4">
        <w:tab/>
      </w:r>
      <w:r w:rsidR="003C3F67" w:rsidRPr="00214DD4">
        <w:t>med beaktande av det skriftliga åtagandet från rådets företrädare av den 10 juni 2026 att godkänna parlamentets ståndpunkt i enlighet med artikel 294.4 i fördraget om Europeiska unionens funktionssätt,</w:t>
      </w:r>
      <w:bookmarkEnd w:id="7"/>
    </w:p>
    <w:p w14:paraId="7640AC31" w14:textId="77777777" w:rsidR="00223B58" w:rsidRPr="00214DD4" w:rsidRDefault="00223B58" w:rsidP="00223B58">
      <w:pPr>
        <w:pStyle w:val="NormalHanging12a"/>
      </w:pPr>
      <w:r w:rsidRPr="00214DD4">
        <w:t>–</w:t>
      </w:r>
      <w:r w:rsidRPr="00214DD4">
        <w:tab/>
        <w:t>med beaktande av yttrandet från utskottet för rättsliga frågor över den föreslagna rättsliga grunden,</w:t>
      </w:r>
    </w:p>
    <w:p w14:paraId="2A1ADDF8" w14:textId="77777777" w:rsidR="00223B58" w:rsidRPr="00214DD4" w:rsidRDefault="00223B58" w:rsidP="00223B58">
      <w:pPr>
        <w:pStyle w:val="NormalHanging12a"/>
      </w:pPr>
      <w:r w:rsidRPr="00214DD4">
        <w:t>–</w:t>
      </w:r>
      <w:r w:rsidRPr="00214DD4">
        <w:tab/>
        <w:t>med beaktande av Europeiska ekonomiska och sociala kommitténs yttrande av den 21 januari 2026</w:t>
      </w:r>
      <w:r w:rsidRPr="00214DD4">
        <w:rPr>
          <w:vertAlign w:val="superscript"/>
        </w:rPr>
        <w:footnoteReference w:id="1"/>
      </w:r>
      <w:r w:rsidRPr="00214DD4">
        <w:t>,</w:t>
      </w:r>
    </w:p>
    <w:p w14:paraId="63C24AD5" w14:textId="77777777" w:rsidR="00223B58" w:rsidRPr="00214DD4" w:rsidRDefault="00223B58" w:rsidP="00223B58">
      <w:pPr>
        <w:pStyle w:val="NormalHanging12a"/>
      </w:pPr>
      <w:r w:rsidRPr="00214DD4">
        <w:t>–</w:t>
      </w:r>
      <w:r w:rsidRPr="00214DD4">
        <w:tab/>
        <w:t>efter att ha hört Regionkommittén,</w:t>
      </w:r>
    </w:p>
    <w:p w14:paraId="2FBDC21E" w14:textId="77777777" w:rsidR="00223B58" w:rsidRPr="00214DD4" w:rsidRDefault="00223B58" w:rsidP="00223B58">
      <w:pPr>
        <w:pStyle w:val="NormalHanging12a"/>
      </w:pPr>
      <w:r w:rsidRPr="00214DD4">
        <w:lastRenderedPageBreak/>
        <w:t>–</w:t>
      </w:r>
      <w:r w:rsidRPr="00214DD4">
        <w:tab/>
        <w:t>med beaktande av artiklarna 60 och 41 i arbetsordningen,</w:t>
      </w:r>
    </w:p>
    <w:p w14:paraId="1DCCD297" w14:textId="77777777" w:rsidR="00223B58" w:rsidRPr="00214DD4" w:rsidRDefault="00223B58" w:rsidP="00223B58">
      <w:pPr>
        <w:pStyle w:val="NormalHanging12a"/>
      </w:pPr>
      <w:r w:rsidRPr="00214DD4">
        <w:t>–</w:t>
      </w:r>
      <w:r w:rsidRPr="00214DD4">
        <w:tab/>
        <w:t>med beaktande av betänkandet från utskottet för transport och turism (A10-0174/2026).</w:t>
      </w:r>
    </w:p>
    <w:p w14:paraId="55B7AE97" w14:textId="77777777" w:rsidR="00223B58" w:rsidRPr="00214DD4" w:rsidRDefault="00223B58" w:rsidP="00223B58">
      <w:pPr>
        <w:pStyle w:val="NormalHanging12a"/>
      </w:pPr>
      <w:r w:rsidRPr="00214DD4">
        <w:t>1.</w:t>
      </w:r>
      <w:r w:rsidRPr="00214DD4">
        <w:tab/>
        <w:t>Europaparlamentet antar nedanstående ståndpunkt vid första behandlingen.</w:t>
      </w:r>
    </w:p>
    <w:p w14:paraId="02B1B87E" w14:textId="77777777" w:rsidR="00223B58" w:rsidRPr="00214DD4" w:rsidRDefault="00223B58" w:rsidP="00223B58">
      <w:pPr>
        <w:pStyle w:val="NormalHanging12a"/>
      </w:pPr>
      <w:r w:rsidRPr="00214DD4">
        <w:t>2.</w:t>
      </w:r>
      <w:r w:rsidRPr="00214DD4">
        <w:tab/>
        <w:t>Europaparlamentet uppdrar åt talmannen att översända parlamentets ståndpunkt till rådet, kommissionen och de nationella parlamenten.</w:t>
      </w:r>
    </w:p>
    <w:p w14:paraId="731B5FEA" w14:textId="77777777" w:rsidR="00BD6B8C" w:rsidRPr="00214DD4" w:rsidRDefault="00BD6B8C" w:rsidP="00223B58">
      <w:pPr>
        <w:pStyle w:val="NormalHanging12a"/>
        <w:sectPr w:rsidR="00BD6B8C" w:rsidRPr="00214DD4" w:rsidSect="003C7AD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7B552C16" w14:textId="1F0C0F0D" w:rsidR="006156E9" w:rsidRPr="00214DD4" w:rsidRDefault="006156E9" w:rsidP="00CD3898">
      <w:pPr>
        <w:widowControl/>
        <w:spacing w:before="120" w:after="120" w:line="360" w:lineRule="auto"/>
        <w:rPr>
          <w:rFonts w:eastAsia="Calibri"/>
          <w:b/>
          <w:noProof/>
          <w:szCs w:val="22"/>
          <w:lang w:eastAsia="en-US"/>
        </w:rPr>
      </w:pPr>
      <w:r w:rsidRPr="00214DD4">
        <w:rPr>
          <w:rFonts w:eastAsia="Calibri"/>
          <w:b/>
          <w:noProof/>
          <w:szCs w:val="22"/>
          <w:lang w:eastAsia="en-US"/>
        </w:rPr>
        <w:lastRenderedPageBreak/>
        <w:t>P10_TC1-COD(2025)0407</w:t>
      </w:r>
    </w:p>
    <w:p w14:paraId="10FBD2F7" w14:textId="6F201FFD" w:rsidR="00BD6B8C" w:rsidRPr="00214DD4" w:rsidRDefault="006156E9" w:rsidP="00CD3898">
      <w:pPr>
        <w:widowControl/>
        <w:rPr>
          <w:rFonts w:eastAsia="Calibri"/>
          <w:b/>
          <w:noProof/>
          <w:szCs w:val="22"/>
          <w:lang w:eastAsia="en-US"/>
        </w:rPr>
      </w:pPr>
      <w:r w:rsidRPr="00214DD4">
        <w:rPr>
          <w:rFonts w:eastAsia="Calibri"/>
          <w:b/>
          <w:noProof/>
          <w:szCs w:val="22"/>
          <w:lang w:eastAsia="en-US"/>
        </w:rPr>
        <w:t xml:space="preserve">Europaparlamentets ståndpunkt fastställd vid första behandlingen den </w:t>
      </w:r>
      <w:r w:rsidR="008D60EF" w:rsidRPr="00214DD4">
        <w:rPr>
          <w:rFonts w:eastAsia="Calibri"/>
          <w:b/>
          <w:noProof/>
          <w:szCs w:val="22"/>
          <w:lang w:eastAsia="en-US"/>
        </w:rPr>
        <w:t>7 juli 2026</w:t>
      </w:r>
      <w:r w:rsidRPr="00214DD4">
        <w:rPr>
          <w:rFonts w:eastAsia="Calibri"/>
          <w:b/>
          <w:noProof/>
          <w:szCs w:val="22"/>
          <w:lang w:eastAsia="en-US"/>
        </w:rPr>
        <w:t xml:space="preserve"> inför antagandet av Europaparlamentets och rådets beslut</w:t>
      </w:r>
      <w:r w:rsidR="008D60EF" w:rsidRPr="00214DD4">
        <w:rPr>
          <w:rFonts w:eastAsia="Calibri"/>
          <w:b/>
          <w:noProof/>
          <w:szCs w:val="22"/>
          <w:lang w:eastAsia="en-US"/>
        </w:rPr>
        <w:t xml:space="preserve"> </w:t>
      </w:r>
      <w:r w:rsidRPr="00214DD4">
        <w:rPr>
          <w:rFonts w:eastAsia="Calibri"/>
          <w:b/>
          <w:noProof/>
          <w:szCs w:val="22"/>
          <w:lang w:eastAsia="en-US"/>
        </w:rPr>
        <w:t>(EU) 202</w:t>
      </w:r>
      <w:r w:rsidR="008D60EF" w:rsidRPr="00214DD4">
        <w:rPr>
          <w:rFonts w:eastAsia="Calibri"/>
          <w:b/>
          <w:noProof/>
          <w:szCs w:val="22"/>
          <w:lang w:eastAsia="en-US"/>
        </w:rPr>
        <w:t>6</w:t>
      </w:r>
      <w:r w:rsidRPr="00214DD4">
        <w:rPr>
          <w:rFonts w:eastAsia="Calibri"/>
          <w:b/>
          <w:noProof/>
          <w:szCs w:val="22"/>
          <w:lang w:eastAsia="en-US"/>
        </w:rPr>
        <w:t xml:space="preserve">/… </w:t>
      </w:r>
      <w:r w:rsidR="00BD6B8C" w:rsidRPr="00214DD4">
        <w:rPr>
          <w:rFonts w:eastAsia="Calibri"/>
          <w:b/>
          <w:noProof/>
          <w:szCs w:val="22"/>
          <w:lang w:eastAsia="en-US"/>
        </w:rPr>
        <w:t xml:space="preserve">om bemyndigande för Österrike att ändra sitt bilaterala avtal om vägtransporter med Schweiz i syfte att tillåta cabotagetrafik vid internationella persontransporter med buss i de båda ländernas gränsregioner </w:t>
      </w:r>
    </w:p>
    <w:p w14:paraId="27D912F7" w14:textId="77777777" w:rsidR="00BD6B8C" w:rsidRPr="00214DD4" w:rsidRDefault="00BD6B8C" w:rsidP="00BD6B8C">
      <w:pPr>
        <w:keepNext/>
        <w:widowControl/>
        <w:spacing w:before="600" w:after="120" w:line="360" w:lineRule="auto"/>
        <w:jc w:val="both"/>
        <w:rPr>
          <w:rFonts w:eastAsia="Calibri"/>
          <w:noProof/>
          <w:szCs w:val="22"/>
          <w:lang w:eastAsia="en-US"/>
        </w:rPr>
      </w:pPr>
      <w:r w:rsidRPr="00214DD4">
        <w:rPr>
          <w:rFonts w:eastAsia="Calibri"/>
          <w:noProof/>
          <w:szCs w:val="22"/>
          <w:lang w:eastAsia="en-US"/>
        </w:rPr>
        <w:t>EUROPAPARLAMENTET OCH EUROPEISKA UNIONENS RÅD HAR ANTAGIT DETTA BESLUT</w:t>
      </w:r>
    </w:p>
    <w:p w14:paraId="4DB96146"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 xml:space="preserve">med beaktande av fördraget om Europeiska unionens funktionssätt, särskilt </w:t>
      </w:r>
      <w:r w:rsidRPr="00214DD4">
        <w:rPr>
          <w:rFonts w:eastAsia="Calibri"/>
          <w:b/>
          <w:bCs/>
          <w:i/>
          <w:iCs/>
          <w:noProof/>
          <w:szCs w:val="22"/>
          <w:lang w:eastAsia="en-US"/>
        </w:rPr>
        <w:t>artikel</w:t>
      </w:r>
      <w:r w:rsidRPr="00214DD4">
        <w:rPr>
          <w:rFonts w:eastAsia="Calibri"/>
          <w:noProof/>
          <w:szCs w:val="22"/>
          <w:lang w:eastAsia="en-US"/>
        </w:rPr>
        <w:t> 91,</w:t>
      </w:r>
    </w:p>
    <w:p w14:paraId="5BD5A893"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med beaktande av Europeiska kommissionens förslag,</w:t>
      </w:r>
    </w:p>
    <w:p w14:paraId="2EB0E9B1"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efter översändande av utkastet till lagstiftningsakt till de nationella parlamenten,</w:t>
      </w:r>
    </w:p>
    <w:p w14:paraId="5402006B"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med beaktande av Europeiska ekonomiska och sociala kommitténs yttrande</w:t>
      </w:r>
      <w:r w:rsidRPr="00214DD4">
        <w:rPr>
          <w:rFonts w:eastAsia="Calibri"/>
          <w:b/>
          <w:bCs/>
          <w:noProof/>
          <w:szCs w:val="22"/>
          <w:vertAlign w:val="superscript"/>
          <w:lang w:eastAsia="en-US"/>
        </w:rPr>
        <w:footnoteReference w:id="2"/>
      </w:r>
      <w:r w:rsidRPr="00214DD4">
        <w:rPr>
          <w:rFonts w:eastAsia="Calibri"/>
          <w:noProof/>
          <w:szCs w:val="22"/>
          <w:lang w:eastAsia="en-US"/>
        </w:rPr>
        <w:t>,</w:t>
      </w:r>
    </w:p>
    <w:p w14:paraId="6BD6EFE5"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efter att ha hört Regionkommittén,</w:t>
      </w:r>
    </w:p>
    <w:p w14:paraId="2FBE1B07" w14:textId="5EC1F4BB"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i enlighet med det ordinarie lagstiftningsförfarandet</w:t>
      </w:r>
      <w:r w:rsidR="00CC3C12" w:rsidRPr="00214DD4">
        <w:rPr>
          <w:rStyle w:val="FootnoteReference"/>
          <w:rFonts w:eastAsia="Calibri"/>
          <w:noProof/>
          <w:szCs w:val="22"/>
          <w:lang w:eastAsia="en-US"/>
        </w:rPr>
        <w:footnoteReference w:id="3"/>
      </w:r>
      <w:r w:rsidRPr="00214DD4">
        <w:rPr>
          <w:rFonts w:eastAsia="Calibri"/>
          <w:noProof/>
          <w:szCs w:val="22"/>
          <w:lang w:eastAsia="en-US"/>
        </w:rPr>
        <w:t>, och</w:t>
      </w:r>
    </w:p>
    <w:p w14:paraId="2B1FB8AE" w14:textId="77777777" w:rsidR="00BD6B8C" w:rsidRPr="00214DD4" w:rsidRDefault="00BD6B8C" w:rsidP="00BD6B8C">
      <w:pPr>
        <w:widowControl/>
        <w:spacing w:after="200" w:line="360" w:lineRule="auto"/>
        <w:rPr>
          <w:rFonts w:eastAsia="Calibri"/>
          <w:noProof/>
          <w:szCs w:val="22"/>
          <w:lang w:eastAsia="en-US"/>
        </w:rPr>
      </w:pPr>
      <w:r w:rsidRPr="00214DD4">
        <w:rPr>
          <w:rFonts w:eastAsia="Calibri"/>
          <w:noProof/>
          <w:szCs w:val="22"/>
          <w:lang w:eastAsia="en-US"/>
        </w:rPr>
        <w:br w:type="page"/>
      </w:r>
    </w:p>
    <w:p w14:paraId="7AFCBC94"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lastRenderedPageBreak/>
        <w:t>av följande skäl:</w:t>
      </w:r>
    </w:p>
    <w:p w14:paraId="4CDB8402" w14:textId="77777777" w:rsidR="00BD6B8C" w:rsidRPr="00214DD4" w:rsidRDefault="00BD6B8C" w:rsidP="004B458D">
      <w:pPr>
        <w:widowControl/>
        <w:spacing w:before="120" w:after="120" w:line="360" w:lineRule="auto"/>
        <w:ind w:left="709" w:hanging="709"/>
        <w:rPr>
          <w:rFonts w:eastAsia="Calibri"/>
          <w:noProof/>
          <w:szCs w:val="22"/>
          <w:lang w:eastAsia="en-US"/>
        </w:rPr>
      </w:pPr>
      <w:bookmarkStart w:id="8" w:name="_Hlk211264391"/>
      <w:r w:rsidRPr="00214DD4">
        <w:rPr>
          <w:rFonts w:eastAsia="Calibri"/>
          <w:noProof/>
          <w:szCs w:val="22"/>
          <w:lang w:eastAsia="en-US"/>
        </w:rPr>
        <w:t>(1)</w:t>
      </w:r>
      <w:r w:rsidRPr="00214DD4">
        <w:rPr>
          <w:rFonts w:eastAsia="Calibri"/>
          <w:noProof/>
          <w:szCs w:val="22"/>
          <w:lang w:eastAsia="en-US"/>
        </w:rPr>
        <w:tab/>
        <w:t>I enlighet med artikel 20.1 i avtalet mellan Europeiska gemenskapen och Schweiziska edsförbundet om gods- och persontransporter på väg och järnväg</w:t>
      </w:r>
      <w:r w:rsidRPr="00214DD4">
        <w:rPr>
          <w:rFonts w:eastAsia="Calibri"/>
          <w:b/>
          <w:bCs/>
          <w:noProof/>
          <w:szCs w:val="22"/>
          <w:vertAlign w:val="superscript"/>
          <w:lang w:eastAsia="en-US"/>
        </w:rPr>
        <w:footnoteReference w:id="4"/>
      </w:r>
      <w:r w:rsidRPr="00214DD4">
        <w:rPr>
          <w:rFonts w:eastAsia="Calibri"/>
          <w:noProof/>
          <w:szCs w:val="22"/>
          <w:lang w:eastAsia="en-US"/>
        </w:rPr>
        <w:t xml:space="preserve"> (</w:t>
      </w:r>
      <w:r w:rsidRPr="00214DD4">
        <w:rPr>
          <w:rFonts w:eastAsia="Calibri"/>
          <w:i/>
          <w:noProof/>
          <w:szCs w:val="22"/>
          <w:lang w:eastAsia="en-US"/>
        </w:rPr>
        <w:t>avtalet mellan EU och Schweiz</w:t>
      </w:r>
      <w:r w:rsidRPr="00214DD4">
        <w:rPr>
          <w:rFonts w:eastAsia="Calibri"/>
          <w:noProof/>
          <w:szCs w:val="22"/>
          <w:lang w:eastAsia="en-US"/>
        </w:rPr>
        <w:t>) är persontransporter med buss mellan två orter belägna på territoriet för en och samma avtalsslutande part i avtalet mellan EU och Schweiz  och som utförs av transportföretag som är etablerade i den andra avtalsslutande parten, så kallad cabotage, inte tillåtna.</w:t>
      </w:r>
    </w:p>
    <w:p w14:paraId="1C641F83"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t>(2)</w:t>
      </w:r>
      <w:r w:rsidRPr="00214DD4">
        <w:rPr>
          <w:rFonts w:eastAsia="Calibri"/>
          <w:noProof/>
          <w:szCs w:val="22"/>
          <w:lang w:eastAsia="en-US"/>
        </w:rPr>
        <w:tab/>
        <w:t>I enlighet med artikel 20.2 i avtalet mellan EU och Schweiz kan befintliga cabotagerättigheter som fastställs i bilaterala avtal som ingåtts mellan medlemsstaterna och Schweiz och som gällde när avtalet mellan EU och Schweiz ingicks den 21 juni 1999 fortsätta att tillämpas, förutsatt att ingen diskriminering sker mellan transportföretag som är etablerade i unionen och att konkurrensen inte snedvrids. Det bilaterala avtalet om vägtransporter mellan Österrike och Schweiz av den 22 oktober 1958</w:t>
      </w:r>
      <w:r w:rsidRPr="00214DD4">
        <w:rPr>
          <w:rFonts w:eastAsia="Calibri"/>
          <w:b/>
          <w:bCs/>
          <w:noProof/>
          <w:szCs w:val="22"/>
          <w:vertAlign w:val="superscript"/>
          <w:lang w:eastAsia="en-US"/>
        </w:rPr>
        <w:footnoteReference w:id="5"/>
      </w:r>
      <w:r w:rsidRPr="00214DD4">
        <w:rPr>
          <w:rFonts w:eastAsia="Calibri"/>
          <w:noProof/>
          <w:szCs w:val="22"/>
          <w:lang w:eastAsia="en-US"/>
        </w:rPr>
        <w:t xml:space="preserve"> (</w:t>
      </w:r>
      <w:r w:rsidRPr="00214DD4">
        <w:rPr>
          <w:rFonts w:eastAsia="Calibri"/>
          <w:i/>
          <w:iCs/>
          <w:noProof/>
          <w:szCs w:val="22"/>
          <w:lang w:eastAsia="en-US"/>
        </w:rPr>
        <w:t>avtalet mellan Österrike och Schweiz</w:t>
      </w:r>
      <w:r w:rsidRPr="00214DD4">
        <w:rPr>
          <w:rFonts w:eastAsia="Calibri"/>
          <w:noProof/>
          <w:szCs w:val="22"/>
          <w:lang w:eastAsia="en-US"/>
        </w:rPr>
        <w:t>) tillåter inte cabotagetrafik vid internationella persontransporter med buss mellan de båda länderna. Rättigheten att bedriva sådan trafik ingår därför inte i de rättigheter som fastställs i artikel 20.2 i avtalet mellan EU och Schweiz.</w:t>
      </w:r>
    </w:p>
    <w:p w14:paraId="4819B5D0" w14:textId="77777777" w:rsidR="00BD6B8C" w:rsidRPr="00214DD4" w:rsidRDefault="00BD6B8C" w:rsidP="004B458D">
      <w:pPr>
        <w:widowControl/>
        <w:spacing w:after="200" w:line="360" w:lineRule="auto"/>
        <w:rPr>
          <w:rFonts w:eastAsia="Calibri"/>
          <w:noProof/>
          <w:szCs w:val="22"/>
          <w:lang w:eastAsia="en-US"/>
        </w:rPr>
      </w:pPr>
      <w:r w:rsidRPr="00214DD4">
        <w:rPr>
          <w:rFonts w:eastAsia="Calibri"/>
          <w:noProof/>
          <w:szCs w:val="22"/>
          <w:lang w:eastAsia="en-US"/>
        </w:rPr>
        <w:br w:type="page"/>
      </w:r>
    </w:p>
    <w:p w14:paraId="1D60C282"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lastRenderedPageBreak/>
        <w:t>(3)</w:t>
      </w:r>
      <w:r w:rsidRPr="00214DD4">
        <w:rPr>
          <w:rFonts w:eastAsia="Calibri"/>
          <w:noProof/>
          <w:szCs w:val="22"/>
          <w:lang w:eastAsia="en-US"/>
        </w:rPr>
        <w:tab/>
        <w:t>Internationella åtaganden som tillåter transportföretag som är etablerade i Schweiz att bedriva cabotagetrafik inom unionen kan komma att påverka artikel 20 i avtalet mellan EU och Schweiz, eftersom den artikeln inte tillåter sådan verksamhet.</w:t>
      </w:r>
    </w:p>
    <w:p w14:paraId="2412B5D1"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t>(4)</w:t>
      </w:r>
      <w:r w:rsidRPr="00214DD4">
        <w:rPr>
          <w:rFonts w:eastAsia="Calibri"/>
          <w:noProof/>
          <w:szCs w:val="22"/>
          <w:lang w:eastAsia="en-US"/>
        </w:rPr>
        <w:tab/>
        <w:t>Vidare tillåts enligtEuropaparlamentets och rådets förordning (EG) nr 1073/2009</w:t>
      </w:r>
      <w:r w:rsidRPr="00214DD4">
        <w:rPr>
          <w:rFonts w:eastAsia="Calibri"/>
          <w:b/>
          <w:bCs/>
          <w:noProof/>
          <w:szCs w:val="22"/>
          <w:vertAlign w:val="superscript"/>
          <w:lang w:eastAsia="en-US"/>
        </w:rPr>
        <w:footnoteReference w:id="6"/>
      </w:r>
      <w:r w:rsidRPr="00214DD4">
        <w:rPr>
          <w:rFonts w:eastAsia="Calibri"/>
          <w:noProof/>
          <w:szCs w:val="22"/>
          <w:lang w:eastAsia="en-US"/>
        </w:rPr>
        <w:t>, cabotagetrafik inom unionen, på vissa villkor, endast av transportföretag som innehar ett gemenskapstillstånd. Internationella åtaganden som gör det möjligt för transportföretag från tredjeländer, som inte innehar ett sådant tillstånd, att bedriva sådan verksamhet, riskerar att påverka den förordningen.</w:t>
      </w:r>
    </w:p>
    <w:p w14:paraId="7CD5DC6D"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t>(5)</w:t>
      </w:r>
      <w:r w:rsidRPr="00214DD4">
        <w:rPr>
          <w:rFonts w:eastAsia="Calibri"/>
          <w:noProof/>
          <w:szCs w:val="22"/>
          <w:lang w:eastAsia="en-US"/>
        </w:rPr>
        <w:tab/>
        <w:t>Sådana internationella åtaganden omfattas således av unionens exklusiva externa befogenhet. Medlemsstaterna kan förhandla om eller ingå sådana åtaganden endast om de bemyndigats att göra det av unionen i enlighet med artikel 2.1 i fördraget om Europeiska unionens funktionssätt (</w:t>
      </w:r>
      <w:r w:rsidRPr="00214DD4">
        <w:rPr>
          <w:rFonts w:eastAsia="Calibri"/>
          <w:i/>
          <w:iCs/>
          <w:noProof/>
          <w:szCs w:val="22"/>
          <w:lang w:eastAsia="en-US"/>
        </w:rPr>
        <w:t>EUF-fördraget</w:t>
      </w:r>
      <w:r w:rsidRPr="00214DD4">
        <w:rPr>
          <w:rFonts w:eastAsia="Calibri"/>
          <w:noProof/>
          <w:szCs w:val="22"/>
          <w:lang w:eastAsia="en-US"/>
        </w:rPr>
        <w:t>).</w:t>
      </w:r>
    </w:p>
    <w:p w14:paraId="33764912" w14:textId="77777777" w:rsidR="00BD6B8C" w:rsidRPr="00214DD4" w:rsidRDefault="00BD6B8C" w:rsidP="004B458D">
      <w:pPr>
        <w:widowControl/>
        <w:spacing w:after="200" w:line="360" w:lineRule="auto"/>
        <w:rPr>
          <w:rFonts w:eastAsia="Calibri"/>
          <w:noProof/>
          <w:szCs w:val="22"/>
          <w:lang w:eastAsia="en-US"/>
        </w:rPr>
      </w:pPr>
      <w:r w:rsidRPr="00214DD4">
        <w:rPr>
          <w:rFonts w:eastAsia="Calibri"/>
          <w:noProof/>
          <w:szCs w:val="22"/>
          <w:lang w:eastAsia="en-US"/>
        </w:rPr>
        <w:br w:type="page"/>
      </w:r>
    </w:p>
    <w:p w14:paraId="5BDDFA99"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lastRenderedPageBreak/>
        <w:t>(6)</w:t>
      </w:r>
      <w:r w:rsidRPr="00214DD4">
        <w:rPr>
          <w:rFonts w:eastAsia="Calibri"/>
          <w:noProof/>
          <w:szCs w:val="22"/>
          <w:lang w:eastAsia="en-US"/>
        </w:rPr>
        <w:tab/>
        <w:t>Cabotagetrafik som utförs inom unionen av transportföretag från tredjeländer som inte innehar ett gemenskapstillstånd enligt förordning (EG) nr 1073/2009 påverkar den inre marknadens funktion vad gäller persontransporter med buss, i enlighet med vad som fastställts genom den förordningen. Därför måste ett bemyndigande enligt artikel 2.1 i EUF-fördraget beviljas av unionslagstiftaren, i enlighet med det lagstiftningsförfarande som avses i artikel 91 i EUF-fördraget.</w:t>
      </w:r>
    </w:p>
    <w:p w14:paraId="6DE3AF39"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t>(7)</w:t>
      </w:r>
      <w:r w:rsidRPr="00214DD4">
        <w:rPr>
          <w:rFonts w:eastAsia="Calibri"/>
          <w:noProof/>
          <w:szCs w:val="22"/>
          <w:lang w:eastAsia="en-US"/>
        </w:rPr>
        <w:tab/>
        <w:t xml:space="preserve">Genom en skrivelse av den 17 mars 2025 begärde Österrike ett bemyndigande från unionen att få ändra avtalet mellan Österrike och Schweiz i syfte att tillåta cabotagetrafik vid internationella persontransporter med buss i gränsregionerna i Österrike och Schweiz </w:t>
      </w:r>
      <w:r w:rsidRPr="00214DD4">
        <w:rPr>
          <w:rFonts w:eastAsia="Calibri"/>
          <w:b/>
          <w:bCs/>
          <w:i/>
          <w:iCs/>
          <w:noProof/>
          <w:szCs w:val="22"/>
          <w:lang w:eastAsia="en-US"/>
        </w:rPr>
        <w:t>och därigenom främja en större territoriell sammanhållning.</w:t>
      </w:r>
    </w:p>
    <w:p w14:paraId="52C61046"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t>(8)</w:t>
      </w:r>
      <w:r w:rsidRPr="00214DD4">
        <w:rPr>
          <w:rFonts w:eastAsia="Calibri"/>
          <w:noProof/>
          <w:szCs w:val="22"/>
          <w:lang w:eastAsia="en-US"/>
        </w:rPr>
        <w:tab/>
        <w:t>Cabotagetrafik gör det möjligt att öka fordonens lastfaktor, vilket gör internationella persontransporter med buss ekonomiskt effektivare. Det är därför lämpligt att tillåta sådan verksamhet vid internationella persontransporter med buss i gränsregionerna i Österrike och Schweiz. Detta skulle ytterligare kunna stärka den nära integrationen av dessa gränsregioner.</w:t>
      </w:r>
    </w:p>
    <w:p w14:paraId="136B1CEF" w14:textId="77777777" w:rsidR="00BD6B8C" w:rsidRPr="00214DD4" w:rsidRDefault="00BD6B8C" w:rsidP="004B458D">
      <w:pPr>
        <w:widowControl/>
        <w:spacing w:after="200" w:line="360" w:lineRule="auto"/>
        <w:rPr>
          <w:rFonts w:eastAsia="Calibri"/>
          <w:noProof/>
          <w:szCs w:val="22"/>
          <w:lang w:eastAsia="en-US"/>
        </w:rPr>
      </w:pPr>
      <w:r w:rsidRPr="00214DD4">
        <w:rPr>
          <w:rFonts w:eastAsia="Calibri"/>
          <w:noProof/>
          <w:szCs w:val="22"/>
          <w:lang w:eastAsia="en-US"/>
        </w:rPr>
        <w:br w:type="page"/>
      </w:r>
    </w:p>
    <w:p w14:paraId="0F41A597"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lastRenderedPageBreak/>
        <w:t>(9)</w:t>
      </w:r>
      <w:r w:rsidRPr="00214DD4">
        <w:rPr>
          <w:rFonts w:eastAsia="Calibri"/>
          <w:noProof/>
          <w:szCs w:val="22"/>
          <w:lang w:eastAsia="en-US"/>
        </w:rPr>
        <w:tab/>
        <w:t>För att säkerställa att den berörda cabotagetrafiken inte i alltför hög grad påverkar den inre marknaden för persontransporter med buss, i enlighet med förordning (EG) nr 1073/2009, bör tilllåtandet av sådan cabotagetrafik ske på villkor att det inte sker någon diskriminering mellan transportföretag som är etablerade i unionen och att konkurrensen inte snedvrids.</w:t>
      </w:r>
    </w:p>
    <w:p w14:paraId="647A3E23" w14:textId="77777777" w:rsidR="00BD6B8C" w:rsidRPr="00214DD4" w:rsidRDefault="00BD6B8C" w:rsidP="004B458D">
      <w:pPr>
        <w:widowControl/>
        <w:spacing w:before="120" w:after="120" w:line="360" w:lineRule="auto"/>
        <w:ind w:left="709" w:hanging="709"/>
        <w:rPr>
          <w:rFonts w:eastAsia="Calibri"/>
          <w:noProof/>
          <w:szCs w:val="22"/>
          <w:lang w:eastAsia="en-US"/>
        </w:rPr>
      </w:pPr>
      <w:r w:rsidRPr="00214DD4">
        <w:rPr>
          <w:rFonts w:eastAsia="Calibri"/>
          <w:noProof/>
          <w:szCs w:val="22"/>
          <w:lang w:eastAsia="en-US"/>
        </w:rPr>
        <w:t>(10)</w:t>
      </w:r>
      <w:r w:rsidRPr="00214DD4">
        <w:rPr>
          <w:rFonts w:eastAsia="Calibri"/>
          <w:noProof/>
          <w:szCs w:val="22"/>
          <w:lang w:eastAsia="en-US"/>
        </w:rPr>
        <w:tab/>
        <w:t>Av samma skäl bör cabotagetrafik endast tillåtas i Österrikes gränsregioner vid internationella persontransporter med buss mellan Österrike och Schweiz. I detta syfte är det nödvändigt att definiera gränsregionerna i Österrike i den mening som avses i detta beslut på ett sätt som tar vederbörlig hänsyn till hur förordning (EG) nr 1073/2009 tillämpas och som samtidigt gör att den berörda verksamheten effektiviseras.</w:t>
      </w:r>
    </w:p>
    <w:bookmarkEnd w:id="8"/>
    <w:p w14:paraId="40AEABF7" w14:textId="77777777" w:rsidR="00BD6B8C" w:rsidRPr="00214DD4" w:rsidRDefault="00BD6B8C" w:rsidP="00BD6B8C">
      <w:pPr>
        <w:keepNext/>
        <w:widowControl/>
        <w:spacing w:before="120" w:after="120" w:line="360" w:lineRule="auto"/>
        <w:jc w:val="both"/>
        <w:rPr>
          <w:rFonts w:eastAsia="Calibri"/>
          <w:noProof/>
          <w:szCs w:val="22"/>
          <w:lang w:eastAsia="en-US"/>
        </w:rPr>
      </w:pPr>
      <w:r w:rsidRPr="00214DD4">
        <w:rPr>
          <w:rFonts w:eastAsia="Calibri"/>
          <w:noProof/>
          <w:szCs w:val="22"/>
          <w:lang w:eastAsia="en-US"/>
        </w:rPr>
        <w:t>HÄRIGENOM FÖRESKRIVS FÖLJANDE.</w:t>
      </w:r>
    </w:p>
    <w:p w14:paraId="0808081D" w14:textId="77777777" w:rsidR="00BD6B8C" w:rsidRPr="00214DD4" w:rsidRDefault="00BD6B8C" w:rsidP="00BD6B8C">
      <w:pPr>
        <w:widowControl/>
        <w:spacing w:after="200" w:line="360" w:lineRule="auto"/>
        <w:rPr>
          <w:rFonts w:eastAsia="Calibri"/>
          <w:i/>
          <w:noProof/>
          <w:szCs w:val="22"/>
          <w:lang w:eastAsia="en-US"/>
        </w:rPr>
      </w:pPr>
      <w:r w:rsidRPr="00214DD4">
        <w:rPr>
          <w:rFonts w:eastAsia="Calibri"/>
          <w:noProof/>
          <w:szCs w:val="22"/>
          <w:lang w:eastAsia="en-US"/>
        </w:rPr>
        <w:br w:type="page"/>
      </w:r>
    </w:p>
    <w:p w14:paraId="372BEACC" w14:textId="77777777" w:rsidR="00BD6B8C" w:rsidRPr="00214DD4" w:rsidRDefault="00BD6B8C" w:rsidP="00BD6B8C">
      <w:pPr>
        <w:keepNext/>
        <w:widowControl/>
        <w:spacing w:before="360" w:after="120" w:line="360" w:lineRule="auto"/>
        <w:jc w:val="center"/>
        <w:rPr>
          <w:rFonts w:eastAsia="Calibri"/>
          <w:iCs/>
          <w:noProof/>
          <w:szCs w:val="22"/>
          <w:lang w:eastAsia="en-US"/>
        </w:rPr>
      </w:pPr>
      <w:r w:rsidRPr="00214DD4">
        <w:rPr>
          <w:rFonts w:eastAsia="Calibri"/>
          <w:iCs/>
          <w:noProof/>
          <w:szCs w:val="22"/>
          <w:lang w:eastAsia="en-US"/>
        </w:rPr>
        <w:lastRenderedPageBreak/>
        <w:t>Artikel 1</w:t>
      </w:r>
    </w:p>
    <w:p w14:paraId="2ADB58AC"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Österrike bemyndigas härmed att ändra det bilaterala avtalet mellan Österrike och Schweiz av den 22 oktober 1958 (</w:t>
      </w:r>
      <w:r w:rsidRPr="00214DD4">
        <w:rPr>
          <w:rFonts w:eastAsia="Calibri"/>
          <w:i/>
          <w:iCs/>
          <w:noProof/>
          <w:szCs w:val="22"/>
          <w:lang w:eastAsia="en-US"/>
        </w:rPr>
        <w:t>avtalet mellan Österrike och Schweiz</w:t>
      </w:r>
      <w:r w:rsidRPr="00214DD4">
        <w:rPr>
          <w:rFonts w:eastAsia="Calibri"/>
          <w:noProof/>
          <w:szCs w:val="22"/>
          <w:lang w:eastAsia="en-US"/>
        </w:rPr>
        <w:t>) i syfte att tillåta cabotagetrafik i gränsregionerna i Österrike och Schweiz vid internationella persontransporter med buss mellan de båda länderna, under förutsättning att det inte sker någon diskriminering mellan transportföretag som är etablerade i unionen och att konkurrensen inte snedvrids.</w:t>
      </w:r>
    </w:p>
    <w:p w14:paraId="3BE579AE" w14:textId="77777777" w:rsidR="00BD6B8C" w:rsidRPr="00214DD4" w:rsidRDefault="00BD6B8C" w:rsidP="00BD6B8C">
      <w:pPr>
        <w:widowControl/>
        <w:spacing w:before="120" w:after="120" w:line="360" w:lineRule="auto"/>
        <w:jc w:val="both"/>
        <w:rPr>
          <w:rFonts w:eastAsia="Calibri"/>
          <w:noProof/>
          <w:szCs w:val="22"/>
          <w:lang w:eastAsia="en-US"/>
        </w:rPr>
      </w:pPr>
      <w:r w:rsidRPr="00214DD4">
        <w:rPr>
          <w:rFonts w:eastAsia="Calibri"/>
          <w:noProof/>
          <w:szCs w:val="22"/>
          <w:lang w:eastAsia="en-US"/>
        </w:rPr>
        <w:t>De administrativa områdena Bludenz, Bregenz, Dornbirn och Feldkirch i regionen Vorarlberg samt området Landeck i regionen Tyrolen ska anses vara gränsregioner i Österrike i den mening som avses i första stycket.</w:t>
      </w:r>
    </w:p>
    <w:p w14:paraId="6D79CEB7" w14:textId="77777777" w:rsidR="00BD6B8C" w:rsidRPr="00214DD4" w:rsidRDefault="00BD6B8C" w:rsidP="00BD6B8C">
      <w:pPr>
        <w:widowControl/>
        <w:spacing w:after="200" w:line="360" w:lineRule="auto"/>
        <w:rPr>
          <w:rFonts w:eastAsia="Calibri"/>
          <w:i/>
          <w:noProof/>
          <w:szCs w:val="22"/>
          <w:lang w:eastAsia="en-US"/>
        </w:rPr>
      </w:pPr>
      <w:r w:rsidRPr="00214DD4">
        <w:rPr>
          <w:rFonts w:eastAsia="Calibri"/>
          <w:noProof/>
          <w:szCs w:val="22"/>
          <w:lang w:eastAsia="en-US"/>
        </w:rPr>
        <w:br w:type="page"/>
      </w:r>
    </w:p>
    <w:p w14:paraId="74FC3FC2" w14:textId="77777777" w:rsidR="00BD6B8C" w:rsidRPr="00214DD4" w:rsidRDefault="00BD6B8C" w:rsidP="00BD6B8C">
      <w:pPr>
        <w:keepNext/>
        <w:widowControl/>
        <w:spacing w:before="360" w:after="120" w:line="360" w:lineRule="auto"/>
        <w:jc w:val="center"/>
        <w:rPr>
          <w:rFonts w:eastAsia="Calibri"/>
          <w:iCs/>
          <w:noProof/>
          <w:szCs w:val="22"/>
          <w:lang w:eastAsia="en-US"/>
        </w:rPr>
      </w:pPr>
      <w:r w:rsidRPr="00214DD4">
        <w:rPr>
          <w:rFonts w:eastAsia="Calibri"/>
          <w:iCs/>
          <w:noProof/>
          <w:szCs w:val="22"/>
          <w:lang w:eastAsia="en-US"/>
        </w:rPr>
        <w:lastRenderedPageBreak/>
        <w:t>Artikel 2</w:t>
      </w:r>
    </w:p>
    <w:p w14:paraId="0C26EA4B" w14:textId="77777777" w:rsidR="00BD6B8C" w:rsidRPr="00214DD4" w:rsidRDefault="00BD6B8C" w:rsidP="00BD6B8C">
      <w:pPr>
        <w:keepLines/>
        <w:widowControl/>
        <w:spacing w:before="120" w:after="120" w:line="360" w:lineRule="auto"/>
        <w:jc w:val="both"/>
        <w:rPr>
          <w:rFonts w:eastAsia="Calibri"/>
          <w:noProof/>
          <w:szCs w:val="22"/>
          <w:lang w:eastAsia="en-US"/>
        </w:rPr>
      </w:pPr>
      <w:r w:rsidRPr="00214DD4">
        <w:rPr>
          <w:rFonts w:eastAsia="Calibri"/>
          <w:noProof/>
          <w:szCs w:val="22"/>
          <w:lang w:eastAsia="en-US"/>
        </w:rPr>
        <w:t>Österrike ska underrätta kommissionen om ändringen av avtalet mellan Österrike och Schweiz enligt artikel 1 i detta beslut och ska meddela kommissionen texten till det ändrade avtalet.</w:t>
      </w:r>
    </w:p>
    <w:p w14:paraId="4BF6F99D" w14:textId="77777777" w:rsidR="00BD6B8C" w:rsidRPr="00214DD4" w:rsidRDefault="00BD6B8C" w:rsidP="00BD6B8C">
      <w:pPr>
        <w:keepLines/>
        <w:widowControl/>
        <w:spacing w:before="120" w:after="120" w:line="360" w:lineRule="auto"/>
        <w:jc w:val="both"/>
        <w:rPr>
          <w:rFonts w:eastAsia="Calibri"/>
          <w:noProof/>
          <w:szCs w:val="22"/>
          <w:lang w:eastAsia="en-US"/>
        </w:rPr>
      </w:pPr>
      <w:r w:rsidRPr="00214DD4">
        <w:rPr>
          <w:rFonts w:eastAsia="Calibri"/>
          <w:noProof/>
          <w:szCs w:val="22"/>
          <w:lang w:eastAsia="en-US"/>
        </w:rPr>
        <w:t>Kommissionen ska informera Europaparlamentet och rådet om detta.</w:t>
      </w:r>
    </w:p>
    <w:p w14:paraId="5CD2E8FB" w14:textId="77777777" w:rsidR="00BD6B8C" w:rsidRPr="00214DD4" w:rsidRDefault="00BD6B8C" w:rsidP="00BD6B8C">
      <w:pPr>
        <w:keepNext/>
        <w:widowControl/>
        <w:spacing w:before="360" w:after="120" w:line="360" w:lineRule="auto"/>
        <w:jc w:val="center"/>
        <w:rPr>
          <w:rFonts w:eastAsia="Calibri"/>
          <w:iCs/>
          <w:noProof/>
          <w:szCs w:val="22"/>
          <w:lang w:eastAsia="en-US"/>
        </w:rPr>
      </w:pPr>
      <w:r w:rsidRPr="00214DD4">
        <w:rPr>
          <w:rFonts w:eastAsia="Calibri"/>
          <w:iCs/>
          <w:noProof/>
          <w:szCs w:val="22"/>
          <w:lang w:eastAsia="en-US"/>
        </w:rPr>
        <w:t>Artikel 3</w:t>
      </w:r>
    </w:p>
    <w:p w14:paraId="2240C312" w14:textId="77777777" w:rsidR="00BD6B8C" w:rsidRPr="00214DD4" w:rsidRDefault="00BD6B8C" w:rsidP="00BD6B8C">
      <w:pPr>
        <w:keepNext/>
        <w:keepLines/>
        <w:widowControl/>
        <w:spacing w:before="120" w:after="120" w:line="360" w:lineRule="auto"/>
        <w:jc w:val="both"/>
        <w:rPr>
          <w:rFonts w:eastAsia="Calibri"/>
          <w:noProof/>
          <w:szCs w:val="22"/>
          <w:lang w:eastAsia="en-US"/>
        </w:rPr>
      </w:pPr>
      <w:r w:rsidRPr="00214DD4">
        <w:rPr>
          <w:rFonts w:eastAsia="Calibri"/>
          <w:noProof/>
          <w:szCs w:val="22"/>
          <w:lang w:eastAsia="en-US"/>
        </w:rPr>
        <w:t>Detta beslut riktar sig till Republiken Österrike.</w:t>
      </w:r>
    </w:p>
    <w:p w14:paraId="298853DF" w14:textId="77777777" w:rsidR="00BD6B8C" w:rsidRPr="00214DD4" w:rsidRDefault="00BD6B8C" w:rsidP="00BD6B8C">
      <w:pPr>
        <w:keepNext/>
        <w:widowControl/>
        <w:spacing w:before="120" w:line="360" w:lineRule="auto"/>
        <w:jc w:val="both"/>
        <w:rPr>
          <w:rFonts w:eastAsia="Calibri"/>
          <w:noProof/>
          <w:szCs w:val="22"/>
          <w:lang w:eastAsia="en-US"/>
        </w:rPr>
      </w:pPr>
      <w:r w:rsidRPr="00214DD4">
        <w:rPr>
          <w:rFonts w:eastAsia="Calibri"/>
          <w:noProof/>
          <w:szCs w:val="22"/>
          <w:lang w:eastAsia="en-US"/>
        </w:rPr>
        <w:t>Utfärdat i … den …</w:t>
      </w:r>
    </w:p>
    <w:p w14:paraId="6E064CAE" w14:textId="77777777" w:rsidR="00BD6B8C" w:rsidRPr="00214DD4" w:rsidRDefault="00BD6B8C" w:rsidP="00BD6B8C">
      <w:pPr>
        <w:keepNext/>
        <w:widowControl/>
        <w:tabs>
          <w:tab w:val="left" w:pos="4252"/>
        </w:tabs>
        <w:spacing w:before="720" w:line="360" w:lineRule="auto"/>
        <w:jc w:val="both"/>
        <w:rPr>
          <w:rFonts w:eastAsia="Calibri"/>
          <w:i/>
          <w:noProof/>
          <w:szCs w:val="22"/>
          <w:lang w:eastAsia="en-US"/>
        </w:rPr>
      </w:pPr>
      <w:r w:rsidRPr="00214DD4">
        <w:rPr>
          <w:rFonts w:eastAsia="Calibri"/>
          <w:i/>
          <w:noProof/>
          <w:szCs w:val="22"/>
          <w:lang w:eastAsia="en-US"/>
        </w:rPr>
        <w:t>På Europaparlamentets vägnar</w:t>
      </w:r>
      <w:r w:rsidRPr="00214DD4">
        <w:rPr>
          <w:rFonts w:eastAsia="Calibri"/>
          <w:i/>
          <w:noProof/>
          <w:szCs w:val="22"/>
          <w:lang w:eastAsia="en-US"/>
        </w:rPr>
        <w:tab/>
        <w:t>På rådets vägnar</w:t>
      </w:r>
    </w:p>
    <w:p w14:paraId="7DB91AAB" w14:textId="77777777" w:rsidR="00BD6B8C" w:rsidRPr="00214DD4" w:rsidRDefault="00BD6B8C" w:rsidP="00BD6B8C">
      <w:pPr>
        <w:widowControl/>
        <w:tabs>
          <w:tab w:val="left" w:pos="4252"/>
        </w:tabs>
        <w:spacing w:line="360" w:lineRule="auto"/>
        <w:rPr>
          <w:rFonts w:eastAsia="Calibri"/>
          <w:i/>
          <w:szCs w:val="22"/>
          <w:lang w:eastAsia="en-US"/>
        </w:rPr>
      </w:pPr>
      <w:r w:rsidRPr="00214DD4">
        <w:rPr>
          <w:rFonts w:eastAsia="Calibri"/>
          <w:i/>
          <w:noProof/>
          <w:szCs w:val="22"/>
          <w:lang w:eastAsia="en-US"/>
        </w:rPr>
        <w:t>Ordförande</w:t>
      </w:r>
      <w:r w:rsidRPr="00214DD4">
        <w:rPr>
          <w:rFonts w:eastAsia="Calibri"/>
          <w:i/>
          <w:noProof/>
          <w:szCs w:val="22"/>
          <w:lang w:eastAsia="en-US"/>
        </w:rPr>
        <w:tab/>
        <w:t>Ordförande</w:t>
      </w:r>
    </w:p>
    <w:p w14:paraId="758899E1" w14:textId="14CC1D40" w:rsidR="00E365E1" w:rsidRPr="00214DD4" w:rsidRDefault="00E365E1" w:rsidP="00B6312F"/>
    <w:sectPr w:rsidR="00E365E1" w:rsidRPr="00214DD4" w:rsidSect="00BD6B8C">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B2FB" w14:textId="77777777" w:rsidR="00B6312F" w:rsidRPr="003C7AD8" w:rsidRDefault="00B6312F">
      <w:r w:rsidRPr="003C7AD8">
        <w:separator/>
      </w:r>
    </w:p>
  </w:endnote>
  <w:endnote w:type="continuationSeparator" w:id="0">
    <w:p w14:paraId="51AADF75" w14:textId="77777777" w:rsidR="00B6312F" w:rsidRPr="003C7AD8" w:rsidRDefault="00B6312F">
      <w:r w:rsidRPr="003C7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9E4A" w14:textId="77777777" w:rsidR="00064002" w:rsidRPr="003C7A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8153" w14:textId="77777777" w:rsidR="00064002" w:rsidRPr="003C7A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F111" w14:textId="77777777" w:rsidR="00064002" w:rsidRPr="003C7A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418B" w14:textId="77777777" w:rsidR="00B6312F" w:rsidRPr="003C7AD8" w:rsidRDefault="00B6312F">
      <w:r w:rsidRPr="003C7AD8">
        <w:separator/>
      </w:r>
    </w:p>
  </w:footnote>
  <w:footnote w:type="continuationSeparator" w:id="0">
    <w:p w14:paraId="076C4806" w14:textId="77777777" w:rsidR="00B6312F" w:rsidRPr="003C7AD8" w:rsidRDefault="00B6312F">
      <w:r w:rsidRPr="003C7AD8">
        <w:continuationSeparator/>
      </w:r>
    </w:p>
  </w:footnote>
  <w:footnote w:id="1">
    <w:p w14:paraId="410A0295" w14:textId="374F32DE" w:rsidR="00223B58" w:rsidRPr="00214DD4" w:rsidRDefault="00223B58" w:rsidP="003C7AD8">
      <w:pPr>
        <w:pStyle w:val="FootnoteText"/>
        <w:ind w:left="567" w:hanging="567"/>
        <w:rPr>
          <w:sz w:val="24"/>
          <w:lang w:val="fi-FI"/>
        </w:rPr>
      </w:pPr>
      <w:r w:rsidRPr="00CD3898">
        <w:rPr>
          <w:rStyle w:val="FootnoteReference"/>
          <w:sz w:val="24"/>
          <w:lang w:val="sv-SE"/>
        </w:rPr>
        <w:footnoteRef/>
      </w:r>
      <w:r w:rsidR="003C7AD8" w:rsidRPr="00214DD4">
        <w:rPr>
          <w:sz w:val="24"/>
          <w:lang w:val="fi-FI"/>
        </w:rPr>
        <w:t xml:space="preserve"> </w:t>
      </w:r>
      <w:r w:rsidR="003C7AD8" w:rsidRPr="00214DD4">
        <w:rPr>
          <w:sz w:val="24"/>
          <w:lang w:val="fi-FI"/>
        </w:rPr>
        <w:tab/>
      </w:r>
      <w:r w:rsidRPr="00214DD4">
        <w:rPr>
          <w:sz w:val="24"/>
          <w:lang w:val="fi-FI"/>
        </w:rPr>
        <w:t xml:space="preserve">EUT C, C/2026/1970, 28.4.2026, ELI: </w:t>
      </w:r>
      <w:hyperlink r:id="rId1" w:history="1">
        <w:r w:rsidRPr="00214DD4">
          <w:rPr>
            <w:rStyle w:val="Hyperlink"/>
            <w:sz w:val="24"/>
            <w:lang w:val="fi-FI"/>
          </w:rPr>
          <w:t>http://data.europa.eu/eli/C/2026/1970/oj</w:t>
        </w:r>
      </w:hyperlink>
    </w:p>
  </w:footnote>
  <w:footnote w:id="2">
    <w:p w14:paraId="402D5C56" w14:textId="78CFAC9B" w:rsidR="00BD6B8C" w:rsidRPr="00CD3898" w:rsidRDefault="00BD6B8C" w:rsidP="00BD6B8C">
      <w:pPr>
        <w:pStyle w:val="FootnoteText"/>
        <w:ind w:left="720" w:hanging="720"/>
        <w:rPr>
          <w:color w:val="000000"/>
          <w:sz w:val="24"/>
          <w:szCs w:val="24"/>
          <w:lang w:val="fi-FI"/>
        </w:rPr>
      </w:pPr>
      <w:r w:rsidRPr="00CD3898">
        <w:rPr>
          <w:rStyle w:val="FootnoteReference"/>
          <w:sz w:val="24"/>
          <w:szCs w:val="24"/>
        </w:rPr>
        <w:footnoteRef/>
      </w:r>
      <w:r w:rsidRPr="00CD3898">
        <w:rPr>
          <w:sz w:val="24"/>
          <w:szCs w:val="24"/>
          <w:lang w:val="fi-FI"/>
        </w:rPr>
        <w:tab/>
        <w:t xml:space="preserve">EUT C, C/2026/1970, 28.4.2026, ELI: </w:t>
      </w:r>
      <w:hyperlink r:id="rId2" w:history="1">
        <w:r w:rsidRPr="00CD3898">
          <w:rPr>
            <w:rStyle w:val="Hyperlink"/>
            <w:sz w:val="24"/>
            <w:szCs w:val="24"/>
            <w:lang w:val="fi-FI"/>
          </w:rPr>
          <w:t>http://data.europa.eu/eli/C/2026/1970/oj</w:t>
        </w:r>
      </w:hyperlink>
      <w:r w:rsidRPr="00CD3898">
        <w:rPr>
          <w:sz w:val="24"/>
          <w:szCs w:val="24"/>
          <w:lang w:val="fi-FI"/>
        </w:rPr>
        <w:t>.</w:t>
      </w:r>
    </w:p>
  </w:footnote>
  <w:footnote w:id="3">
    <w:p w14:paraId="62C4EE98" w14:textId="6B130905" w:rsidR="00CC3C12" w:rsidRPr="00CD3898" w:rsidRDefault="00CC3C12" w:rsidP="00CD3898">
      <w:pPr>
        <w:pStyle w:val="FootnoteText"/>
        <w:ind w:left="709" w:hanging="709"/>
        <w:rPr>
          <w:lang w:val="sv-SE"/>
        </w:rPr>
      </w:pPr>
      <w:r w:rsidRPr="00CD3898">
        <w:rPr>
          <w:rStyle w:val="FootnoteReference"/>
        </w:rPr>
        <w:footnoteRef/>
      </w:r>
      <w:r w:rsidRPr="00CD3898">
        <w:rPr>
          <w:lang w:val="sv-SE"/>
        </w:rPr>
        <w:t xml:space="preserve"> </w:t>
      </w:r>
      <w:r w:rsidRPr="00CD3898">
        <w:rPr>
          <w:lang w:val="sv-SE"/>
        </w:rPr>
        <w:tab/>
      </w:r>
      <w:r w:rsidRPr="00CD3898">
        <w:rPr>
          <w:lang w:val="sv-SE"/>
        </w:rPr>
        <w:tab/>
      </w:r>
      <w:r w:rsidRPr="00CD3898">
        <w:rPr>
          <w:sz w:val="24"/>
          <w:szCs w:val="24"/>
          <w:lang w:val="sv-SE"/>
        </w:rPr>
        <w:t>Europaparlamentets ståndpunkt av den 7 juli 2026.</w:t>
      </w:r>
    </w:p>
  </w:footnote>
  <w:footnote w:id="4">
    <w:p w14:paraId="7C8F2551" w14:textId="650C1281" w:rsidR="00BD6B8C" w:rsidRPr="00CD3898" w:rsidRDefault="00BD6B8C" w:rsidP="000D18A0">
      <w:pPr>
        <w:pStyle w:val="FootnoteText"/>
        <w:ind w:left="709" w:hanging="709"/>
        <w:rPr>
          <w:sz w:val="24"/>
          <w:szCs w:val="24"/>
          <w:lang w:val="de-DE"/>
        </w:rPr>
      </w:pPr>
      <w:r w:rsidRPr="00CD3898">
        <w:rPr>
          <w:rStyle w:val="FootnoteReference"/>
          <w:sz w:val="24"/>
          <w:szCs w:val="24"/>
        </w:rPr>
        <w:footnoteRef/>
      </w:r>
      <w:r w:rsidRPr="00CD3898">
        <w:rPr>
          <w:sz w:val="24"/>
          <w:szCs w:val="24"/>
          <w:lang w:val="de-DE"/>
        </w:rPr>
        <w:tab/>
      </w:r>
      <w:r w:rsidR="000D18A0" w:rsidRPr="00CD3898">
        <w:rPr>
          <w:sz w:val="24"/>
          <w:szCs w:val="24"/>
          <w:lang w:val="de-DE"/>
        </w:rPr>
        <w:tab/>
      </w:r>
      <w:r w:rsidRPr="00CD3898">
        <w:rPr>
          <w:sz w:val="24"/>
          <w:szCs w:val="24"/>
          <w:lang w:val="de-DE"/>
        </w:rPr>
        <w:t>EGT L 114, 30.4.2002, s. 91, ELI: </w:t>
      </w:r>
      <w:hyperlink r:id="rId3" w:tooltip="Ger åtkomst till dokumentet via dess ELI-adress." w:history="1">
        <w:r w:rsidRPr="00CD3898">
          <w:rPr>
            <w:rStyle w:val="Hyperlink"/>
            <w:sz w:val="24"/>
            <w:szCs w:val="24"/>
            <w:lang w:val="de-DE"/>
          </w:rPr>
          <w:t>http://data.europa.eu/eli/agree_internation/2002/309(3)/oj</w:t>
        </w:r>
      </w:hyperlink>
      <w:r w:rsidRPr="00CD3898">
        <w:rPr>
          <w:sz w:val="24"/>
          <w:szCs w:val="24"/>
          <w:lang w:val="de-DE"/>
        </w:rPr>
        <w:t>.</w:t>
      </w:r>
    </w:p>
  </w:footnote>
  <w:footnote w:id="5">
    <w:p w14:paraId="1A978558" w14:textId="4FFDF182" w:rsidR="00BD6B8C" w:rsidRPr="00CD3898" w:rsidRDefault="00BD6B8C" w:rsidP="00BD6B8C">
      <w:pPr>
        <w:pStyle w:val="FootnoteText"/>
        <w:rPr>
          <w:lang w:val="sv-SE"/>
        </w:rPr>
      </w:pPr>
      <w:r w:rsidRPr="00CD3898">
        <w:rPr>
          <w:rStyle w:val="FootnoteReference"/>
          <w:sz w:val="24"/>
          <w:szCs w:val="24"/>
        </w:rPr>
        <w:footnoteRef/>
      </w:r>
      <w:r w:rsidRPr="00CD3898">
        <w:rPr>
          <w:sz w:val="24"/>
          <w:szCs w:val="24"/>
          <w:lang w:val="sv-SE"/>
        </w:rPr>
        <w:tab/>
      </w:r>
      <w:r w:rsidR="000D18A0" w:rsidRPr="00CD3898">
        <w:rPr>
          <w:sz w:val="24"/>
          <w:szCs w:val="24"/>
          <w:lang w:val="sv-SE"/>
        </w:rPr>
        <w:tab/>
      </w:r>
      <w:proofErr w:type="spellStart"/>
      <w:r w:rsidRPr="00CD3898">
        <w:rPr>
          <w:sz w:val="24"/>
          <w:szCs w:val="24"/>
          <w:lang w:val="sv-SE"/>
        </w:rPr>
        <w:t>BGBl</w:t>
      </w:r>
      <w:proofErr w:type="spellEnd"/>
      <w:r w:rsidRPr="00CD3898">
        <w:rPr>
          <w:sz w:val="24"/>
          <w:szCs w:val="24"/>
          <w:lang w:val="sv-SE"/>
        </w:rPr>
        <w:t xml:space="preserve">. (Österrike) </w:t>
      </w:r>
      <w:r w:rsidR="00724FE5" w:rsidRPr="00CD3898">
        <w:rPr>
          <w:sz w:val="24"/>
          <w:szCs w:val="24"/>
          <w:lang w:val="sv-SE"/>
        </w:rPr>
        <w:t>n</w:t>
      </w:r>
      <w:r w:rsidRPr="00CD3898">
        <w:rPr>
          <w:sz w:val="24"/>
          <w:szCs w:val="24"/>
          <w:lang w:val="sv-SE"/>
        </w:rPr>
        <w:t>r. 123/1959.</w:t>
      </w:r>
    </w:p>
  </w:footnote>
  <w:footnote w:id="6">
    <w:p w14:paraId="41E3509E" w14:textId="77140A30" w:rsidR="00BD6B8C" w:rsidRPr="00CD3898" w:rsidRDefault="00BD6B8C" w:rsidP="000D18A0">
      <w:pPr>
        <w:pStyle w:val="FootnoteText"/>
        <w:ind w:left="720" w:hanging="720"/>
        <w:rPr>
          <w:sz w:val="24"/>
          <w:szCs w:val="24"/>
          <w:lang w:val="sv-SE"/>
        </w:rPr>
      </w:pPr>
      <w:r w:rsidRPr="00CD3898">
        <w:rPr>
          <w:rStyle w:val="FootnoteReference"/>
          <w:sz w:val="24"/>
          <w:szCs w:val="24"/>
        </w:rPr>
        <w:footnoteRef/>
      </w:r>
      <w:r w:rsidRPr="00CD3898">
        <w:rPr>
          <w:sz w:val="24"/>
          <w:szCs w:val="24"/>
          <w:lang w:val="sv-SE"/>
        </w:rPr>
        <w:tab/>
        <w:t>Europaparlamentets och rådets förordning (EG) nr 1073/2009 av den 21 oktober 2009 om gemensamma regler för tillträde till den internationella marknaden för persontransporter med buss och om ändring av förordning (EG) nr 561/2006, EUT L 300, 14.11.2009, s. 88, ELI: </w:t>
      </w:r>
      <w:hyperlink r:id="rId4" w:tooltip="Ger åtkomst till dokumentet via dess ELI-adress." w:history="1">
        <w:r w:rsidRPr="00CD3898">
          <w:rPr>
            <w:rStyle w:val="Hyperlink"/>
            <w:sz w:val="24"/>
            <w:szCs w:val="24"/>
            <w:lang w:val="sv-SE"/>
          </w:rPr>
          <w:t>http://data.europa.eu/</w:t>
        </w:r>
        <w:proofErr w:type="spellStart"/>
        <w:r w:rsidRPr="00CD3898">
          <w:rPr>
            <w:rStyle w:val="Hyperlink"/>
            <w:sz w:val="24"/>
            <w:szCs w:val="24"/>
            <w:lang w:val="sv-SE"/>
          </w:rPr>
          <w:t>eli</w:t>
        </w:r>
        <w:proofErr w:type="spellEnd"/>
        <w:r w:rsidRPr="00CD3898">
          <w:rPr>
            <w:rStyle w:val="Hyperlink"/>
            <w:sz w:val="24"/>
            <w:szCs w:val="24"/>
            <w:lang w:val="sv-SE"/>
          </w:rPr>
          <w:t>/</w:t>
        </w:r>
        <w:proofErr w:type="spellStart"/>
        <w:r w:rsidRPr="00CD3898">
          <w:rPr>
            <w:rStyle w:val="Hyperlink"/>
            <w:sz w:val="24"/>
            <w:szCs w:val="24"/>
            <w:lang w:val="sv-SE"/>
          </w:rPr>
          <w:t>reg</w:t>
        </w:r>
        <w:proofErr w:type="spellEnd"/>
        <w:r w:rsidRPr="00CD3898">
          <w:rPr>
            <w:rStyle w:val="Hyperlink"/>
            <w:sz w:val="24"/>
            <w:szCs w:val="24"/>
            <w:lang w:val="sv-SE"/>
          </w:rPr>
          <w:t>/2009/1073/oj</w:t>
        </w:r>
      </w:hyperlink>
      <w:r w:rsidRPr="00CD3898">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FC45" w14:textId="77777777" w:rsidR="00064002" w:rsidRPr="003C7A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D2966" w14:textId="77777777" w:rsidR="00064002" w:rsidRPr="003C7A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3EE4" w14:textId="77777777" w:rsidR="00064002" w:rsidRPr="003C7A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5A5721"/>
    <w:multiLevelType w:val="hybridMultilevel"/>
    <w:tmpl w:val="C480F63A"/>
    <w:lvl w:ilvl="0" w:tplc="543E34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7791912">
    <w:abstractNumId w:val="9"/>
  </w:num>
  <w:num w:numId="2" w16cid:durableId="1825268792">
    <w:abstractNumId w:val="9"/>
  </w:num>
  <w:num w:numId="3" w16cid:durableId="1660498212">
    <w:abstractNumId w:val="7"/>
  </w:num>
  <w:num w:numId="4" w16cid:durableId="664698800">
    <w:abstractNumId w:val="7"/>
  </w:num>
  <w:num w:numId="5" w16cid:durableId="1018000850">
    <w:abstractNumId w:val="6"/>
  </w:num>
  <w:num w:numId="6" w16cid:durableId="668100933">
    <w:abstractNumId w:val="6"/>
  </w:num>
  <w:num w:numId="7" w16cid:durableId="508562945">
    <w:abstractNumId w:val="5"/>
  </w:num>
  <w:num w:numId="8" w16cid:durableId="382994645">
    <w:abstractNumId w:val="5"/>
  </w:num>
  <w:num w:numId="9" w16cid:durableId="1278099166">
    <w:abstractNumId w:val="4"/>
  </w:num>
  <w:num w:numId="10" w16cid:durableId="1107896325">
    <w:abstractNumId w:val="4"/>
  </w:num>
  <w:num w:numId="11" w16cid:durableId="1563717312">
    <w:abstractNumId w:val="8"/>
  </w:num>
  <w:num w:numId="12" w16cid:durableId="1628320529">
    <w:abstractNumId w:val="8"/>
  </w:num>
  <w:num w:numId="13" w16cid:durableId="948121520">
    <w:abstractNumId w:val="3"/>
  </w:num>
  <w:num w:numId="14" w16cid:durableId="1272977260">
    <w:abstractNumId w:val="3"/>
  </w:num>
  <w:num w:numId="15" w16cid:durableId="1965230150">
    <w:abstractNumId w:val="2"/>
  </w:num>
  <w:num w:numId="16" w16cid:durableId="2035227468">
    <w:abstractNumId w:val="2"/>
  </w:num>
  <w:num w:numId="17" w16cid:durableId="1066101166">
    <w:abstractNumId w:val="1"/>
  </w:num>
  <w:num w:numId="18" w16cid:durableId="1534462841">
    <w:abstractNumId w:val="1"/>
  </w:num>
  <w:num w:numId="19" w16cid:durableId="2012828021">
    <w:abstractNumId w:val="0"/>
  </w:num>
  <w:num w:numId="20" w16cid:durableId="1839347436">
    <w:abstractNumId w:val="0"/>
  </w:num>
  <w:num w:numId="21" w16cid:durableId="875315323">
    <w:abstractNumId w:val="9"/>
  </w:num>
  <w:num w:numId="22" w16cid:durableId="21320733">
    <w:abstractNumId w:val="7"/>
  </w:num>
  <w:num w:numId="23" w16cid:durableId="1812554289">
    <w:abstractNumId w:val="6"/>
  </w:num>
  <w:num w:numId="24" w16cid:durableId="2064476132">
    <w:abstractNumId w:val="5"/>
  </w:num>
  <w:num w:numId="25" w16cid:durableId="919339049">
    <w:abstractNumId w:val="4"/>
  </w:num>
  <w:num w:numId="26" w16cid:durableId="578834234">
    <w:abstractNumId w:val="8"/>
  </w:num>
  <w:num w:numId="27" w16cid:durableId="2029790243">
    <w:abstractNumId w:val="3"/>
  </w:num>
  <w:num w:numId="28" w16cid:durableId="1734304309">
    <w:abstractNumId w:val="2"/>
  </w:num>
  <w:num w:numId="29" w16cid:durableId="1416366184">
    <w:abstractNumId w:val="1"/>
  </w:num>
  <w:num w:numId="30" w16cid:durableId="163982737">
    <w:abstractNumId w:val="0"/>
  </w:num>
  <w:num w:numId="31" w16cid:durableId="1681467307">
    <w:abstractNumId w:val="9"/>
  </w:num>
  <w:num w:numId="32" w16cid:durableId="1264072193">
    <w:abstractNumId w:val="7"/>
  </w:num>
  <w:num w:numId="33" w16cid:durableId="1880512116">
    <w:abstractNumId w:val="6"/>
  </w:num>
  <w:num w:numId="34" w16cid:durableId="129371095">
    <w:abstractNumId w:val="5"/>
  </w:num>
  <w:num w:numId="35" w16cid:durableId="627130083">
    <w:abstractNumId w:val="4"/>
  </w:num>
  <w:num w:numId="36" w16cid:durableId="1024096454">
    <w:abstractNumId w:val="8"/>
  </w:num>
  <w:num w:numId="37" w16cid:durableId="918641161">
    <w:abstractNumId w:val="3"/>
  </w:num>
  <w:num w:numId="38" w16cid:durableId="1621112786">
    <w:abstractNumId w:val="2"/>
  </w:num>
  <w:num w:numId="39" w16cid:durableId="332071327">
    <w:abstractNumId w:val="1"/>
  </w:num>
  <w:num w:numId="40" w16cid:durableId="665595570">
    <w:abstractNumId w:val="0"/>
  </w:num>
  <w:num w:numId="41" w16cid:durableId="738526374">
    <w:abstractNumId w:val="10"/>
  </w:num>
  <w:num w:numId="42" w16cid:durableId="354959899">
    <w:abstractNumId w:val="10"/>
  </w:num>
  <w:num w:numId="43" w16cid:durableId="938216126">
    <w:abstractNumId w:val="10"/>
  </w:num>
  <w:num w:numId="44" w16cid:durableId="821048141">
    <w:abstractNumId w:val="12"/>
  </w:num>
  <w:num w:numId="45" w16cid:durableId="146676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SV"/>
    <w:docVar w:name="dvnumam" w:val="2"/>
    <w:docVar w:name="dvpe" w:val="785.404"/>
    <w:docVar w:name="dvrapporteur" w:val="Föredragande: "/>
    <w:docVar w:name="dvstar" w:val="***I"/>
    <w:docVar w:name="dvtitre" w:val="Europaparlamentets lagstiftningsresolution av den xx xx 2026 om förslaget till Europaparlamentets och rådets beslut om bemyndigande för Österrike att ändra sitt befintliga bilaterala avtal om vägtransporter med Schweiz i syfte att tillåta cabotagetrafik vid internationella persontransporter med buss i de båda ländernas gränsregioner(COM(2025)0773 – C10-0367/2025 – 2025/0407(COD))"/>
  </w:docVars>
  <w:rsids>
    <w:rsidRoot w:val="00B6312F"/>
    <w:rsid w:val="00002272"/>
    <w:rsid w:val="00064002"/>
    <w:rsid w:val="000677B9"/>
    <w:rsid w:val="000831BA"/>
    <w:rsid w:val="000A42CC"/>
    <w:rsid w:val="000D18A0"/>
    <w:rsid w:val="000E7DD9"/>
    <w:rsid w:val="0010095E"/>
    <w:rsid w:val="00125B37"/>
    <w:rsid w:val="00187494"/>
    <w:rsid w:val="001F32AE"/>
    <w:rsid w:val="00214DD4"/>
    <w:rsid w:val="00223B58"/>
    <w:rsid w:val="00273D1E"/>
    <w:rsid w:val="002767FF"/>
    <w:rsid w:val="002B18FE"/>
    <w:rsid w:val="002B5493"/>
    <w:rsid w:val="00343214"/>
    <w:rsid w:val="00361C00"/>
    <w:rsid w:val="00395FA1"/>
    <w:rsid w:val="003C3F67"/>
    <w:rsid w:val="003C7AD8"/>
    <w:rsid w:val="003E15D4"/>
    <w:rsid w:val="00411CCE"/>
    <w:rsid w:val="0041666E"/>
    <w:rsid w:val="00421060"/>
    <w:rsid w:val="0046224D"/>
    <w:rsid w:val="00471C19"/>
    <w:rsid w:val="004867E3"/>
    <w:rsid w:val="00494A28"/>
    <w:rsid w:val="004B458D"/>
    <w:rsid w:val="004C0004"/>
    <w:rsid w:val="004C5D52"/>
    <w:rsid w:val="0050312C"/>
    <w:rsid w:val="0050519A"/>
    <w:rsid w:val="005072A1"/>
    <w:rsid w:val="00514517"/>
    <w:rsid w:val="00545827"/>
    <w:rsid w:val="00560270"/>
    <w:rsid w:val="005C2568"/>
    <w:rsid w:val="005F1B17"/>
    <w:rsid w:val="006037C0"/>
    <w:rsid w:val="006156E9"/>
    <w:rsid w:val="006631B6"/>
    <w:rsid w:val="00680577"/>
    <w:rsid w:val="006F74FA"/>
    <w:rsid w:val="00724FE5"/>
    <w:rsid w:val="00731ADD"/>
    <w:rsid w:val="00734777"/>
    <w:rsid w:val="00747932"/>
    <w:rsid w:val="00751A4A"/>
    <w:rsid w:val="00756632"/>
    <w:rsid w:val="00762C74"/>
    <w:rsid w:val="007666FD"/>
    <w:rsid w:val="00786EC0"/>
    <w:rsid w:val="007D1690"/>
    <w:rsid w:val="007E22AD"/>
    <w:rsid w:val="00817416"/>
    <w:rsid w:val="00842779"/>
    <w:rsid w:val="00865F67"/>
    <w:rsid w:val="00881A7B"/>
    <w:rsid w:val="008840E5"/>
    <w:rsid w:val="00887B3E"/>
    <w:rsid w:val="008B12D8"/>
    <w:rsid w:val="008C2AC6"/>
    <w:rsid w:val="008D60EF"/>
    <w:rsid w:val="00930C23"/>
    <w:rsid w:val="0093193B"/>
    <w:rsid w:val="009509D8"/>
    <w:rsid w:val="00950B64"/>
    <w:rsid w:val="00981893"/>
    <w:rsid w:val="009C41DB"/>
    <w:rsid w:val="009C4D97"/>
    <w:rsid w:val="00A1687D"/>
    <w:rsid w:val="00A43E52"/>
    <w:rsid w:val="00A4678D"/>
    <w:rsid w:val="00A778C7"/>
    <w:rsid w:val="00AB441E"/>
    <w:rsid w:val="00AB6293"/>
    <w:rsid w:val="00AE0928"/>
    <w:rsid w:val="00AF3B82"/>
    <w:rsid w:val="00B12E95"/>
    <w:rsid w:val="00B22876"/>
    <w:rsid w:val="00B558F0"/>
    <w:rsid w:val="00B6312F"/>
    <w:rsid w:val="00BD154B"/>
    <w:rsid w:val="00BD48FE"/>
    <w:rsid w:val="00BD6B8C"/>
    <w:rsid w:val="00BD7BD8"/>
    <w:rsid w:val="00BE6ADC"/>
    <w:rsid w:val="00C05BFE"/>
    <w:rsid w:val="00C23CD4"/>
    <w:rsid w:val="00C61C0C"/>
    <w:rsid w:val="00C941CB"/>
    <w:rsid w:val="00CC2357"/>
    <w:rsid w:val="00CC3C12"/>
    <w:rsid w:val="00CD3898"/>
    <w:rsid w:val="00CF071A"/>
    <w:rsid w:val="00D058B8"/>
    <w:rsid w:val="00D56C11"/>
    <w:rsid w:val="00D834A0"/>
    <w:rsid w:val="00D872DF"/>
    <w:rsid w:val="00D91E21"/>
    <w:rsid w:val="00DA7FCD"/>
    <w:rsid w:val="00DD38A2"/>
    <w:rsid w:val="00E365E1"/>
    <w:rsid w:val="00E65D6B"/>
    <w:rsid w:val="00E820A4"/>
    <w:rsid w:val="00EB006A"/>
    <w:rsid w:val="00EB4772"/>
    <w:rsid w:val="00ED169E"/>
    <w:rsid w:val="00ED4235"/>
    <w:rsid w:val="00F04346"/>
    <w:rsid w:val="00F075DC"/>
    <w:rsid w:val="00F149E9"/>
    <w:rsid w:val="00F5134D"/>
    <w:rsid w:val="00F74202"/>
    <w:rsid w:val="00F87713"/>
    <w:rsid w:val="00FB4360"/>
    <w:rsid w:val="00FD0C70"/>
    <w:rsid w:val="00FD218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FAB98"/>
  <w15:chartTrackingRefBased/>
  <w15:docId w15:val="{76737A1D-FFC0-4BA7-87F1-9BEB7118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223B58"/>
    <w:pPr>
      <w:keepNext/>
      <w:spacing w:after="480"/>
      <w:jc w:val="center"/>
    </w:pPr>
    <w:rPr>
      <w:rFonts w:ascii="Arial" w:hAnsi="Arial" w:cs="Arial"/>
      <w:b/>
    </w:rPr>
  </w:style>
  <w:style w:type="paragraph" w:customStyle="1" w:styleId="NormalBold">
    <w:name w:val="NormalBold"/>
    <w:basedOn w:val="Normal"/>
    <w:link w:val="NormalBoldChar"/>
    <w:rsid w:val="00223B58"/>
    <w:rPr>
      <w:b/>
    </w:rPr>
  </w:style>
  <w:style w:type="paragraph" w:customStyle="1" w:styleId="NormalBold12a">
    <w:name w:val="NormalBold12a"/>
    <w:basedOn w:val="Normal"/>
    <w:rsid w:val="00223B58"/>
    <w:pPr>
      <w:spacing w:after="240"/>
    </w:pPr>
    <w:rPr>
      <w:b/>
    </w:rPr>
  </w:style>
  <w:style w:type="paragraph" w:customStyle="1" w:styleId="AmJustText">
    <w:name w:val="AmJustText"/>
    <w:basedOn w:val="Normal"/>
    <w:rsid w:val="00223B58"/>
    <w:pPr>
      <w:spacing w:after="240"/>
    </w:pPr>
    <w:rPr>
      <w:i/>
    </w:rPr>
  </w:style>
  <w:style w:type="paragraph" w:customStyle="1" w:styleId="NormalHanging12a">
    <w:name w:val="NormalHanging12a"/>
    <w:basedOn w:val="Normal"/>
    <w:rsid w:val="00223B58"/>
    <w:pPr>
      <w:spacing w:after="240"/>
      <w:ind w:left="567" w:hanging="567"/>
    </w:pPr>
  </w:style>
  <w:style w:type="paragraph" w:customStyle="1" w:styleId="AmJustTitle">
    <w:name w:val="AmJustTitle"/>
    <w:basedOn w:val="Normal"/>
    <w:next w:val="AmJustText"/>
    <w:rsid w:val="00223B58"/>
    <w:pPr>
      <w:keepNext/>
      <w:spacing w:before="240" w:after="240"/>
      <w:jc w:val="center"/>
    </w:pPr>
    <w:rPr>
      <w:i/>
    </w:rPr>
  </w:style>
  <w:style w:type="paragraph" w:customStyle="1" w:styleId="AmNumberTabs">
    <w:name w:val="AmNumberTabs"/>
    <w:basedOn w:val="Normal"/>
    <w:rsid w:val="00223B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23B58"/>
    <w:pPr>
      <w:spacing w:before="480" w:after="240"/>
    </w:pPr>
  </w:style>
  <w:style w:type="character" w:customStyle="1" w:styleId="Normal6Char">
    <w:name w:val="Normal6 Char"/>
    <w:basedOn w:val="DefaultParagraphFont"/>
    <w:link w:val="Normal6"/>
    <w:locked/>
    <w:rsid w:val="00223B58"/>
    <w:rPr>
      <w:sz w:val="24"/>
      <w:lang w:val="sv-SE"/>
    </w:rPr>
  </w:style>
  <w:style w:type="paragraph" w:customStyle="1" w:styleId="Normal6">
    <w:name w:val="Normal6"/>
    <w:basedOn w:val="Normal"/>
    <w:link w:val="Normal6Char"/>
    <w:rsid w:val="00223B58"/>
    <w:pPr>
      <w:spacing w:after="120"/>
    </w:pPr>
  </w:style>
  <w:style w:type="character" w:customStyle="1" w:styleId="NormalBoldChar">
    <w:name w:val="NormalBold Char"/>
    <w:basedOn w:val="DefaultParagraphFont"/>
    <w:link w:val="NormalBold"/>
    <w:locked/>
    <w:rsid w:val="00223B58"/>
    <w:rPr>
      <w:b/>
      <w:sz w:val="24"/>
      <w:lang w:val="sv-SE"/>
    </w:rPr>
  </w:style>
  <w:style w:type="paragraph" w:customStyle="1" w:styleId="ColumnHeading">
    <w:name w:val="ColumnHeading"/>
    <w:basedOn w:val="Normal"/>
    <w:rsid w:val="00223B58"/>
    <w:pPr>
      <w:spacing w:after="240"/>
      <w:jc w:val="center"/>
    </w:pPr>
    <w:rPr>
      <w:i/>
    </w:rPr>
  </w:style>
  <w:style w:type="character" w:styleId="Hyperlink">
    <w:name w:val="Hyperlink"/>
    <w:basedOn w:val="DefaultParagraphFont"/>
    <w:uiPriority w:val="99"/>
    <w:rsid w:val="00223B58"/>
    <w:rPr>
      <w:color w:val="0563C1" w:themeColor="hyperlink"/>
      <w:u w:val="single"/>
    </w:rPr>
  </w:style>
  <w:style w:type="character" w:customStyle="1" w:styleId="PageHeadingChar">
    <w:name w:val="PageHeading Char"/>
    <w:basedOn w:val="DefaultParagraphFont"/>
    <w:link w:val="PageHeading"/>
    <w:rsid w:val="00223B58"/>
    <w:rPr>
      <w:rFonts w:ascii="Arial" w:hAnsi="Arial" w:cs="Arial"/>
      <w:b/>
      <w:sz w:val="24"/>
      <w:lang w:val="sv-SE"/>
    </w:rPr>
  </w:style>
  <w:style w:type="character" w:styleId="CommentReference">
    <w:name w:val="annotation reference"/>
    <w:basedOn w:val="DefaultParagraphFont"/>
    <w:rsid w:val="00E65D6B"/>
    <w:rPr>
      <w:sz w:val="16"/>
      <w:szCs w:val="16"/>
    </w:rPr>
  </w:style>
  <w:style w:type="paragraph" w:styleId="CommentText">
    <w:name w:val="annotation text"/>
    <w:basedOn w:val="Normal"/>
    <w:link w:val="CommentTextChar"/>
    <w:rsid w:val="00E65D6B"/>
    <w:rPr>
      <w:sz w:val="20"/>
    </w:rPr>
  </w:style>
  <w:style w:type="character" w:customStyle="1" w:styleId="CommentTextChar">
    <w:name w:val="Comment Text Char"/>
    <w:basedOn w:val="DefaultParagraphFont"/>
    <w:link w:val="CommentText"/>
    <w:rsid w:val="00E65D6B"/>
    <w:rPr>
      <w:lang w:val="sv-SE"/>
    </w:rPr>
  </w:style>
  <w:style w:type="paragraph" w:styleId="CommentSubject">
    <w:name w:val="annotation subject"/>
    <w:basedOn w:val="CommentText"/>
    <w:next w:val="CommentText"/>
    <w:link w:val="CommentSubjectChar"/>
    <w:rsid w:val="00E65D6B"/>
    <w:rPr>
      <w:b/>
      <w:bCs/>
    </w:rPr>
  </w:style>
  <w:style w:type="character" w:customStyle="1" w:styleId="CommentSubjectChar">
    <w:name w:val="Comment Subject Char"/>
    <w:basedOn w:val="CommentTextChar"/>
    <w:link w:val="CommentSubject"/>
    <w:rsid w:val="00E65D6B"/>
    <w:rPr>
      <w:b/>
      <w:bCs/>
      <w:lang w:val="sv-SE"/>
    </w:rPr>
  </w:style>
  <w:style w:type="paragraph" w:styleId="Revision">
    <w:name w:val="Revision"/>
    <w:hidden/>
    <w:uiPriority w:val="99"/>
    <w:semiHidden/>
    <w:rsid w:val="008B12D8"/>
    <w:rPr>
      <w:sz w:val="24"/>
      <w:lang w:val="sv-SE"/>
    </w:rPr>
  </w:style>
  <w:style w:type="character" w:styleId="UnresolvedMention">
    <w:name w:val="Unresolved Mention"/>
    <w:basedOn w:val="DefaultParagraphFont"/>
    <w:uiPriority w:val="99"/>
    <w:semiHidden/>
    <w:unhideWhenUsed/>
    <w:rsid w:val="00CC3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1070</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2026-07-07T11:31:00Z</dcterms:created>
  <dcterms:modified xsi:type="dcterms:W3CDTF">2026-07-07T11:31:00Z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P10_TA-PROV(2026)0241_A10-0174_2026_SV_TC2_r</vt:lpwstr>
  </property>
  <property fmtid="{D5CDD505-2E9C-101B-9397-08002B2CF9AE}" pid="4" name="&lt;Type&gt;">
    <vt:lpwstr>RR</vt:lpwstr>
  </property>
</Properties>
</file>