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35AB" w14:paraId="4E442FB8" w14:textId="77777777" w:rsidTr="0010095E">
        <w:trPr>
          <w:trHeight w:hRule="exact" w:val="1418"/>
        </w:trPr>
        <w:tc>
          <w:tcPr>
            <w:tcW w:w="6804" w:type="dxa"/>
            <w:shd w:val="clear" w:color="auto" w:fill="auto"/>
            <w:vAlign w:val="center"/>
          </w:tcPr>
          <w:p w14:paraId="5D0E90B8" w14:textId="253C9087" w:rsidR="00751A4A" w:rsidRPr="008235AB" w:rsidRDefault="00D83783" w:rsidP="0010095E">
            <w:pPr>
              <w:pStyle w:val="EPName"/>
            </w:pPr>
            <w:r w:rsidRPr="008235AB">
              <w:t>Европейски</w:t>
            </w:r>
            <w:r w:rsidR="0096683C" w:rsidRPr="008235AB">
              <w:t xml:space="preserve"> парламент</w:t>
            </w:r>
          </w:p>
          <w:p w14:paraId="12D2C5FA" w14:textId="6E08DF7A" w:rsidR="00751A4A" w:rsidRPr="008235AB" w:rsidRDefault="005F1B17" w:rsidP="005F1B17">
            <w:pPr>
              <w:pStyle w:val="EPTerm"/>
              <w:rPr>
                <w:rStyle w:val="HideTWBExt"/>
                <w:noProof w:val="0"/>
                <w:vanish w:val="0"/>
                <w:color w:val="auto"/>
              </w:rPr>
            </w:pPr>
            <w:r w:rsidRPr="008235AB">
              <w:t>2024</w:t>
            </w:r>
            <w:r w:rsidR="00D83783">
              <w:rPr>
                <w:lang w:val="en-GB"/>
              </w:rPr>
              <w:t> – </w:t>
            </w:r>
            <w:r w:rsidR="00817416" w:rsidRPr="008235AB">
              <w:t>202</w:t>
            </w:r>
            <w:r w:rsidRPr="008235AB">
              <w:t>9</w:t>
            </w:r>
          </w:p>
        </w:tc>
        <w:tc>
          <w:tcPr>
            <w:tcW w:w="2268" w:type="dxa"/>
            <w:shd w:val="clear" w:color="auto" w:fill="auto"/>
          </w:tcPr>
          <w:p w14:paraId="3B01C736" w14:textId="77777777" w:rsidR="00751A4A" w:rsidRPr="008235AB" w:rsidRDefault="00187494" w:rsidP="0010095E">
            <w:pPr>
              <w:pStyle w:val="EPLogo"/>
            </w:pPr>
            <w:r w:rsidRPr="008235AB">
              <w:rPr>
                <w:noProof/>
                <w:lang w:eastAsia="ja-JP"/>
              </w:rPr>
              <w:drawing>
                <wp:inline distT="0" distB="0" distL="0" distR="0" wp14:anchorId="73F4FF56" wp14:editId="18F46A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E77C2A" w14:textId="77777777" w:rsidR="00D058B8" w:rsidRPr="008235AB" w:rsidRDefault="00D058B8" w:rsidP="004C5D52">
      <w:pPr>
        <w:pStyle w:val="LineTop"/>
      </w:pPr>
    </w:p>
    <w:p w14:paraId="53931453" w14:textId="77777777" w:rsidR="00680577" w:rsidRPr="008235AB" w:rsidRDefault="0096683C" w:rsidP="00680577">
      <w:pPr>
        <w:pStyle w:val="EPBodyTA1"/>
      </w:pPr>
      <w:r w:rsidRPr="008235AB">
        <w:t>ПРИЕТИ ТЕКСТОВЕ</w:t>
      </w:r>
    </w:p>
    <w:p w14:paraId="4C7F8F6A" w14:textId="77777777" w:rsidR="00D058B8" w:rsidRPr="008235AB" w:rsidRDefault="00D058B8" w:rsidP="00D058B8">
      <w:pPr>
        <w:pStyle w:val="LineBottom"/>
      </w:pPr>
    </w:p>
    <w:p w14:paraId="54ADB87D" w14:textId="2B0A7C4C" w:rsidR="0096683C" w:rsidRPr="008235AB" w:rsidRDefault="0096683C" w:rsidP="0096683C">
      <w:pPr>
        <w:pStyle w:val="ATHeading1"/>
      </w:pPr>
      <w:bookmarkStart w:id="0" w:name="TANumber"/>
      <w:r w:rsidRPr="008235AB">
        <w:t>P10_TA(2026)0</w:t>
      </w:r>
      <w:r w:rsidR="002344FD">
        <w:t>242</w:t>
      </w:r>
      <w:bookmarkEnd w:id="0"/>
    </w:p>
    <w:p w14:paraId="278B6B3A" w14:textId="77777777" w:rsidR="0096683C" w:rsidRPr="008235AB" w:rsidRDefault="0096683C" w:rsidP="0096683C">
      <w:pPr>
        <w:pStyle w:val="ATHeading2"/>
      </w:pPr>
      <w:bookmarkStart w:id="1" w:name="title"/>
      <w:r w:rsidRPr="008235AB">
        <w:t>Проект на коригиращ бюджет № 1/2026: вписване на излишъка от финансовата 2025 година</w:t>
      </w:r>
      <w:bookmarkEnd w:id="1"/>
    </w:p>
    <w:p w14:paraId="2A9D656A" w14:textId="77777777" w:rsidR="0096683C" w:rsidRPr="008235AB" w:rsidRDefault="0096683C" w:rsidP="0096683C">
      <w:pPr>
        <w:rPr>
          <w:i/>
          <w:vanish/>
        </w:rPr>
      </w:pPr>
      <w:r w:rsidRPr="008235AB">
        <w:rPr>
          <w:i/>
        </w:rPr>
        <w:fldChar w:fldCharType="begin"/>
      </w:r>
      <w:r w:rsidRPr="008235AB">
        <w:rPr>
          <w:i/>
        </w:rPr>
        <w:instrText xml:space="preserve"> TC"(</w:instrText>
      </w:r>
      <w:bookmarkStart w:id="2" w:name="DocNumber"/>
      <w:r w:rsidRPr="008235AB">
        <w:rPr>
          <w:i/>
        </w:rPr>
        <w:instrText>A10-0180/2026</w:instrText>
      </w:r>
      <w:bookmarkEnd w:id="2"/>
      <w:r w:rsidRPr="008235AB">
        <w:rPr>
          <w:i/>
        </w:rPr>
        <w:instrText xml:space="preserve"> - Докладчик: Анджей Халицки)"\l3 \n&gt; \* MERGEFORMAT </w:instrText>
      </w:r>
      <w:r w:rsidRPr="008235AB">
        <w:rPr>
          <w:i/>
        </w:rPr>
        <w:fldChar w:fldCharType="end"/>
      </w:r>
    </w:p>
    <w:p w14:paraId="73486913" w14:textId="77777777" w:rsidR="0096683C" w:rsidRPr="008235AB" w:rsidRDefault="0096683C" w:rsidP="0096683C">
      <w:pPr>
        <w:rPr>
          <w:vanish/>
        </w:rPr>
      </w:pPr>
      <w:bookmarkStart w:id="3" w:name="Commission"/>
      <w:r w:rsidRPr="008235AB">
        <w:rPr>
          <w:vanish/>
        </w:rPr>
        <w:t>Комисия по бюджети</w:t>
      </w:r>
      <w:bookmarkEnd w:id="3"/>
    </w:p>
    <w:p w14:paraId="3BF3E860" w14:textId="77777777" w:rsidR="0096683C" w:rsidRPr="008235AB" w:rsidRDefault="0096683C" w:rsidP="0096683C">
      <w:pPr>
        <w:rPr>
          <w:vanish/>
        </w:rPr>
      </w:pPr>
      <w:bookmarkStart w:id="4" w:name="PE"/>
      <w:r w:rsidRPr="008235AB">
        <w:rPr>
          <w:vanish/>
        </w:rPr>
        <w:t>PE787.947</w:t>
      </w:r>
      <w:bookmarkEnd w:id="4"/>
    </w:p>
    <w:p w14:paraId="17268910" w14:textId="58059DAD" w:rsidR="0096683C" w:rsidRPr="008235AB" w:rsidRDefault="0096683C" w:rsidP="0096683C">
      <w:pPr>
        <w:pStyle w:val="ATHeading3"/>
      </w:pPr>
      <w:bookmarkStart w:id="5" w:name="Sujet"/>
      <w:r w:rsidRPr="008235AB">
        <w:t xml:space="preserve">Законодателна резолюция на Европейския парламент от </w:t>
      </w:r>
      <w:r w:rsidR="00D96AAB">
        <w:rPr>
          <w:lang w:val="en-GB"/>
        </w:rPr>
        <w:t>7</w:t>
      </w:r>
      <w:r w:rsidR="00D83783">
        <w:rPr>
          <w:lang w:val="en-GB"/>
        </w:rPr>
        <w:t xml:space="preserve"> </w:t>
      </w:r>
      <w:r w:rsidR="00D83783">
        <w:t>юли</w:t>
      </w:r>
      <w:r w:rsidRPr="008235AB">
        <w:t xml:space="preserve"> 2026 г. относно позицията на Съвета относно проект на коригиращ бюджет № 1/2026 на Европейския съюз за финансовата 2026 година за вписване на излишъка от финансовата 2025 година</w:t>
      </w:r>
      <w:bookmarkEnd w:id="5"/>
      <w:r w:rsidRPr="008235AB">
        <w:t xml:space="preserve"> </w:t>
      </w:r>
      <w:bookmarkStart w:id="6" w:name="References"/>
      <w:r w:rsidRPr="008235AB">
        <w:t>(09919/2026 – C10-0145/2026 – 2026/0090(BUD))</w:t>
      </w:r>
      <w:bookmarkEnd w:id="6"/>
    </w:p>
    <w:p w14:paraId="5B52D884" w14:textId="77777777" w:rsidR="00A40657" w:rsidRPr="008235AB" w:rsidRDefault="00A40657" w:rsidP="00A40657">
      <w:pPr>
        <w:pStyle w:val="EPComma"/>
      </w:pPr>
      <w:bookmarkStart w:id="7" w:name="TextBodyBegin"/>
      <w:bookmarkEnd w:id="7"/>
      <w:r w:rsidRPr="008235AB">
        <w:rPr>
          <w:i/>
        </w:rPr>
        <w:t>Европейският парламент</w:t>
      </w:r>
      <w:r w:rsidRPr="008235AB">
        <w:t>,</w:t>
      </w:r>
    </w:p>
    <w:p w14:paraId="1449287B" w14:textId="77777777" w:rsidR="00A40657" w:rsidRPr="008235AB" w:rsidRDefault="00A40657" w:rsidP="00A40657">
      <w:pPr>
        <w:pStyle w:val="NormalHanging12a"/>
      </w:pPr>
      <w:r w:rsidRPr="008235AB">
        <w:t>–</w:t>
      </w:r>
      <w:r w:rsidRPr="008235AB">
        <w:tab/>
        <w:t>като взе предвид член 314 от Договора за функционирането на Европейския съюз,</w:t>
      </w:r>
    </w:p>
    <w:p w14:paraId="55A2B912" w14:textId="77777777" w:rsidR="00A40657" w:rsidRPr="008235AB" w:rsidRDefault="00A40657" w:rsidP="00A40657">
      <w:pPr>
        <w:pStyle w:val="NormalHanging12a"/>
      </w:pPr>
      <w:r w:rsidRPr="008235AB">
        <w:t>–</w:t>
      </w:r>
      <w:r w:rsidRPr="008235AB">
        <w:tab/>
        <w:t>като взе предвид член 106а от Договора за създаване на Европейската общност за атомна енергия,</w:t>
      </w:r>
    </w:p>
    <w:p w14:paraId="5EA2BED4" w14:textId="77777777" w:rsidR="00A40657" w:rsidRPr="008235AB" w:rsidRDefault="00A40657" w:rsidP="00A40657">
      <w:pPr>
        <w:pStyle w:val="NormalHanging12a"/>
      </w:pPr>
      <w:r w:rsidRPr="008235AB">
        <w:t>–</w:t>
      </w:r>
      <w:r w:rsidRPr="008235AB">
        <w:tab/>
        <w:t>като взе предвид Регламент (ЕС, Евратом) 2024/2509 на Европейския парламент и на Съвета от 23 септември 2024 г. относно финансовите правила, приложими за общия бюджет на Съюза</w:t>
      </w:r>
      <w:r w:rsidRPr="008235AB">
        <w:rPr>
          <w:rStyle w:val="FootnoteReference"/>
        </w:rPr>
        <w:footnoteReference w:id="1"/>
      </w:r>
      <w:r w:rsidRPr="008235AB">
        <w:t>, и по-специално член 44 от него,</w:t>
      </w:r>
    </w:p>
    <w:p w14:paraId="247FBC4F" w14:textId="77777777" w:rsidR="00A40657" w:rsidRPr="008235AB" w:rsidRDefault="00A40657" w:rsidP="00A40657">
      <w:pPr>
        <w:pStyle w:val="NormalHanging12a"/>
      </w:pPr>
      <w:r w:rsidRPr="008235AB">
        <w:t>–</w:t>
      </w:r>
      <w:r w:rsidRPr="008235AB">
        <w:tab/>
        <w:t>като взе предвид общия бюджет на Европейския съюз за финансовата 2026 година, приет окончателно на 26 ноември 2025 г.</w:t>
      </w:r>
      <w:r w:rsidRPr="008235AB">
        <w:rPr>
          <w:vertAlign w:val="superscript"/>
        </w:rPr>
        <w:footnoteReference w:id="2"/>
      </w:r>
      <w:r w:rsidRPr="008235AB">
        <w:t xml:space="preserve">, </w:t>
      </w:r>
    </w:p>
    <w:p w14:paraId="5367EEC0" w14:textId="77777777" w:rsidR="00A40657" w:rsidRPr="008235AB" w:rsidRDefault="00A40657" w:rsidP="00A40657">
      <w:pPr>
        <w:pStyle w:val="NormalHanging12a"/>
      </w:pPr>
      <w:r w:rsidRPr="008235AB">
        <w:t>–</w:t>
      </w:r>
      <w:r w:rsidRPr="008235AB">
        <w:tab/>
        <w:t>като взе предвид Регламент (ЕС, Евратом) 2020/2093 на Съвета от 17 декември 2020 г. за определяне на многогодишната финансова рамка за годините 2021—2027</w:t>
      </w:r>
      <w:r w:rsidRPr="008235AB">
        <w:rPr>
          <w:vertAlign w:val="superscript"/>
        </w:rPr>
        <w:footnoteReference w:id="3"/>
      </w:r>
      <w:r w:rsidRPr="008235AB">
        <w:t xml:space="preserve">, </w:t>
      </w:r>
    </w:p>
    <w:p w14:paraId="553F239A" w14:textId="77777777" w:rsidR="00A40657" w:rsidRPr="008235AB" w:rsidRDefault="00A40657" w:rsidP="00A40657">
      <w:pPr>
        <w:pStyle w:val="NormalHanging12a"/>
      </w:pPr>
      <w:r w:rsidRPr="008235AB">
        <w:t>–</w:t>
      </w:r>
      <w:r w:rsidRPr="008235AB">
        <w:tab/>
        <w:t>като взе предвид Регламент (ЕС, Евратом) 2024/765 на Съвета за изменение на Регламент (ЕС, Евратом) 2020/2093 за определяне на многогодишната финансова рамка за годините 2021—2027</w:t>
      </w:r>
      <w:r w:rsidRPr="008235AB">
        <w:rPr>
          <w:vertAlign w:val="superscript"/>
        </w:rPr>
        <w:footnoteReference w:id="4"/>
      </w:r>
      <w:r w:rsidRPr="008235AB">
        <w:t>,</w:t>
      </w:r>
    </w:p>
    <w:p w14:paraId="72459B57" w14:textId="77777777" w:rsidR="00A40657" w:rsidRPr="008235AB" w:rsidRDefault="00A40657" w:rsidP="00A40657">
      <w:pPr>
        <w:pStyle w:val="NormalHanging12a"/>
      </w:pPr>
      <w:r w:rsidRPr="008235AB">
        <w:t>–</w:t>
      </w:r>
      <w:r w:rsidRPr="008235AB">
        <w:tab/>
        <w:t xml:space="preserve">като взе предвид Междуинституционалното споразумение от 16 декември 2020 г. между Европейския парламент, Съвета на Европейския съюз и Европейската </w:t>
      </w:r>
      <w:r w:rsidRPr="008235AB">
        <w:lastRenderedPageBreak/>
        <w:t>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w:t>
      </w:r>
      <w:r w:rsidRPr="008235AB">
        <w:rPr>
          <w:vertAlign w:val="superscript"/>
        </w:rPr>
        <w:footnoteReference w:id="5"/>
      </w:r>
      <w:r w:rsidRPr="008235AB">
        <w:t>,</w:t>
      </w:r>
    </w:p>
    <w:p w14:paraId="736554FC" w14:textId="77777777" w:rsidR="00A40657" w:rsidRPr="008235AB" w:rsidRDefault="00A40657" w:rsidP="00A40657">
      <w:pPr>
        <w:pStyle w:val="NormalHanging12a"/>
      </w:pPr>
      <w:r w:rsidRPr="008235AB">
        <w:t>–</w:t>
      </w:r>
      <w:r w:rsidRPr="008235AB">
        <w:tab/>
        <w:t>като взе предвид Решение (ЕС, Евратом) 2020/2053 на Съвета от 14 декември 2020 г. относно системата на собствените ресурси на Европейския съюз и за отмяна на Решение 2014/335/ЕС, Евратом</w:t>
      </w:r>
      <w:r w:rsidRPr="008235AB">
        <w:rPr>
          <w:vertAlign w:val="superscript"/>
        </w:rPr>
        <w:footnoteReference w:id="6"/>
      </w:r>
      <w:r w:rsidRPr="008235AB">
        <w:t xml:space="preserve">, </w:t>
      </w:r>
    </w:p>
    <w:p w14:paraId="117A3578" w14:textId="77777777" w:rsidR="00A40657" w:rsidRPr="008235AB" w:rsidRDefault="00A40657" w:rsidP="00A40657">
      <w:pPr>
        <w:pStyle w:val="NormalHanging12a"/>
      </w:pPr>
      <w:r w:rsidRPr="008235AB">
        <w:t>–</w:t>
      </w:r>
      <w:r w:rsidRPr="008235AB">
        <w:tab/>
        <w:t>като взе предвид своята резолюция от 28 април 2026 г. относно предложението за регламент на Съвета за определяне на многогодишната финансова рамка за годините 2028—2034</w:t>
      </w:r>
      <w:r w:rsidRPr="008235AB">
        <w:rPr>
          <w:rStyle w:val="FootnoteReference"/>
        </w:rPr>
        <w:footnoteReference w:id="7"/>
      </w:r>
      <w:r w:rsidRPr="008235AB">
        <w:t xml:space="preserve">, </w:t>
      </w:r>
    </w:p>
    <w:p w14:paraId="1862020E" w14:textId="77777777" w:rsidR="00A40657" w:rsidRPr="008235AB" w:rsidRDefault="00A40657" w:rsidP="00A40657">
      <w:pPr>
        <w:pStyle w:val="NormalHanging12a"/>
      </w:pPr>
      <w:bookmarkStart w:id="8" w:name="_Hlk229564682"/>
      <w:r w:rsidRPr="008235AB">
        <w:t>–</w:t>
      </w:r>
      <w:r w:rsidRPr="008235AB">
        <w:tab/>
        <w:t>като взе предвид проект на коригиращ бюджет № 1/2026, приет от Комисията на 10 април 2026 г. (COM(2026)0450),</w:t>
      </w:r>
      <w:bookmarkEnd w:id="8"/>
    </w:p>
    <w:p w14:paraId="02F5952D" w14:textId="77777777" w:rsidR="00A40657" w:rsidRPr="008235AB" w:rsidRDefault="00A40657" w:rsidP="00A40657">
      <w:pPr>
        <w:pStyle w:val="NormalHanging12a"/>
      </w:pPr>
      <w:r w:rsidRPr="008235AB">
        <w:t>–</w:t>
      </w:r>
      <w:r w:rsidRPr="008235AB">
        <w:tab/>
        <w:t>като взе предвид позицията относно проект на коригиращ бюджет № 1/2026, приета от Съвета на 16 юни 2026 г. и предадена на Европейския парламент на 18 юни 2026 г. (09919/2026),</w:t>
      </w:r>
    </w:p>
    <w:p w14:paraId="22689AC5" w14:textId="77777777" w:rsidR="00A40657" w:rsidRPr="008235AB" w:rsidRDefault="00A40657" w:rsidP="00A40657">
      <w:pPr>
        <w:pStyle w:val="NormalHanging12a"/>
      </w:pPr>
      <w:r w:rsidRPr="008235AB">
        <w:t>–</w:t>
      </w:r>
      <w:r w:rsidRPr="008235AB">
        <w:tab/>
        <w:t>като взе предвид членове 96 и 98 от своя Правилник за дейността,</w:t>
      </w:r>
    </w:p>
    <w:p w14:paraId="22062C9F" w14:textId="77777777" w:rsidR="00A40657" w:rsidRPr="008235AB" w:rsidRDefault="00A40657" w:rsidP="00A40657">
      <w:pPr>
        <w:pStyle w:val="NormalHanging12a"/>
      </w:pPr>
      <w:r w:rsidRPr="008235AB">
        <w:t>–</w:t>
      </w:r>
      <w:r w:rsidRPr="008235AB">
        <w:tab/>
        <w:t>като взе предвид доклада на комисията по бюджети (A10-0180/2026),</w:t>
      </w:r>
    </w:p>
    <w:p w14:paraId="61EA8AF4" w14:textId="77777777" w:rsidR="00A40657" w:rsidRPr="008235AB" w:rsidRDefault="00A40657" w:rsidP="00A40657">
      <w:pPr>
        <w:pStyle w:val="NormalHanging12a"/>
      </w:pPr>
      <w:r w:rsidRPr="008235AB">
        <w:t>А.</w:t>
      </w:r>
      <w:r w:rsidRPr="008235AB">
        <w:tab/>
        <w:t>като има предвид, че целта на проект на коригиращ бюджет № 1/2026 е да се впише в бюджета за 2026 г. излишъкът, произтичащ от изпълнението на бюджета за 2025 г., който възлиза на 2,095 милиарда евро;</w:t>
      </w:r>
    </w:p>
    <w:p w14:paraId="7DE19F82" w14:textId="77777777" w:rsidR="00A40657" w:rsidRPr="008235AB" w:rsidRDefault="00A40657" w:rsidP="00A40657">
      <w:pPr>
        <w:pStyle w:val="NormalHanging12a"/>
      </w:pPr>
      <w:r w:rsidRPr="008235AB">
        <w:t>Б.</w:t>
      </w:r>
      <w:r w:rsidRPr="008235AB">
        <w:tab/>
        <w:t>като има предвид, че основните компоненти на този излишък са положителният резултат на приходите в размер на 1,994 милиарда евро и неусвоени 101 милиона евро;</w:t>
      </w:r>
    </w:p>
    <w:p w14:paraId="53B13B81" w14:textId="77777777" w:rsidR="00A40657" w:rsidRPr="008235AB" w:rsidRDefault="00A40657" w:rsidP="00A40657">
      <w:pPr>
        <w:pStyle w:val="NormalHanging12a"/>
      </w:pPr>
      <w:r w:rsidRPr="008235AB">
        <w:t>В.</w:t>
      </w:r>
      <w:r w:rsidRPr="008235AB">
        <w:tab/>
        <w:t xml:space="preserve">като има предвид, че в приходната част излишъкът се дължи предимно на </w:t>
      </w:r>
      <w:bookmarkStart w:id="9" w:name="_Hlk233197369"/>
      <w:r w:rsidRPr="008235AB">
        <w:t>по-високия от очаквания размер на митата, а именно 860 милиона евро</w:t>
      </w:r>
      <w:bookmarkEnd w:id="9"/>
      <w:r w:rsidRPr="008235AB">
        <w:t xml:space="preserve">; като има предвид, че на второ място от значение за обема на излишъка са финансови приходи, лихви за забава и глоби в размер на 840 милиона евро; </w:t>
      </w:r>
    </w:p>
    <w:p w14:paraId="5144B8AD" w14:textId="77777777" w:rsidR="00A40657" w:rsidRPr="008235AB" w:rsidRDefault="00A40657" w:rsidP="00A40657">
      <w:pPr>
        <w:pStyle w:val="NormalHanging12a"/>
      </w:pPr>
      <w:r w:rsidRPr="008235AB">
        <w:t>Г.</w:t>
      </w:r>
      <w:r w:rsidRPr="008235AB">
        <w:tab/>
        <w:t>като има предвид, че по отношение на разходите непълното усвояване на бюджетните кредити за плащания от всички институции, включително анулирането на пренесени бюджетни кредити, възлиза на общо 111 милиона евро (представляващи 0,04% от разрешените бюджетни кредити за плащания);</w:t>
      </w:r>
    </w:p>
    <w:p w14:paraId="546DA581" w14:textId="77777777" w:rsidR="00A40657" w:rsidRPr="008235AB" w:rsidRDefault="00A40657" w:rsidP="00A40657">
      <w:pPr>
        <w:pStyle w:val="NormalHanging12a"/>
      </w:pPr>
      <w:r w:rsidRPr="008235AB">
        <w:t>1.</w:t>
      </w:r>
      <w:r w:rsidRPr="008235AB">
        <w:tab/>
        <w:t>отбелязва представения от Комисията проект на коригиращ бюджет № 1/2026, чиято цел е вписването в бюджета на излишъка от 2025 г. в размер на 2,095 милиарда евро, в съответствие с член 18, параграф 3 от Финансовия регламент;</w:t>
      </w:r>
      <w:sdt>
        <w:sdtPr>
          <w:tag w:val="goog_rdk_0"/>
          <w:id w:val="1937094721"/>
        </w:sdtPr>
        <w:sdtEndPr/>
        <w:sdtContent/>
      </w:sdt>
    </w:p>
    <w:p w14:paraId="0D732BD8" w14:textId="77777777" w:rsidR="00A40657" w:rsidRPr="008235AB" w:rsidRDefault="00A40657" w:rsidP="00A40657">
      <w:pPr>
        <w:pStyle w:val="NormalHanging12a"/>
      </w:pPr>
      <w:r w:rsidRPr="008235AB">
        <w:t>2.</w:t>
      </w:r>
      <w:r w:rsidRPr="008235AB">
        <w:tab/>
        <w:t xml:space="preserve">приветства факта, че излишъкът от 2025 г. се дължи главно на по-силните </w:t>
      </w:r>
      <w:r w:rsidRPr="008235AB">
        <w:lastRenderedPageBreak/>
        <w:t xml:space="preserve">вариации в дялове 1 (Собствени ресурси, и по-специално мита) и 4 (Финансови приходи, лихви за забава и глоби), докато излишъкът по отношение на разходите продължава да бъде много скромен — 101 милиона евро; </w:t>
      </w:r>
    </w:p>
    <w:p w14:paraId="1665B91D" w14:textId="77777777" w:rsidR="00A40657" w:rsidRPr="008235AB" w:rsidRDefault="00A40657" w:rsidP="00A40657">
      <w:pPr>
        <w:pStyle w:val="NormalHanging12a"/>
      </w:pPr>
      <w:r w:rsidRPr="008235AB">
        <w:t>3.</w:t>
      </w:r>
      <w:r w:rsidRPr="008235AB">
        <w:tab/>
        <w:t xml:space="preserve">изразява съжаление, че вписването в бюджета на излишъка намалява пропорционално общата вноска на собствени ресурси на база БНД на държавите членки за финансирането на бюджета за 2026 г.; подчертава, че в момент, когато потребностите от финансиране продължават да бъдат високи, по-специално с оглед на разходите за обслужване на дълга по Инструмента на Европейския съюз за възстановяване, а свободата на действие в рамките на бюджета на Съюза е все така крайно ограничена, бюджетът следва да запази достатъчна степен на гъвкавост през последните години от действащата многогодишна финансова рамка (МФР), за да може Съюзът да се справи с непредвидени събития; подчертава, че гъвкавостта на бюджета на Съюза е един от най-важните въпроси, които трябва да бъдат разгледани при преговорите за многогодишната финансова рамка за периода 2028 — 2034 г.; </w:t>
      </w:r>
    </w:p>
    <w:p w14:paraId="577B577D" w14:textId="77777777" w:rsidR="00A40657" w:rsidRPr="008235AB" w:rsidRDefault="00A40657" w:rsidP="00A40657">
      <w:pPr>
        <w:pStyle w:val="NormalHanging12a"/>
      </w:pPr>
      <w:r w:rsidRPr="008235AB">
        <w:t>4.</w:t>
      </w:r>
      <w:r w:rsidRPr="008235AB">
        <w:tab/>
        <w:t>припомня дългогодишната си позиция, че извънредните приходи, произтичащи от глоби и такси или равностойни суми от тях, следва да се използват като допълнителни приходи за бюджета на Съюза и не следва да водят до съответно намаляване на вноските на база БНД;</w:t>
      </w:r>
    </w:p>
    <w:p w14:paraId="31D83AF7" w14:textId="77777777" w:rsidR="00A40657" w:rsidRPr="008235AB" w:rsidRDefault="00A40657" w:rsidP="00A40657">
      <w:pPr>
        <w:pStyle w:val="NormalHanging12a"/>
      </w:pPr>
      <w:r w:rsidRPr="008235AB">
        <w:t>5.</w:t>
      </w:r>
      <w:r w:rsidRPr="008235AB">
        <w:tab/>
        <w:t xml:space="preserve">отбелязва изчислението на коригираните годишни еднократни намаления на вноските на база БНД за петте държави членки бенефициенти, които нетно възлизат на около 5,8 милиарда евро; подчертава факта, че тези отстъпки са обвързани с инфлацията и следователно се увеличиха по-бързо от таваните на МФР, които се коригират ежегодно въз основа на </w:t>
      </w:r>
      <w:proofErr w:type="spellStart"/>
      <w:r w:rsidRPr="008235AB">
        <w:t>дефлатора</w:t>
      </w:r>
      <w:proofErr w:type="spellEnd"/>
      <w:r w:rsidRPr="008235AB">
        <w:t xml:space="preserve"> от 2%; подчертава, че тази аномалия увеличава тежестта за другите държави членки;</w:t>
      </w:r>
    </w:p>
    <w:p w14:paraId="4F5AE66D" w14:textId="77777777" w:rsidR="00A40657" w:rsidRPr="008235AB" w:rsidRDefault="00A40657" w:rsidP="00A40657">
      <w:pPr>
        <w:pStyle w:val="NormalHanging12a"/>
      </w:pPr>
      <w:r w:rsidRPr="008235AB">
        <w:t>6.</w:t>
      </w:r>
      <w:r w:rsidRPr="008235AB">
        <w:tab/>
        <w:t>отбелязва отрицателната приходна позиция по статия 425, възлизаща на 54 милиона евро, и приветства този метод на включване на разходи за бюджета, произтичащи от плащания, извършени по силата на споразумения за уреждане на спорове, които включват компенсаторни лихви и компенсации за лихви за забава, свързани с възстановяването на отменени или намалени глоби в областта на конкуренцията в съответствие с относимите решения на Съда на Европейския съюз; припомня, че при договарянето на преработения текст на Финансовия регламент от 2024 г. Парламентът настояваше за прилагането на този подход, за да се избегне създаването на допълнителни бюджетни кредити за разходи по вече претоварената функция 7; припомня, че действието на това решение приключва на 31 декември 2027 г.; приканва Комисията да предложи окончателно решение за следващата МФР, с което да се постигне същата цел, а именно избягване на всякакво въздействие върху разходната част на бюджета;</w:t>
      </w:r>
    </w:p>
    <w:p w14:paraId="6D46D57C" w14:textId="2F684DA7" w:rsidR="00A40657" w:rsidRPr="008235AB" w:rsidRDefault="00A40657" w:rsidP="00A40657">
      <w:pPr>
        <w:pStyle w:val="NormalHanging12a"/>
      </w:pPr>
      <w:r w:rsidRPr="008235AB">
        <w:t>7.</w:t>
      </w:r>
      <w:r w:rsidRPr="008235AB">
        <w:tab/>
        <w:t>отново отправя дългогодишния си призив за стабилни, предвидими и устойчиви приходи за бюджета на Съюза съгласно член 310 от ДФЕС, които следва да съответстват на разходната част и стратегическите приоритети и на установените финансови потребности на Съюза; отново потвърждава твърдия</w:t>
      </w:r>
      <w:r w:rsidR="00D96AAB">
        <w:rPr>
          <w:lang w:val="en-GB"/>
        </w:rPr>
        <w:t xml:space="preserve"> </w:t>
      </w:r>
      <w:r w:rsidR="00D96AAB">
        <w:t>си</w:t>
      </w:r>
      <w:r w:rsidRPr="008235AB">
        <w:t xml:space="preserve"> ангажимент за въвеждането на нови собствени ресурси не само за погасяването на дълга по Инструмента на Европейския съюз за възстановяване, но и за финансиране на по-големите политически амбиции на Съюза; припомня, че без нови истински собствени ресурси финансовата тежест ще падне неизбежно върху държавите </w:t>
      </w:r>
      <w:r w:rsidRPr="008235AB">
        <w:lastRenderedPageBreak/>
        <w:t>членки чрез увеличаване на вноските на база БНД; счита поради това, че въвеждането на истински нови източници на приходи в размер на най-малко 60 милиарда евро годишно е съществено условие за амбициозна многогодишна финансова рамка за периода 2028 — 2034 г.;</w:t>
      </w:r>
    </w:p>
    <w:p w14:paraId="5178F9D8" w14:textId="77777777" w:rsidR="00A40657" w:rsidRPr="008235AB" w:rsidRDefault="00A40657" w:rsidP="00A40657">
      <w:pPr>
        <w:pStyle w:val="NormalHanging12a"/>
      </w:pPr>
      <w:r w:rsidRPr="008235AB">
        <w:t>8.</w:t>
      </w:r>
      <w:r w:rsidRPr="008235AB">
        <w:tab/>
        <w:t>одобрява позицията на Съвета относно проект на коригиращ бюджет № 1/2026;</w:t>
      </w:r>
    </w:p>
    <w:p w14:paraId="2915C0CA" w14:textId="77777777" w:rsidR="00A40657" w:rsidRPr="008235AB" w:rsidRDefault="00A40657" w:rsidP="00A40657">
      <w:pPr>
        <w:pStyle w:val="NormalHanging12a"/>
      </w:pPr>
      <w:r w:rsidRPr="008235AB">
        <w:t>9.</w:t>
      </w:r>
      <w:r w:rsidRPr="008235AB">
        <w:tab/>
        <w:t xml:space="preserve">възлага на своя председател да обяви, че коригиращ бюджет № 1/2026 е окончателно приет, както и да осигури неговото публикуване в </w:t>
      </w:r>
      <w:r w:rsidRPr="008235AB">
        <w:rPr>
          <w:i/>
        </w:rPr>
        <w:t>Официален вестник на Европейския съюз</w:t>
      </w:r>
      <w:r w:rsidRPr="008235AB">
        <w:t>;</w:t>
      </w:r>
    </w:p>
    <w:p w14:paraId="17BBF6F0" w14:textId="524F8C54" w:rsidR="00E365E1" w:rsidRPr="008235AB" w:rsidRDefault="00A40657" w:rsidP="002344FD">
      <w:pPr>
        <w:ind w:left="567" w:hanging="567"/>
      </w:pPr>
      <w:r w:rsidRPr="008235AB">
        <w:t>10.</w:t>
      </w:r>
      <w:r w:rsidRPr="008235AB">
        <w:tab/>
        <w:t>възлага на своя председател да предаде настоящата резолюция съответно на Съвета и на Комисията, както и на другите заинтересовани институции и органи и на националните парламенти.</w:t>
      </w:r>
    </w:p>
    <w:sectPr w:rsidR="00E365E1" w:rsidRPr="008235AB" w:rsidSect="008235A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2734E" w14:textId="77777777" w:rsidR="0096683C" w:rsidRPr="008235AB" w:rsidRDefault="0096683C">
      <w:r w:rsidRPr="008235AB">
        <w:separator/>
      </w:r>
    </w:p>
  </w:endnote>
  <w:endnote w:type="continuationSeparator" w:id="0">
    <w:p w14:paraId="600A31F4" w14:textId="77777777" w:rsidR="0096683C" w:rsidRPr="008235AB" w:rsidRDefault="0096683C">
      <w:r w:rsidRPr="008235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EA4ED" w14:textId="77777777" w:rsidR="00064002" w:rsidRPr="008235A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F03E" w14:textId="77777777" w:rsidR="00064002" w:rsidRPr="008235A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FDF5A" w14:textId="77777777" w:rsidR="00064002" w:rsidRPr="008235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346ED" w14:textId="77777777" w:rsidR="0096683C" w:rsidRPr="008235AB" w:rsidRDefault="0096683C">
      <w:r w:rsidRPr="008235AB">
        <w:separator/>
      </w:r>
    </w:p>
  </w:footnote>
  <w:footnote w:type="continuationSeparator" w:id="0">
    <w:p w14:paraId="7AE70A71" w14:textId="77777777" w:rsidR="0096683C" w:rsidRPr="008235AB" w:rsidRDefault="0096683C">
      <w:r w:rsidRPr="008235AB">
        <w:continuationSeparator/>
      </w:r>
    </w:p>
  </w:footnote>
  <w:footnote w:id="1">
    <w:p w14:paraId="71417E79" w14:textId="5E28514A" w:rsidR="00A40657" w:rsidRPr="008235AB" w:rsidRDefault="00A40657" w:rsidP="008235AB">
      <w:pPr>
        <w:pStyle w:val="FootnoteText"/>
        <w:ind w:left="567" w:hanging="567"/>
        <w:rPr>
          <w:sz w:val="24"/>
          <w:lang w:val="bg-BG"/>
        </w:rPr>
      </w:pPr>
      <w:r w:rsidRPr="008235AB">
        <w:rPr>
          <w:rStyle w:val="FootnoteReference"/>
          <w:sz w:val="24"/>
          <w:lang w:val="bg-BG"/>
        </w:rPr>
        <w:footnoteRef/>
      </w:r>
      <w:r w:rsidR="008235AB" w:rsidRPr="008235AB">
        <w:rPr>
          <w:sz w:val="24"/>
          <w:lang w:val="bg-BG"/>
        </w:rPr>
        <w:t xml:space="preserve"> </w:t>
      </w:r>
      <w:r w:rsidR="008235AB" w:rsidRPr="008235AB">
        <w:rPr>
          <w:sz w:val="24"/>
          <w:lang w:val="bg-BG"/>
        </w:rPr>
        <w:tab/>
      </w:r>
      <w:r w:rsidRPr="008235AB">
        <w:rPr>
          <w:sz w:val="24"/>
          <w:lang w:val="bg-BG"/>
        </w:rPr>
        <w:t xml:space="preserve">ОВ L, 2024/2509, 26.9.2024 г., ELI: </w:t>
      </w:r>
      <w:hyperlink r:id="rId1" w:tooltip="http://data.europa.eu/eli/reg/2024/2509/oj" w:history="1">
        <w:r w:rsidRPr="008235AB">
          <w:rPr>
            <w:rStyle w:val="Hyperlink"/>
            <w:sz w:val="24"/>
            <w:lang w:val="bg-BG"/>
          </w:rPr>
          <w:t>http://data.europa.eu/eli/reg/2024/2509/oj</w:t>
        </w:r>
      </w:hyperlink>
      <w:r w:rsidRPr="008235AB">
        <w:rPr>
          <w:sz w:val="24"/>
          <w:lang w:val="bg-BG"/>
        </w:rPr>
        <w:t>.</w:t>
      </w:r>
    </w:p>
  </w:footnote>
  <w:footnote w:id="2">
    <w:p w14:paraId="789DCADC" w14:textId="24CC2765" w:rsidR="00A40657" w:rsidRPr="008235AB" w:rsidRDefault="00A40657" w:rsidP="008235AB">
      <w:pPr>
        <w:pStyle w:val="FootnoteText"/>
        <w:ind w:left="567" w:hanging="567"/>
        <w:rPr>
          <w:sz w:val="24"/>
          <w:lang w:val="bg-BG"/>
        </w:rPr>
      </w:pPr>
      <w:r w:rsidRPr="008235AB">
        <w:rPr>
          <w:rStyle w:val="FootnoteReference"/>
          <w:sz w:val="24"/>
          <w:lang w:val="bg-BG"/>
        </w:rPr>
        <w:footnoteRef/>
      </w:r>
      <w:r w:rsidR="008235AB" w:rsidRPr="008235AB">
        <w:rPr>
          <w:sz w:val="24"/>
          <w:lang w:val="bg-BG"/>
        </w:rPr>
        <w:t xml:space="preserve"> </w:t>
      </w:r>
      <w:r w:rsidR="008235AB" w:rsidRPr="008235AB">
        <w:rPr>
          <w:sz w:val="24"/>
          <w:lang w:val="bg-BG"/>
        </w:rPr>
        <w:tab/>
      </w:r>
      <w:r w:rsidRPr="008235AB">
        <w:rPr>
          <w:sz w:val="24"/>
          <w:lang w:val="bg-BG"/>
        </w:rPr>
        <w:t xml:space="preserve">ОВ L, 2026/72, 26.2.2026 г., ELI: </w:t>
      </w:r>
      <w:hyperlink r:id="rId2" w:history="1">
        <w:r w:rsidRPr="008235AB">
          <w:rPr>
            <w:rStyle w:val="Hyperlink"/>
            <w:sz w:val="24"/>
            <w:lang w:val="bg-BG"/>
          </w:rPr>
          <w:t>http://data.europa.eu/eli/budget/2026/72/oj</w:t>
        </w:r>
      </w:hyperlink>
      <w:r w:rsidRPr="008235AB">
        <w:rPr>
          <w:sz w:val="24"/>
          <w:lang w:val="bg-BG"/>
        </w:rPr>
        <w:t>.</w:t>
      </w:r>
    </w:p>
  </w:footnote>
  <w:footnote w:id="3">
    <w:p w14:paraId="587C5122" w14:textId="4C3D5DF7" w:rsidR="00A40657" w:rsidRPr="008235AB" w:rsidRDefault="00A40657" w:rsidP="008235AB">
      <w:pPr>
        <w:pStyle w:val="FootnoteText"/>
        <w:ind w:left="567" w:hanging="567"/>
        <w:rPr>
          <w:sz w:val="24"/>
          <w:lang w:val="bg-BG"/>
        </w:rPr>
      </w:pPr>
      <w:r w:rsidRPr="008235AB">
        <w:rPr>
          <w:rStyle w:val="FootnoteReference"/>
          <w:sz w:val="24"/>
          <w:lang w:val="bg-BG"/>
        </w:rPr>
        <w:footnoteRef/>
      </w:r>
      <w:r w:rsidR="008235AB" w:rsidRPr="008235AB">
        <w:rPr>
          <w:sz w:val="24"/>
          <w:lang w:val="bg-BG"/>
        </w:rPr>
        <w:t xml:space="preserve"> </w:t>
      </w:r>
      <w:r w:rsidR="008235AB" w:rsidRPr="008235AB">
        <w:rPr>
          <w:sz w:val="24"/>
          <w:lang w:val="bg-BG"/>
        </w:rPr>
        <w:tab/>
      </w:r>
      <w:r w:rsidRPr="008235AB">
        <w:rPr>
          <w:sz w:val="24"/>
          <w:lang w:val="bg-BG"/>
        </w:rPr>
        <w:t xml:space="preserve">ОВ L 433 I, 22.12.2020 г., стр. 11, ELI: </w:t>
      </w:r>
      <w:hyperlink r:id="rId3" w:history="1">
        <w:r w:rsidRPr="008235AB">
          <w:rPr>
            <w:rStyle w:val="Hyperlink"/>
            <w:sz w:val="24"/>
            <w:lang w:val="bg-BG"/>
          </w:rPr>
          <w:t>http://data.europa.eu/eli/reg/2020/2093/oj</w:t>
        </w:r>
      </w:hyperlink>
      <w:r w:rsidRPr="008235AB">
        <w:rPr>
          <w:sz w:val="24"/>
          <w:lang w:val="bg-BG"/>
        </w:rPr>
        <w:t>.</w:t>
      </w:r>
    </w:p>
  </w:footnote>
  <w:footnote w:id="4">
    <w:p w14:paraId="34415EE4" w14:textId="70357D16" w:rsidR="00A40657" w:rsidRPr="008235AB" w:rsidRDefault="00A40657" w:rsidP="008235AB">
      <w:pPr>
        <w:pStyle w:val="FootnoteText"/>
        <w:ind w:left="567" w:hanging="567"/>
        <w:rPr>
          <w:sz w:val="24"/>
          <w:lang w:val="bg-BG"/>
        </w:rPr>
      </w:pPr>
      <w:r w:rsidRPr="008235AB">
        <w:rPr>
          <w:rStyle w:val="FootnoteReference"/>
          <w:sz w:val="24"/>
          <w:lang w:val="bg-BG"/>
        </w:rPr>
        <w:footnoteRef/>
      </w:r>
      <w:r w:rsidR="008235AB" w:rsidRPr="008235AB">
        <w:rPr>
          <w:sz w:val="24"/>
          <w:lang w:val="bg-BG"/>
        </w:rPr>
        <w:t xml:space="preserve"> </w:t>
      </w:r>
      <w:r w:rsidR="008235AB" w:rsidRPr="008235AB">
        <w:rPr>
          <w:sz w:val="24"/>
          <w:lang w:val="bg-BG"/>
        </w:rPr>
        <w:tab/>
      </w:r>
      <w:r w:rsidRPr="008235AB">
        <w:rPr>
          <w:sz w:val="24"/>
          <w:lang w:val="bg-BG"/>
        </w:rPr>
        <w:t xml:space="preserve">ОВ L, 2024/765, 29.2.2024 г., ELI: </w:t>
      </w:r>
      <w:hyperlink r:id="rId4" w:history="1">
        <w:r w:rsidRPr="008235AB">
          <w:rPr>
            <w:rStyle w:val="Hyperlink"/>
            <w:sz w:val="24"/>
            <w:lang w:val="bg-BG"/>
          </w:rPr>
          <w:t>http://data.europa.eu/eli/reg/2024/765/oj</w:t>
        </w:r>
      </w:hyperlink>
      <w:r w:rsidRPr="008235AB">
        <w:rPr>
          <w:sz w:val="24"/>
          <w:lang w:val="bg-BG"/>
        </w:rPr>
        <w:t>.</w:t>
      </w:r>
    </w:p>
  </w:footnote>
  <w:footnote w:id="5">
    <w:p w14:paraId="4AE22CFD" w14:textId="35735234" w:rsidR="00A40657" w:rsidRPr="008235AB" w:rsidRDefault="00A40657" w:rsidP="008235AB">
      <w:pPr>
        <w:pStyle w:val="FootnoteText"/>
        <w:ind w:left="567" w:hanging="567"/>
        <w:rPr>
          <w:sz w:val="24"/>
          <w:lang w:val="bg-BG"/>
        </w:rPr>
      </w:pPr>
      <w:r w:rsidRPr="008235AB">
        <w:rPr>
          <w:rStyle w:val="FootnoteReference"/>
          <w:sz w:val="24"/>
          <w:lang w:val="bg-BG"/>
        </w:rPr>
        <w:footnoteRef/>
      </w:r>
      <w:r w:rsidR="008235AB" w:rsidRPr="008235AB">
        <w:rPr>
          <w:sz w:val="24"/>
          <w:lang w:val="bg-BG"/>
        </w:rPr>
        <w:t xml:space="preserve"> </w:t>
      </w:r>
      <w:r w:rsidR="008235AB" w:rsidRPr="008235AB">
        <w:rPr>
          <w:sz w:val="24"/>
          <w:lang w:val="bg-BG"/>
        </w:rPr>
        <w:tab/>
      </w:r>
      <w:r w:rsidRPr="008235AB">
        <w:rPr>
          <w:sz w:val="24"/>
          <w:lang w:val="bg-BG"/>
        </w:rPr>
        <w:t xml:space="preserve">OВ L 433 I, 22.12.2020 г., стр. 28, ELI: </w:t>
      </w:r>
      <w:hyperlink r:id="rId5" w:history="1">
        <w:r w:rsidRPr="008235AB">
          <w:rPr>
            <w:rStyle w:val="Hyperlink"/>
            <w:sz w:val="24"/>
            <w:lang w:val="bg-BG"/>
          </w:rPr>
          <w:t>http://data.europa.eu/eli/agree_interinstit/2020/1222/oj</w:t>
        </w:r>
      </w:hyperlink>
      <w:r w:rsidRPr="008235AB">
        <w:rPr>
          <w:sz w:val="24"/>
          <w:lang w:val="bg-BG"/>
        </w:rPr>
        <w:t>.</w:t>
      </w:r>
    </w:p>
  </w:footnote>
  <w:footnote w:id="6">
    <w:p w14:paraId="61E4CFC8" w14:textId="4C7D1D70" w:rsidR="00A40657" w:rsidRPr="008235AB" w:rsidRDefault="00A40657" w:rsidP="008235AB">
      <w:pPr>
        <w:pStyle w:val="FootnoteText"/>
        <w:ind w:left="567" w:hanging="567"/>
        <w:rPr>
          <w:sz w:val="24"/>
          <w:lang w:val="bg-BG"/>
        </w:rPr>
      </w:pPr>
      <w:r w:rsidRPr="008235AB">
        <w:rPr>
          <w:rStyle w:val="FootnoteReference"/>
          <w:sz w:val="24"/>
          <w:lang w:val="bg-BG"/>
        </w:rPr>
        <w:footnoteRef/>
      </w:r>
      <w:r w:rsidR="008235AB" w:rsidRPr="008235AB">
        <w:rPr>
          <w:sz w:val="24"/>
          <w:lang w:val="bg-BG"/>
        </w:rPr>
        <w:t xml:space="preserve"> </w:t>
      </w:r>
      <w:r w:rsidR="008235AB" w:rsidRPr="008235AB">
        <w:rPr>
          <w:sz w:val="24"/>
          <w:lang w:val="bg-BG"/>
        </w:rPr>
        <w:tab/>
      </w:r>
      <w:r w:rsidRPr="008235AB">
        <w:rPr>
          <w:sz w:val="24"/>
          <w:lang w:val="bg-BG"/>
        </w:rPr>
        <w:t xml:space="preserve">OВ L 424, 15.12.2020 г., стр. 1, ELI: </w:t>
      </w:r>
      <w:hyperlink r:id="rId6" w:history="1">
        <w:r w:rsidRPr="008235AB">
          <w:rPr>
            <w:rStyle w:val="Hyperlink"/>
            <w:sz w:val="24"/>
            <w:lang w:val="bg-BG"/>
          </w:rPr>
          <w:t>http://data.europa.eu/eli/dec/2020/2053/oj</w:t>
        </w:r>
      </w:hyperlink>
      <w:r w:rsidRPr="008235AB">
        <w:rPr>
          <w:sz w:val="24"/>
          <w:lang w:val="bg-BG"/>
        </w:rPr>
        <w:t>.</w:t>
      </w:r>
    </w:p>
  </w:footnote>
  <w:footnote w:id="7">
    <w:p w14:paraId="22041EC0" w14:textId="6DCEA699" w:rsidR="00A40657" w:rsidRPr="008235AB" w:rsidRDefault="00A40657" w:rsidP="008235AB">
      <w:pPr>
        <w:pStyle w:val="FootnoteText"/>
        <w:ind w:left="567" w:hanging="567"/>
        <w:rPr>
          <w:sz w:val="24"/>
          <w:lang w:val="bg-BG"/>
        </w:rPr>
      </w:pPr>
      <w:r w:rsidRPr="008235AB">
        <w:rPr>
          <w:rStyle w:val="FootnoteReference"/>
          <w:sz w:val="24"/>
          <w:lang w:val="bg-BG"/>
        </w:rPr>
        <w:footnoteRef/>
      </w:r>
      <w:r w:rsidR="008235AB" w:rsidRPr="008235AB">
        <w:rPr>
          <w:sz w:val="24"/>
          <w:lang w:val="bg-BG"/>
        </w:rPr>
        <w:t xml:space="preserve"> </w:t>
      </w:r>
      <w:r w:rsidR="008235AB" w:rsidRPr="008235AB">
        <w:rPr>
          <w:sz w:val="24"/>
          <w:lang w:val="bg-BG"/>
        </w:rPr>
        <w:tab/>
      </w:r>
      <w:r w:rsidRPr="008235AB">
        <w:rPr>
          <w:sz w:val="24"/>
          <w:lang w:val="bg-BG"/>
        </w:rPr>
        <w:t xml:space="preserve">Приети текстове, </w:t>
      </w:r>
      <w:hyperlink r:id="rId7" w:history="1">
        <w:r w:rsidRPr="008235AB">
          <w:rPr>
            <w:rStyle w:val="Hyperlink"/>
            <w:sz w:val="24"/>
            <w:lang w:val="bg-BG"/>
          </w:rPr>
          <w:t>P10_TA(2026)0111</w:t>
        </w:r>
      </w:hyperlink>
      <w:r w:rsidRPr="008235AB">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B4D00" w14:textId="77777777" w:rsidR="00064002" w:rsidRPr="008235A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54684" w14:textId="77777777" w:rsidR="00064002" w:rsidRPr="008235A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28BEC" w14:textId="77777777" w:rsidR="00064002" w:rsidRPr="008235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9504265">
    <w:abstractNumId w:val="9"/>
  </w:num>
  <w:num w:numId="2" w16cid:durableId="939992300">
    <w:abstractNumId w:val="9"/>
  </w:num>
  <w:num w:numId="3" w16cid:durableId="1500804374">
    <w:abstractNumId w:val="7"/>
  </w:num>
  <w:num w:numId="4" w16cid:durableId="2019916453">
    <w:abstractNumId w:val="7"/>
  </w:num>
  <w:num w:numId="5" w16cid:durableId="1703822840">
    <w:abstractNumId w:val="6"/>
  </w:num>
  <w:num w:numId="6" w16cid:durableId="1689336184">
    <w:abstractNumId w:val="6"/>
  </w:num>
  <w:num w:numId="7" w16cid:durableId="1175921602">
    <w:abstractNumId w:val="5"/>
  </w:num>
  <w:num w:numId="8" w16cid:durableId="1443651284">
    <w:abstractNumId w:val="5"/>
  </w:num>
  <w:num w:numId="9" w16cid:durableId="1628075428">
    <w:abstractNumId w:val="4"/>
  </w:num>
  <w:num w:numId="10" w16cid:durableId="216166396">
    <w:abstractNumId w:val="4"/>
  </w:num>
  <w:num w:numId="11" w16cid:durableId="1137184449">
    <w:abstractNumId w:val="8"/>
  </w:num>
  <w:num w:numId="12" w16cid:durableId="1440905638">
    <w:abstractNumId w:val="8"/>
  </w:num>
  <w:num w:numId="13" w16cid:durableId="427310792">
    <w:abstractNumId w:val="3"/>
  </w:num>
  <w:num w:numId="14" w16cid:durableId="1539003049">
    <w:abstractNumId w:val="3"/>
  </w:num>
  <w:num w:numId="15" w16cid:durableId="830826248">
    <w:abstractNumId w:val="2"/>
  </w:num>
  <w:num w:numId="16" w16cid:durableId="1173643998">
    <w:abstractNumId w:val="2"/>
  </w:num>
  <w:num w:numId="17" w16cid:durableId="170222841">
    <w:abstractNumId w:val="1"/>
  </w:num>
  <w:num w:numId="18" w16cid:durableId="234629082">
    <w:abstractNumId w:val="1"/>
  </w:num>
  <w:num w:numId="19" w16cid:durableId="1383017739">
    <w:abstractNumId w:val="0"/>
  </w:num>
  <w:num w:numId="20" w16cid:durableId="1316762239">
    <w:abstractNumId w:val="0"/>
  </w:num>
  <w:num w:numId="21" w16cid:durableId="1078550480">
    <w:abstractNumId w:val="9"/>
  </w:num>
  <w:num w:numId="22" w16cid:durableId="416901596">
    <w:abstractNumId w:val="7"/>
  </w:num>
  <w:num w:numId="23" w16cid:durableId="1412776429">
    <w:abstractNumId w:val="6"/>
  </w:num>
  <w:num w:numId="24" w16cid:durableId="890993042">
    <w:abstractNumId w:val="5"/>
  </w:num>
  <w:num w:numId="25" w16cid:durableId="1808622632">
    <w:abstractNumId w:val="4"/>
  </w:num>
  <w:num w:numId="26" w16cid:durableId="654845317">
    <w:abstractNumId w:val="8"/>
  </w:num>
  <w:num w:numId="27" w16cid:durableId="216088797">
    <w:abstractNumId w:val="3"/>
  </w:num>
  <w:num w:numId="28" w16cid:durableId="1715932732">
    <w:abstractNumId w:val="2"/>
  </w:num>
  <w:num w:numId="29" w16cid:durableId="1040781210">
    <w:abstractNumId w:val="1"/>
  </w:num>
  <w:num w:numId="30" w16cid:durableId="138619498">
    <w:abstractNumId w:val="0"/>
  </w:num>
  <w:num w:numId="31" w16cid:durableId="315233383">
    <w:abstractNumId w:val="9"/>
  </w:num>
  <w:num w:numId="32" w16cid:durableId="1015381246">
    <w:abstractNumId w:val="7"/>
  </w:num>
  <w:num w:numId="33" w16cid:durableId="2095204219">
    <w:abstractNumId w:val="6"/>
  </w:num>
  <w:num w:numId="34" w16cid:durableId="1320887825">
    <w:abstractNumId w:val="5"/>
  </w:num>
  <w:num w:numId="35" w16cid:durableId="1521966217">
    <w:abstractNumId w:val="4"/>
  </w:num>
  <w:num w:numId="36" w16cid:durableId="1762212507">
    <w:abstractNumId w:val="8"/>
  </w:num>
  <w:num w:numId="37" w16cid:durableId="2146391056">
    <w:abstractNumId w:val="3"/>
  </w:num>
  <w:num w:numId="38" w16cid:durableId="2085032310">
    <w:abstractNumId w:val="2"/>
  </w:num>
  <w:num w:numId="39" w16cid:durableId="1503163371">
    <w:abstractNumId w:val="1"/>
  </w:num>
  <w:num w:numId="40" w16cid:durableId="732049338">
    <w:abstractNumId w:val="0"/>
  </w:num>
  <w:num w:numId="41" w16cid:durableId="1267541015">
    <w:abstractNumId w:val="10"/>
  </w:num>
  <w:num w:numId="42" w16cid:durableId="1415856478">
    <w:abstractNumId w:val="10"/>
  </w:num>
  <w:num w:numId="43" w16cid:durableId="1061250370">
    <w:abstractNumId w:val="10"/>
  </w:num>
  <w:num w:numId="44" w16cid:durableId="4294004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6"/>
    <w:docVar w:name="dvlangue" w:val="BG"/>
    <w:docVar w:name="dvnumam" w:val="0"/>
    <w:docVar w:name="dvpe" w:val="787.947"/>
    <w:docVar w:name="dvrapporteur" w:val="Докладчик: "/>
    <w:docVar w:name="dvtitre" w:val="Законодателна резолюция на Европейския парламент от ... 2026 г. относно позицията на Съвета относно проект на коригиращ бюджет № 1/2026 на Европейския съюз за финансовата 2026 година за вписване на излишъка от финансовата 2025 година(09919/2026 – C10-0145/2026 – 2026/0090(BUD))"/>
  </w:docVars>
  <w:rsids>
    <w:rsidRoot w:val="0096683C"/>
    <w:rsid w:val="00002272"/>
    <w:rsid w:val="00064002"/>
    <w:rsid w:val="000677B9"/>
    <w:rsid w:val="000831BA"/>
    <w:rsid w:val="000A42CC"/>
    <w:rsid w:val="000E7DD9"/>
    <w:rsid w:val="0010095E"/>
    <w:rsid w:val="00125B37"/>
    <w:rsid w:val="00187494"/>
    <w:rsid w:val="001F32AE"/>
    <w:rsid w:val="002344FD"/>
    <w:rsid w:val="002767FF"/>
    <w:rsid w:val="002B18FE"/>
    <w:rsid w:val="002B5493"/>
    <w:rsid w:val="00343214"/>
    <w:rsid w:val="00361C00"/>
    <w:rsid w:val="00395FA1"/>
    <w:rsid w:val="003E15D4"/>
    <w:rsid w:val="00411CCE"/>
    <w:rsid w:val="0041666E"/>
    <w:rsid w:val="00421060"/>
    <w:rsid w:val="00471C19"/>
    <w:rsid w:val="00481954"/>
    <w:rsid w:val="004867E3"/>
    <w:rsid w:val="00494A28"/>
    <w:rsid w:val="004C0004"/>
    <w:rsid w:val="004C5D52"/>
    <w:rsid w:val="0050519A"/>
    <w:rsid w:val="005072A1"/>
    <w:rsid w:val="00514517"/>
    <w:rsid w:val="00545827"/>
    <w:rsid w:val="00547B5E"/>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35AB"/>
    <w:rsid w:val="00842779"/>
    <w:rsid w:val="00865F67"/>
    <w:rsid w:val="00881A7B"/>
    <w:rsid w:val="008840E5"/>
    <w:rsid w:val="00887B3E"/>
    <w:rsid w:val="008C2AC6"/>
    <w:rsid w:val="00930C23"/>
    <w:rsid w:val="0093193B"/>
    <w:rsid w:val="009509D8"/>
    <w:rsid w:val="00950B64"/>
    <w:rsid w:val="0096683C"/>
    <w:rsid w:val="00981893"/>
    <w:rsid w:val="00A1687D"/>
    <w:rsid w:val="00A4065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3783"/>
    <w:rsid w:val="00D872DF"/>
    <w:rsid w:val="00D91E21"/>
    <w:rsid w:val="00D96AAB"/>
    <w:rsid w:val="00DA7FCD"/>
    <w:rsid w:val="00E365E1"/>
    <w:rsid w:val="00E820A4"/>
    <w:rsid w:val="00EB006A"/>
    <w:rsid w:val="00EB4772"/>
    <w:rsid w:val="00ED169E"/>
    <w:rsid w:val="00ED4235"/>
    <w:rsid w:val="00F04346"/>
    <w:rsid w:val="00F075DC"/>
    <w:rsid w:val="00F149E9"/>
    <w:rsid w:val="00F45A2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D9ABEE"/>
  <w15:chartTrackingRefBased/>
  <w15:docId w15:val="{553DFB36-47E7-4A29-A0F8-CACAF6332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40657"/>
    <w:pPr>
      <w:spacing w:before="480" w:after="240"/>
    </w:pPr>
  </w:style>
  <w:style w:type="paragraph" w:customStyle="1" w:styleId="NormalHanging12a">
    <w:name w:val="NormalHanging12a"/>
    <w:basedOn w:val="Normal"/>
    <w:rsid w:val="00A40657"/>
    <w:pPr>
      <w:spacing w:after="240"/>
      <w:ind w:left="567" w:hanging="567"/>
    </w:pPr>
  </w:style>
  <w:style w:type="character" w:styleId="Hyperlink">
    <w:name w:val="Hyperlink"/>
    <w:basedOn w:val="DefaultParagraphFont"/>
    <w:rsid w:val="00A40657"/>
    <w:rPr>
      <w:color w:val="0563C1" w:themeColor="hyperlink"/>
      <w:u w:val="single"/>
    </w:rPr>
  </w:style>
  <w:style w:type="paragraph" w:styleId="Revision">
    <w:name w:val="Revision"/>
    <w:hidden/>
    <w:uiPriority w:val="99"/>
    <w:semiHidden/>
    <w:rsid w:val="00D83783"/>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7" Type="http://schemas.openxmlformats.org/officeDocument/2006/relationships/hyperlink" Target="https://www.europarl.europa.eu/doceo/document/TA-10-2026-0111_BG.html" TargetMode="External"/><Relationship Id="rId2" Type="http://schemas.openxmlformats.org/officeDocument/2006/relationships/hyperlink" Target="http://data.europa.eu/eli/budget/2026/72/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dec/2020/2053/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1169</Words>
  <Characters>6640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Kiril GIRGINOV</cp:lastModifiedBy>
  <cp:revision>2</cp:revision>
  <cp:lastPrinted>2004-11-19T15:42:00Z</cp:lastPrinted>
  <dcterms:created xsi:type="dcterms:W3CDTF">2026-07-07T13:07:00Z</dcterms:created>
  <dcterms:modified xsi:type="dcterms:W3CDTF">2026-07-07T13:07:00Z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A10-0180/2026</vt:lpwstr>
  </property>
  <property fmtid="{D5CDD505-2E9C-101B-9397-08002B2CF9AE}" pid="4" name="&lt;Type&gt;">
    <vt:lpwstr>RR</vt:lpwstr>
  </property>
</Properties>
</file>