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0BFB" w14:paraId="22461B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89ECAA" w14:textId="4300BC97" w:rsidR="00751A4A" w:rsidRPr="00040BFB" w:rsidRDefault="005C72BB" w:rsidP="0010095E">
            <w:pPr>
              <w:pStyle w:val="EPName"/>
            </w:pPr>
            <w:r w:rsidRPr="00040BFB">
              <w:t>Evropský parlament</w:t>
            </w:r>
          </w:p>
          <w:p w14:paraId="5D48D97F" w14:textId="77777777" w:rsidR="00751A4A" w:rsidRPr="00040B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BFB">
              <w:t>2024</w:t>
            </w:r>
            <w:r w:rsidR="00817416" w:rsidRPr="00040BFB">
              <w:t>-202</w:t>
            </w:r>
            <w:r w:rsidRPr="00040BFB">
              <w:t>9</w:t>
            </w:r>
          </w:p>
        </w:tc>
        <w:tc>
          <w:tcPr>
            <w:tcW w:w="2268" w:type="dxa"/>
            <w:shd w:val="clear" w:color="auto" w:fill="auto"/>
          </w:tcPr>
          <w:p w14:paraId="4ECCCFA0" w14:textId="77777777" w:rsidR="00751A4A" w:rsidRPr="00040BFB" w:rsidRDefault="00187494" w:rsidP="0010095E">
            <w:pPr>
              <w:pStyle w:val="EPLogo"/>
            </w:pPr>
            <w:r w:rsidRPr="00040BFB">
              <w:rPr>
                <w:noProof/>
                <w:lang w:eastAsia="ja-JP"/>
              </w:rPr>
              <w:drawing>
                <wp:inline distT="0" distB="0" distL="0" distR="0" wp14:anchorId="1920492F" wp14:editId="06A453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AADF30" w14:textId="77777777" w:rsidR="00D058B8" w:rsidRPr="00040BFB" w:rsidRDefault="00D058B8" w:rsidP="004C5D52">
      <w:pPr>
        <w:pStyle w:val="LineTop"/>
      </w:pPr>
    </w:p>
    <w:p w14:paraId="14413132" w14:textId="22DD2AFD" w:rsidR="00680577" w:rsidRPr="00040BFB" w:rsidRDefault="005C72BB" w:rsidP="00680577">
      <w:pPr>
        <w:pStyle w:val="EPBodyTA1"/>
      </w:pPr>
      <w:r w:rsidRPr="00040BFB">
        <w:t>PŘIJATÉ TEXTY</w:t>
      </w:r>
    </w:p>
    <w:p w14:paraId="24090F47" w14:textId="77777777" w:rsidR="00D058B8" w:rsidRPr="00040BFB" w:rsidRDefault="00D058B8" w:rsidP="00D058B8">
      <w:pPr>
        <w:pStyle w:val="LineBottom"/>
      </w:pPr>
    </w:p>
    <w:p w14:paraId="75FCA597" w14:textId="7B2ED354" w:rsidR="005C72BB" w:rsidRPr="00181662" w:rsidRDefault="005C72BB" w:rsidP="005C72BB">
      <w:pPr>
        <w:pStyle w:val="ATHeading1"/>
      </w:pPr>
      <w:bookmarkStart w:id="0" w:name="TANumber"/>
      <w:r w:rsidRPr="00181662">
        <w:t>P10_</w:t>
      </w:r>
      <w:proofErr w:type="gramStart"/>
      <w:r w:rsidRPr="00181662">
        <w:t>TA(</w:t>
      </w:r>
      <w:proofErr w:type="gramEnd"/>
      <w:r w:rsidRPr="00181662">
        <w:t>2026)0</w:t>
      </w:r>
      <w:r w:rsidR="00CE1715">
        <w:t>242</w:t>
      </w:r>
      <w:bookmarkEnd w:id="0"/>
    </w:p>
    <w:p w14:paraId="13FC4683" w14:textId="77777777" w:rsidR="005C72BB" w:rsidRPr="00181662" w:rsidRDefault="005C72BB" w:rsidP="005C72BB">
      <w:pPr>
        <w:pStyle w:val="ATHeading2"/>
      </w:pPr>
      <w:bookmarkStart w:id="1" w:name="title"/>
      <w:r w:rsidRPr="00181662">
        <w:t>Návrh opravného rozpočtu č. 1/2026: zahrnutí přebytku za rozpočtový rok 2025</w:t>
      </w:r>
      <w:bookmarkEnd w:id="1"/>
    </w:p>
    <w:p w14:paraId="48739826" w14:textId="77777777" w:rsidR="005C72BB" w:rsidRPr="00040BFB" w:rsidRDefault="005C72BB" w:rsidP="005C72BB">
      <w:pPr>
        <w:rPr>
          <w:i/>
          <w:vanish/>
        </w:rPr>
      </w:pPr>
      <w:r w:rsidRPr="00040BFB">
        <w:rPr>
          <w:i/>
        </w:rPr>
        <w:fldChar w:fldCharType="begin"/>
      </w:r>
      <w:r w:rsidRPr="00040BFB">
        <w:rPr>
          <w:i/>
        </w:rPr>
        <w:instrText xml:space="preserve"> TC"(</w:instrText>
      </w:r>
      <w:bookmarkStart w:id="2" w:name="DocNumber"/>
      <w:r w:rsidRPr="00040BFB">
        <w:rPr>
          <w:i/>
        </w:rPr>
        <w:instrText>A10-0180/2026</w:instrText>
      </w:r>
      <w:bookmarkEnd w:id="2"/>
      <w:r w:rsidRPr="00040BFB">
        <w:rPr>
          <w:i/>
        </w:rPr>
        <w:instrText xml:space="preserve"> - Zpravodaj: Andrzej Halicki)"\l3 \n&gt; \* MERGEFORMAT </w:instrText>
      </w:r>
      <w:r w:rsidRPr="00040BFB">
        <w:rPr>
          <w:i/>
        </w:rPr>
        <w:fldChar w:fldCharType="end"/>
      </w:r>
    </w:p>
    <w:p w14:paraId="015A1D56" w14:textId="77777777" w:rsidR="005C72BB" w:rsidRPr="00040BFB" w:rsidRDefault="005C72BB" w:rsidP="005C72BB">
      <w:pPr>
        <w:rPr>
          <w:vanish/>
        </w:rPr>
      </w:pPr>
      <w:bookmarkStart w:id="3" w:name="Commission"/>
      <w:r w:rsidRPr="00040BFB">
        <w:rPr>
          <w:vanish/>
        </w:rPr>
        <w:t>Rozpočtový výbor</w:t>
      </w:r>
      <w:bookmarkEnd w:id="3"/>
    </w:p>
    <w:p w14:paraId="2602E970" w14:textId="77777777" w:rsidR="005C72BB" w:rsidRPr="00040BFB" w:rsidRDefault="005C72BB" w:rsidP="005C72BB">
      <w:pPr>
        <w:rPr>
          <w:vanish/>
        </w:rPr>
      </w:pPr>
      <w:bookmarkStart w:id="4" w:name="PE"/>
      <w:r w:rsidRPr="00040BFB">
        <w:rPr>
          <w:vanish/>
        </w:rPr>
        <w:t>PE787.947</w:t>
      </w:r>
      <w:bookmarkEnd w:id="4"/>
    </w:p>
    <w:p w14:paraId="56CDFC71" w14:textId="101D069D" w:rsidR="005C72BB" w:rsidRPr="00181662" w:rsidRDefault="005C72BB" w:rsidP="005C72BB">
      <w:pPr>
        <w:pStyle w:val="ATHeading3"/>
      </w:pPr>
      <w:bookmarkStart w:id="5" w:name="Sujet"/>
      <w:r w:rsidRPr="00181662">
        <w:t>Usnesení Evropského parlamentu ze dne 7. července 2026 o postoji Rady k návrhu opravného rozpočtu č. 1</w:t>
      </w:r>
      <w:r w:rsidR="00D4662A">
        <w:t xml:space="preserve"> k souhrnnému rozpočtu</w:t>
      </w:r>
      <w:r w:rsidRPr="00181662">
        <w:t xml:space="preserve"> na rok 2026 – </w:t>
      </w:r>
      <w:r w:rsidR="00D4662A">
        <w:t>zahrnutí</w:t>
      </w:r>
      <w:r w:rsidRPr="00181662">
        <w:t xml:space="preserve"> přebytku za rozpočtový rok 2025</w:t>
      </w:r>
      <w:bookmarkEnd w:id="5"/>
      <w:r w:rsidRPr="00181662">
        <w:t xml:space="preserve"> </w:t>
      </w:r>
      <w:bookmarkStart w:id="6" w:name="References"/>
      <w:r w:rsidRPr="00181662">
        <w:t>(09919/2026 – C10-0145/</w:t>
      </w:r>
      <w:proofErr w:type="gramStart"/>
      <w:r w:rsidRPr="00181662">
        <w:t>2026 – 2026</w:t>
      </w:r>
      <w:proofErr w:type="gramEnd"/>
      <w:r w:rsidRPr="00181662">
        <w:t>/0090(BUD))</w:t>
      </w:r>
      <w:bookmarkEnd w:id="6"/>
    </w:p>
    <w:p w14:paraId="4BDCCB5A" w14:textId="77777777" w:rsidR="007C5C4F" w:rsidRPr="00040BFB" w:rsidRDefault="007C5C4F" w:rsidP="007C5C4F">
      <w:pPr>
        <w:pStyle w:val="EPComma"/>
      </w:pPr>
      <w:bookmarkStart w:id="7" w:name="TextBodyBegin"/>
      <w:bookmarkEnd w:id="7"/>
      <w:r w:rsidRPr="00040BFB">
        <w:rPr>
          <w:i/>
        </w:rPr>
        <w:t>Evropský parlament</w:t>
      </w:r>
      <w:r w:rsidRPr="00040BFB">
        <w:t>,</w:t>
      </w:r>
    </w:p>
    <w:p w14:paraId="70720BF1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článek 314 Smlouvy o fungování Evropské unie,</w:t>
      </w:r>
    </w:p>
    <w:p w14:paraId="62410AFE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článek 106a Smlouvy o založení Evropského společenství pro atomovou energii,</w:t>
      </w:r>
    </w:p>
    <w:p w14:paraId="744FA895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nařízení Evropského parlamentu a Rady (EU, Euratom) 2024/2509 ze dne 23. září 2024, kterým se stanoví finanční pravidla pro souhrnný rozpočet Unie</w:t>
      </w:r>
      <w:r w:rsidRPr="00040BFB">
        <w:rPr>
          <w:rStyle w:val="FootnoteReference"/>
        </w:rPr>
        <w:footnoteReference w:id="1"/>
      </w:r>
      <w:r w:rsidRPr="00040BFB">
        <w:t>, a zejména na článek 44 tohoto nařízení,</w:t>
      </w:r>
    </w:p>
    <w:p w14:paraId="2F035511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souhrnný rozpočet Evropské unie na rozpočtový rok 2026 přijatý s konečnou platností dne 26. listopadu 2025</w:t>
      </w:r>
      <w:r w:rsidRPr="00040BFB">
        <w:rPr>
          <w:vertAlign w:val="superscript"/>
        </w:rPr>
        <w:footnoteReference w:id="2"/>
      </w:r>
      <w:r w:rsidRPr="00040BFB">
        <w:t>,</w:t>
      </w:r>
    </w:p>
    <w:p w14:paraId="2DE3273F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nařízení Rady (EU, Euratom) 2020/2093 ze dne 17. prosince 2020, kterým se stanoví víceletý finanční rámec na období 2021–2027</w:t>
      </w:r>
      <w:r w:rsidRPr="00040BFB">
        <w:rPr>
          <w:vertAlign w:val="superscript"/>
        </w:rPr>
        <w:footnoteReference w:id="3"/>
      </w:r>
      <w:r w:rsidRPr="00040BFB">
        <w:t>,</w:t>
      </w:r>
    </w:p>
    <w:p w14:paraId="7E656CF5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nařízení Rady (EU, Euratom) 2024/765, kterým se mění nařízení (EU, Euratom) 2020/2093, kterým se stanoví víceletý finanční rámec na období 2021–2027</w:t>
      </w:r>
      <w:r w:rsidRPr="00040BFB">
        <w:rPr>
          <w:vertAlign w:val="superscript"/>
        </w:rPr>
        <w:footnoteReference w:id="4"/>
      </w:r>
      <w:r w:rsidRPr="00040BFB">
        <w:t>,</w:t>
      </w:r>
    </w:p>
    <w:p w14:paraId="1411E160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 xml:space="preserve">s ohledem na interinstitucionální dohodu ze dne 16. prosince 2020 mezi Evropským parlamentem, Radou Evropské unie a Evropskou komisí o rozpočtové kázni, spolupráci v rozpočtových záležitostech a řádném finančním řízení, jakož i o nových vlastních </w:t>
      </w:r>
      <w:r w:rsidRPr="00040BFB">
        <w:lastRenderedPageBreak/>
        <w:t>zdrojích, včetně plánu zavádění nových vlastních zdrojů</w:t>
      </w:r>
      <w:r w:rsidRPr="00040BFB">
        <w:rPr>
          <w:vertAlign w:val="superscript"/>
        </w:rPr>
        <w:footnoteReference w:id="5"/>
      </w:r>
      <w:r w:rsidRPr="00040BFB">
        <w:t>,</w:t>
      </w:r>
    </w:p>
    <w:p w14:paraId="0CFFE8C9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rozhodnutí Rady (EU, Euratom) 2020/2053 ze dne 14. prosince 2020 o systému vlastních zdrojů Evropské unie a o zrušení rozhodnutí 2014/335/EU, Euratom</w:t>
      </w:r>
      <w:r w:rsidRPr="00040BFB">
        <w:rPr>
          <w:vertAlign w:val="superscript"/>
        </w:rPr>
        <w:footnoteReference w:id="6"/>
      </w:r>
      <w:r w:rsidRPr="00040BFB">
        <w:t>,</w:t>
      </w:r>
    </w:p>
    <w:p w14:paraId="50921061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své usnesení ze dne 28. dubna 2026 o návrhu nařízení Rady, kterým se stanoví víceletý finanční rámec na období 2028–2034</w:t>
      </w:r>
      <w:r w:rsidRPr="00040BFB">
        <w:rPr>
          <w:rStyle w:val="FootnoteReference"/>
        </w:rPr>
        <w:footnoteReference w:id="7"/>
      </w:r>
      <w:r w:rsidRPr="00040BFB">
        <w:t>,</w:t>
      </w:r>
    </w:p>
    <w:p w14:paraId="0E8B3D45" w14:textId="77777777" w:rsidR="007C5C4F" w:rsidRPr="00040BFB" w:rsidRDefault="007C5C4F" w:rsidP="000A188B">
      <w:pPr>
        <w:pStyle w:val="NormalHanging12a"/>
      </w:pPr>
      <w:bookmarkStart w:id="8" w:name="_Hlk229564682"/>
      <w:r w:rsidRPr="00040BFB">
        <w:t>–</w:t>
      </w:r>
      <w:r w:rsidRPr="00040BFB">
        <w:tab/>
        <w:t>s ohledem na návrh opravného rozpočtu č. 1/2026, který Komise přijala dne 10. dubna 2026 (</w:t>
      </w:r>
      <w:proofErr w:type="gramStart"/>
      <w:r w:rsidRPr="00040BFB">
        <w:t>COM(</w:t>
      </w:r>
      <w:proofErr w:type="gramEnd"/>
      <w:r w:rsidRPr="00040BFB">
        <w:t>2026)0450),</w:t>
      </w:r>
      <w:bookmarkEnd w:id="8"/>
    </w:p>
    <w:p w14:paraId="0EBA465A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postoj k návrhu opravného rozpočtu č. 1/2026, který Rada přijala dne 16. června 2026 a postoupila Parlamentu dne 18. června 2026 (09919/2026),</w:t>
      </w:r>
    </w:p>
    <w:p w14:paraId="1B29ACB6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články 96 a 98 jednacího řádu,</w:t>
      </w:r>
    </w:p>
    <w:p w14:paraId="28D37692" w14:textId="77777777" w:rsidR="007C5C4F" w:rsidRPr="00040BFB" w:rsidRDefault="007C5C4F" w:rsidP="000A188B">
      <w:pPr>
        <w:pStyle w:val="NormalHanging12a"/>
      </w:pPr>
      <w:r w:rsidRPr="00040BFB">
        <w:t>–</w:t>
      </w:r>
      <w:r w:rsidRPr="00040BFB">
        <w:tab/>
        <w:t>s ohledem na zprávu Rozpočtového výboru (A10</w:t>
      </w:r>
      <w:r w:rsidRPr="00040BFB">
        <w:noBreakHyphen/>
        <w:t>0180/2026),</w:t>
      </w:r>
    </w:p>
    <w:p w14:paraId="53787835" w14:textId="77777777" w:rsidR="007C5C4F" w:rsidRPr="00040BFB" w:rsidRDefault="007C5C4F" w:rsidP="000A188B">
      <w:pPr>
        <w:pStyle w:val="NormalHanging12a"/>
      </w:pPr>
      <w:r w:rsidRPr="00040BFB">
        <w:t>A.</w:t>
      </w:r>
      <w:r w:rsidRPr="00040BFB">
        <w:tab/>
        <w:t>vzhledem k tomu, že účelem návrhu opravného rozpočtu č. 1/2026 je zapsat do rozpočtu na rok 2026 přebytek, který je výsledkem plnění rozpočtu za rozpočtový rok 2025 a činí 2 095 milionů EUR;</w:t>
      </w:r>
    </w:p>
    <w:p w14:paraId="4FA879CC" w14:textId="77777777" w:rsidR="007C5C4F" w:rsidRPr="00040BFB" w:rsidRDefault="007C5C4F" w:rsidP="000A188B">
      <w:pPr>
        <w:pStyle w:val="NormalHanging12a"/>
      </w:pPr>
      <w:r w:rsidRPr="00040BFB">
        <w:t>B.</w:t>
      </w:r>
      <w:r w:rsidRPr="00040BFB">
        <w:tab/>
        <w:t>vzhledem k tomu, že hlavní složkou tohoto přebytku je kladný zůstatek na straně příjmů ve výši 1 994 miliony EUR a nevyčerpané prostředky ve výši 101 milionu EUR;</w:t>
      </w:r>
    </w:p>
    <w:p w14:paraId="0D555A35" w14:textId="77777777" w:rsidR="007C5C4F" w:rsidRPr="00040BFB" w:rsidRDefault="007C5C4F" w:rsidP="000A188B">
      <w:pPr>
        <w:pStyle w:val="NormalHanging12a"/>
      </w:pPr>
      <w:r w:rsidRPr="00040BFB">
        <w:t>C.</w:t>
      </w:r>
      <w:r w:rsidRPr="00040BFB">
        <w:tab/>
        <w:t xml:space="preserve">vzhledem k tomu, že na straně příjmů je přebytek tvořen převážně </w:t>
      </w:r>
      <w:bookmarkStart w:id="9" w:name="_Hlk233197369"/>
      <w:r w:rsidRPr="00040BFB">
        <w:t>vyšší částkou cel, než se očekávalo, a to o 860 milionů EUR</w:t>
      </w:r>
      <w:bookmarkEnd w:id="9"/>
      <w:r w:rsidRPr="00040BFB">
        <w:t xml:space="preserve">; vzhledem k tomu, že druhou nejvýznamnější složkou přebytku jsou výnosy z finančních činností, úroky z prodlení a pokuty ve výši 840 milionů EUR; </w:t>
      </w:r>
    </w:p>
    <w:p w14:paraId="1E726797" w14:textId="77777777" w:rsidR="007C5C4F" w:rsidRPr="00040BFB" w:rsidRDefault="007C5C4F" w:rsidP="000A188B">
      <w:pPr>
        <w:pStyle w:val="NormalHanging12a"/>
      </w:pPr>
      <w:r w:rsidRPr="00040BFB">
        <w:t>D.</w:t>
      </w:r>
      <w:r w:rsidRPr="00040BFB">
        <w:tab/>
        <w:t>vzhledem k tomu, že na straně výdajů dosáhla částka neprovedených plateb ve všech orgánech a institucích, včetně zrušených přídělů, které byly přeneseny do dalšího roku, celkem 111 milionů EUR (tj. 0,04 % schválených prostředků na platby);</w:t>
      </w:r>
    </w:p>
    <w:p w14:paraId="25FCD882" w14:textId="77777777" w:rsidR="007C5C4F" w:rsidRPr="00040BFB" w:rsidRDefault="007C5C4F" w:rsidP="000A188B">
      <w:pPr>
        <w:pStyle w:val="NormalHanging12a"/>
      </w:pPr>
      <w:r w:rsidRPr="00040BFB">
        <w:t>1.</w:t>
      </w:r>
      <w:r w:rsidRPr="00040BFB">
        <w:tab/>
        <w:t>bere na vědomí návrh opravného rozpočtu č. 1/2026 předložený Komisí, jehož účelem je zapsat v souladu s čl. 18 odst. 3 finančního nařízení do rozpočtu přebytek za rok 2025 ve výši 2 095 milionů EUR;</w:t>
      </w:r>
      <w:sdt>
        <w:sdtPr>
          <w:tag w:val="goog_rdk_0"/>
          <w:id w:val="1937094721"/>
        </w:sdtPr>
        <w:sdtEndPr/>
        <w:sdtContent/>
      </w:sdt>
    </w:p>
    <w:p w14:paraId="700AC618" w14:textId="77777777" w:rsidR="007C5C4F" w:rsidRPr="00040BFB" w:rsidRDefault="007C5C4F" w:rsidP="000A188B">
      <w:pPr>
        <w:pStyle w:val="NormalHanging12a"/>
      </w:pPr>
      <w:r w:rsidRPr="00040BFB">
        <w:t>2.</w:t>
      </w:r>
      <w:r w:rsidRPr="00040BFB">
        <w:tab/>
        <w:t xml:space="preserve">vítá skutečnost, že přebytek za rok 2025 je především výsledkem větších změn v hlavě 1 (Vlastní zdroje, zejména pokud jde o cla) a hlavě 4 (Výnosy z finančních činností, úroky z prodlení a pokuty), zatímco nadměrné výdaje jsou i nadále velmi malé a činí 101 milionů EUR; </w:t>
      </w:r>
    </w:p>
    <w:p w14:paraId="685E82DF" w14:textId="77777777" w:rsidR="007C5C4F" w:rsidRPr="00040BFB" w:rsidRDefault="007C5C4F" w:rsidP="000A188B">
      <w:pPr>
        <w:pStyle w:val="NormalHanging12a"/>
      </w:pPr>
      <w:r w:rsidRPr="00040BFB">
        <w:t>3.</w:t>
      </w:r>
      <w:r w:rsidRPr="00040BFB">
        <w:tab/>
        <w:t xml:space="preserve">s politováním konstatuje, že zapsáním tohoto přebytku do rozpočtu jsou o příslušnou částku sníženy celkové vlastní zdroje z HND, kterými členské státy přispívají k financování rozpočtu na rok 2026; zdůrazňuje, že v době, kdy jsou potřeby </w:t>
      </w:r>
      <w:r w:rsidRPr="00040BFB">
        <w:lastRenderedPageBreak/>
        <w:t xml:space="preserve">financování nadále vysoké, zejména pokud jde o náklady na dluhovou službu evropského nástroje na podporu oživení, a kdy manévrovací prostor v rámci rozpočtu Unie zůstává extrémně omezený, by si měl rozpočet v posledních letech stávajícího VFR zachovat dostatečnou míru flexibility, aby byla Unie schopna čelit nepředvídaným událostem; zdůrazňuje, že flexibilita rozpočtu Unie je jednou z klíčových otázek, které je třeba řešit při jednáních o víceletém finančním rámci na období 2028–2034; </w:t>
      </w:r>
    </w:p>
    <w:p w14:paraId="0CCFA478" w14:textId="77777777" w:rsidR="007C5C4F" w:rsidRPr="00040BFB" w:rsidRDefault="007C5C4F" w:rsidP="000A188B">
      <w:pPr>
        <w:pStyle w:val="NormalHanging12a"/>
      </w:pPr>
      <w:r w:rsidRPr="00040BFB">
        <w:t>4.</w:t>
      </w:r>
      <w:r w:rsidRPr="00040BFB">
        <w:tab/>
        <w:t>připomíná svůj dlouhodobý postoj, že neočekávané zisky plynoucí z pokut a poplatků nebo jejich ekvivalentů by měly být použity jako doplňkový příjem rozpočtu Unie a neměly by vést k ekvivalentnímu snížení příspěvků založených na HND;</w:t>
      </w:r>
    </w:p>
    <w:p w14:paraId="14E541F3" w14:textId="77777777" w:rsidR="007C5C4F" w:rsidRPr="00040BFB" w:rsidRDefault="007C5C4F" w:rsidP="000A188B">
      <w:pPr>
        <w:pStyle w:val="NormalHanging12a"/>
      </w:pPr>
      <w:r w:rsidRPr="00040BFB">
        <w:t>5.</w:t>
      </w:r>
      <w:r w:rsidRPr="00040BFB">
        <w:tab/>
        <w:t>bere na vědomí výpočet upraveného ročního jednorázového snížení HND v případě pěti přijímajících členských států v čisté výši cca 5,8 miliardy EUR; poukazuje na to, že tyto slevy jsou spojeny s inflací, a proto se zvýšily více než stropy VFR, které jsou každoročně upravovány na základě 2% deflátoru; zdůrazňuje, že tato anomálie vede k vyššímu zatížení ostatních členských států;</w:t>
      </w:r>
    </w:p>
    <w:p w14:paraId="3A1FBD27" w14:textId="77777777" w:rsidR="007C5C4F" w:rsidRPr="00040BFB" w:rsidRDefault="007C5C4F" w:rsidP="000A188B">
      <w:pPr>
        <w:pStyle w:val="NormalHanging12a"/>
      </w:pPr>
      <w:r w:rsidRPr="00040BFB">
        <w:t>6.</w:t>
      </w:r>
      <w:r w:rsidRPr="00040BFB">
        <w:tab/>
        <w:t>bere na vědomí položku se záporným příjmem v článku 425, která dosahuje 54 milionů EUR, a vítá tento postup, kdy jsou do rozpočtu zahrnuty náklady na platby uskutečněné v rámci dohod o vypořádání, které vedou k náhradám ve formě vyrovnávacích úroků a úroků z prodlení vzniklých na základě vrácených pokut uložených v souvislosti s hospodářskou soutěží, jež byly v souladu s příslušnými rozsudky Soudního dvora zrušeny nebo sníženy; připomíná, že Parlament při jednáních o přepracovaném znění finančního nařízení z roku 2024 trval na uplatňování tohoto přístupu, aby se zabránilo vytváření dodatečných výdajů v již tak přetíženém okruhu 7; připomíná, že uplatňování tohoto řešení 31. prosince 2027 skončí; vyzývá Komisi, aby pro příští VFR navrhla finální řešení, které bude naplňovat stejný cíl a nebude mít dopad na výdajovou stránku rozpočtu;</w:t>
      </w:r>
    </w:p>
    <w:p w14:paraId="6EA84BA5" w14:textId="28D259AA" w:rsidR="007C5C4F" w:rsidRPr="00040BFB" w:rsidRDefault="007C5C4F" w:rsidP="000A188B">
      <w:pPr>
        <w:pStyle w:val="NormalHanging12a"/>
      </w:pPr>
      <w:r w:rsidRPr="00040BFB">
        <w:t>7.</w:t>
      </w:r>
      <w:r w:rsidRPr="00040BFB">
        <w:tab/>
        <w:t>opakuje svůj dlouhodobý požadavek, aby byly pro rozpočet Unie zajištěny udržitelné, předvídatelné a odolné příjmy podle článku 310 S</w:t>
      </w:r>
      <w:r w:rsidR="00D4662A">
        <w:t xml:space="preserve">mlouvy o fungování </w:t>
      </w:r>
      <w:r w:rsidRPr="00040BFB">
        <w:t>E</w:t>
      </w:r>
      <w:r w:rsidR="00D4662A">
        <w:t>vropské unie</w:t>
      </w:r>
      <w:r w:rsidRPr="00040BFB">
        <w:t xml:space="preserve">, které by měly odpovídat výdajové straně a strategickým prioritám a zjištěným finančním potřebám Unie; znovu potvrzuje </w:t>
      </w:r>
      <w:r w:rsidR="0005264E">
        <w:t xml:space="preserve">své </w:t>
      </w:r>
      <w:r w:rsidRPr="00040BFB">
        <w:t xml:space="preserve">pevné odhodlání k zavedení nových vlastních zdrojů, a to nejen pro splácení dluhu v rámci nástroje </w:t>
      </w:r>
      <w:proofErr w:type="spellStart"/>
      <w:r w:rsidRPr="00040BFB">
        <w:t>NextGenerationEU</w:t>
      </w:r>
      <w:proofErr w:type="spellEnd"/>
      <w:r w:rsidRPr="00040BFB">
        <w:t>, ale také k financování ambiciózních politik Unie; připomíná, že bez nových skutečných vlastních zdrojů bude finanční zátěž nevyhnutelně dopadat na členské státy prostřednictvím zvýšených příspěvků založených na HND; domnívá se proto, že základní podmínkou ambiciózního víceletého finančního rámce na období 2028–2034 je zavedení skutečných nových toků příjmů ve výši nejméně 60 miliard EUR ročně;</w:t>
      </w:r>
    </w:p>
    <w:p w14:paraId="496AE7E9" w14:textId="77777777" w:rsidR="007C5C4F" w:rsidRPr="00040BFB" w:rsidRDefault="007C5C4F" w:rsidP="000A188B">
      <w:pPr>
        <w:pStyle w:val="NormalHanging12a"/>
      </w:pPr>
      <w:r w:rsidRPr="00040BFB">
        <w:t>8.</w:t>
      </w:r>
      <w:r w:rsidRPr="00040BFB">
        <w:tab/>
        <w:t>schvaluje postoj Rady k návrhu opravného rozpočtu č. 1/2026;</w:t>
      </w:r>
    </w:p>
    <w:p w14:paraId="254FAFEF" w14:textId="77777777" w:rsidR="007C5C4F" w:rsidRPr="00040BFB" w:rsidRDefault="007C5C4F" w:rsidP="000A188B">
      <w:pPr>
        <w:pStyle w:val="NormalHanging12a"/>
      </w:pPr>
      <w:r w:rsidRPr="00040BFB">
        <w:t>9.</w:t>
      </w:r>
      <w:r w:rsidRPr="00040BFB">
        <w:tab/>
        <w:t>pověřuje svou předsedkyni, aby prohlásila opravný rozpočet č. 1/2026 za přijatý s konečnou platností a aby zajistila jeho zveřejnění v </w:t>
      </w:r>
      <w:r w:rsidRPr="00040BFB">
        <w:rPr>
          <w:i/>
        </w:rPr>
        <w:t>Úředním věstníku Evropské unie</w:t>
      </w:r>
      <w:r w:rsidRPr="00040BFB">
        <w:t>;</w:t>
      </w:r>
    </w:p>
    <w:p w14:paraId="06DFFA53" w14:textId="28C6A4ED" w:rsidR="00E365E1" w:rsidRPr="00040BFB" w:rsidRDefault="007C5C4F" w:rsidP="000A188B">
      <w:pPr>
        <w:spacing w:after="240"/>
        <w:ind w:left="567" w:hanging="567"/>
      </w:pPr>
      <w:r w:rsidRPr="00040BFB">
        <w:t>10.</w:t>
      </w:r>
      <w:r w:rsidRPr="00040BFB">
        <w:tab/>
        <w:t>pověřuje svou předsedkyni, aby předala toto usnesení Radě</w:t>
      </w:r>
      <w:r w:rsidR="00040BFB" w:rsidRPr="00393CCE">
        <w:t xml:space="preserve"> a</w:t>
      </w:r>
      <w:r w:rsidRPr="00040BFB">
        <w:t xml:space="preserve"> Komisi, jakož i vnitrostátním parlamentům.</w:t>
      </w:r>
    </w:p>
    <w:sectPr w:rsidR="00E365E1" w:rsidRPr="00040BFB" w:rsidSect="00C64B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92D8" w14:textId="77777777" w:rsidR="005C72BB" w:rsidRPr="00C64BE8" w:rsidRDefault="005C72BB">
      <w:r w:rsidRPr="00C64BE8">
        <w:separator/>
      </w:r>
    </w:p>
  </w:endnote>
  <w:endnote w:type="continuationSeparator" w:id="0">
    <w:p w14:paraId="1AD5CDD4" w14:textId="77777777" w:rsidR="005C72BB" w:rsidRPr="00C64BE8" w:rsidRDefault="005C72BB">
      <w:r w:rsidRPr="00C64B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5290" w14:textId="77777777" w:rsidR="00064002" w:rsidRPr="00C64B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CEFA" w14:textId="77777777" w:rsidR="00064002" w:rsidRPr="00C64B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5EC3" w14:textId="77777777" w:rsidR="00064002" w:rsidRPr="00C64B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45A3" w14:textId="77777777" w:rsidR="005C72BB" w:rsidRPr="00C64BE8" w:rsidRDefault="005C72BB">
      <w:r w:rsidRPr="00C64BE8">
        <w:separator/>
      </w:r>
    </w:p>
  </w:footnote>
  <w:footnote w:type="continuationSeparator" w:id="0">
    <w:p w14:paraId="3F556D9F" w14:textId="77777777" w:rsidR="005C72BB" w:rsidRPr="00C64BE8" w:rsidRDefault="005C72BB">
      <w:r w:rsidRPr="00C64BE8">
        <w:continuationSeparator/>
      </w:r>
    </w:p>
  </w:footnote>
  <w:footnote w:id="1">
    <w:p w14:paraId="651E5C93" w14:textId="0B23C3D0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L, 2024/2509, 26.9.2024, ELI: </w:t>
      </w:r>
      <w:hyperlink r:id="rId1" w:tooltip="http://data.europa.eu/eli/reg/2024/2509/oj" w:history="1">
        <w:r w:rsidRPr="00C64BE8">
          <w:rPr>
            <w:rStyle w:val="Hyperlink"/>
            <w:sz w:val="24"/>
            <w:lang w:val="cs-CZ"/>
          </w:rPr>
          <w:t>http://data.europa.eu/eli/reg/2024/2509/oj</w:t>
        </w:r>
      </w:hyperlink>
      <w:r w:rsidRPr="00C64BE8">
        <w:rPr>
          <w:sz w:val="24"/>
          <w:lang w:val="cs-CZ"/>
        </w:rPr>
        <w:t>.</w:t>
      </w:r>
    </w:p>
  </w:footnote>
  <w:footnote w:id="2">
    <w:p w14:paraId="58D26A50" w14:textId="212063ED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L, 2026/72, 26.2.2026, ELI: </w:t>
      </w:r>
      <w:hyperlink r:id="rId2" w:history="1">
        <w:r w:rsidRPr="00C64BE8">
          <w:rPr>
            <w:rStyle w:val="Hyperlink"/>
            <w:sz w:val="24"/>
            <w:lang w:val="cs-CZ"/>
          </w:rPr>
          <w:t>http://data.europa.eu/eli/budget/2026/72/oj</w:t>
        </w:r>
      </w:hyperlink>
      <w:r w:rsidRPr="00C64BE8">
        <w:rPr>
          <w:sz w:val="24"/>
          <w:lang w:val="cs-CZ"/>
        </w:rPr>
        <w:t>.</w:t>
      </w:r>
    </w:p>
  </w:footnote>
  <w:footnote w:id="3">
    <w:p w14:paraId="1B456305" w14:textId="6F6EEB61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 433 I, 22.12.2020, s. 11, ELI: </w:t>
      </w:r>
      <w:hyperlink r:id="rId3" w:history="1">
        <w:r w:rsidRPr="00C64BE8">
          <w:rPr>
            <w:rStyle w:val="Hyperlink"/>
            <w:sz w:val="24"/>
            <w:lang w:val="cs-CZ"/>
          </w:rPr>
          <w:t>http://data.europa.eu/eli/reg/2020/2093/oj</w:t>
        </w:r>
      </w:hyperlink>
      <w:r w:rsidRPr="00C64BE8">
        <w:rPr>
          <w:sz w:val="24"/>
          <w:lang w:val="cs-CZ"/>
        </w:rPr>
        <w:t>.</w:t>
      </w:r>
    </w:p>
  </w:footnote>
  <w:footnote w:id="4">
    <w:p w14:paraId="4FF47621" w14:textId="3D443440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L, 2024/765, 29.2.2024, ELI: </w:t>
      </w:r>
      <w:hyperlink r:id="rId4" w:history="1">
        <w:r w:rsidRPr="00C64BE8">
          <w:rPr>
            <w:rStyle w:val="Hyperlink"/>
            <w:sz w:val="24"/>
            <w:lang w:val="cs-CZ"/>
          </w:rPr>
          <w:t>http://data.europa.eu/eli/reg/2024/765/oj</w:t>
        </w:r>
      </w:hyperlink>
      <w:r w:rsidRPr="00C64BE8">
        <w:rPr>
          <w:sz w:val="24"/>
          <w:lang w:val="cs-CZ"/>
        </w:rPr>
        <w:t>.</w:t>
      </w:r>
    </w:p>
  </w:footnote>
  <w:footnote w:id="5">
    <w:p w14:paraId="7064BC7B" w14:textId="21AF77CB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 433 I, 22.12.2020, s. 28, ELI: </w:t>
      </w:r>
      <w:hyperlink r:id="rId5" w:history="1">
        <w:r w:rsidRPr="00C64BE8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="00AC4428" w:rsidRPr="00C64BE8">
        <w:rPr>
          <w:sz w:val="24"/>
          <w:lang w:val="cs-CZ"/>
        </w:rPr>
        <w:t>.</w:t>
      </w:r>
    </w:p>
  </w:footnote>
  <w:footnote w:id="6">
    <w:p w14:paraId="639FBB7C" w14:textId="62C8084B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Úř. věst. L 424, 15.12.2020, s. 1, ELI: </w:t>
      </w:r>
      <w:hyperlink r:id="rId6" w:history="1">
        <w:r w:rsidRPr="00C64BE8">
          <w:rPr>
            <w:rStyle w:val="Hyperlink"/>
            <w:sz w:val="24"/>
            <w:lang w:val="cs-CZ"/>
          </w:rPr>
          <w:t>http://data.europa.eu/eli/dec/2020/2053/oj</w:t>
        </w:r>
      </w:hyperlink>
      <w:r w:rsidRPr="00C64BE8">
        <w:rPr>
          <w:sz w:val="24"/>
          <w:lang w:val="cs-CZ"/>
        </w:rPr>
        <w:t>.</w:t>
      </w:r>
    </w:p>
  </w:footnote>
  <w:footnote w:id="7">
    <w:p w14:paraId="01E8672E" w14:textId="04BA079F" w:rsidR="007C5C4F" w:rsidRPr="00C64BE8" w:rsidRDefault="007C5C4F" w:rsidP="00C64BE8">
      <w:pPr>
        <w:pStyle w:val="FootnoteText"/>
        <w:ind w:left="567" w:hanging="567"/>
        <w:rPr>
          <w:sz w:val="24"/>
          <w:lang w:val="cs-CZ"/>
        </w:rPr>
      </w:pPr>
      <w:r w:rsidRPr="00C64BE8">
        <w:rPr>
          <w:rStyle w:val="FootnoteReference"/>
          <w:sz w:val="24"/>
          <w:lang w:val="cs-CZ"/>
        </w:rPr>
        <w:footnoteRef/>
      </w:r>
      <w:r w:rsidR="00C64BE8" w:rsidRPr="00C64BE8">
        <w:rPr>
          <w:sz w:val="24"/>
          <w:lang w:val="cs-CZ"/>
        </w:rPr>
        <w:t xml:space="preserve"> </w:t>
      </w:r>
      <w:r w:rsidR="00C64BE8" w:rsidRPr="00C64BE8">
        <w:rPr>
          <w:sz w:val="24"/>
          <w:lang w:val="cs-CZ"/>
        </w:rPr>
        <w:tab/>
      </w:r>
      <w:r w:rsidRPr="00C64BE8">
        <w:rPr>
          <w:sz w:val="24"/>
          <w:lang w:val="cs-CZ"/>
        </w:rPr>
        <w:t xml:space="preserve">Přijaté texty, </w:t>
      </w:r>
      <w:r w:rsidR="00AC4428" w:rsidRPr="00181662">
        <w:t>P10_</w:t>
      </w:r>
      <w:proofErr w:type="gramStart"/>
      <w:r w:rsidR="00AC4428" w:rsidRPr="00181662">
        <w:t>TA(</w:t>
      </w:r>
      <w:proofErr w:type="gramEnd"/>
      <w:r w:rsidR="00AC4428" w:rsidRPr="00181662">
        <w:t>2026)0111</w:t>
      </w:r>
      <w:r w:rsidRPr="00C64BE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FB03" w14:textId="77777777" w:rsidR="00064002" w:rsidRPr="00C64B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8BA6" w14:textId="77777777" w:rsidR="00064002" w:rsidRPr="00C64B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7599" w14:textId="77777777" w:rsidR="00064002" w:rsidRPr="00C64B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8342276">
    <w:abstractNumId w:val="9"/>
  </w:num>
  <w:num w:numId="2" w16cid:durableId="264386226">
    <w:abstractNumId w:val="9"/>
  </w:num>
  <w:num w:numId="3" w16cid:durableId="1559391608">
    <w:abstractNumId w:val="7"/>
  </w:num>
  <w:num w:numId="4" w16cid:durableId="989865777">
    <w:abstractNumId w:val="7"/>
  </w:num>
  <w:num w:numId="5" w16cid:durableId="1324042221">
    <w:abstractNumId w:val="6"/>
  </w:num>
  <w:num w:numId="6" w16cid:durableId="1413164078">
    <w:abstractNumId w:val="6"/>
  </w:num>
  <w:num w:numId="7" w16cid:durableId="2064059336">
    <w:abstractNumId w:val="5"/>
  </w:num>
  <w:num w:numId="8" w16cid:durableId="91096717">
    <w:abstractNumId w:val="5"/>
  </w:num>
  <w:num w:numId="9" w16cid:durableId="1587375330">
    <w:abstractNumId w:val="4"/>
  </w:num>
  <w:num w:numId="10" w16cid:durableId="1642076321">
    <w:abstractNumId w:val="4"/>
  </w:num>
  <w:num w:numId="11" w16cid:durableId="353775812">
    <w:abstractNumId w:val="8"/>
  </w:num>
  <w:num w:numId="12" w16cid:durableId="748580434">
    <w:abstractNumId w:val="8"/>
  </w:num>
  <w:num w:numId="13" w16cid:durableId="182938473">
    <w:abstractNumId w:val="3"/>
  </w:num>
  <w:num w:numId="14" w16cid:durableId="1762945220">
    <w:abstractNumId w:val="3"/>
  </w:num>
  <w:num w:numId="15" w16cid:durableId="262958471">
    <w:abstractNumId w:val="2"/>
  </w:num>
  <w:num w:numId="16" w16cid:durableId="1854568633">
    <w:abstractNumId w:val="2"/>
  </w:num>
  <w:num w:numId="17" w16cid:durableId="889338352">
    <w:abstractNumId w:val="1"/>
  </w:num>
  <w:num w:numId="18" w16cid:durableId="401871234">
    <w:abstractNumId w:val="1"/>
  </w:num>
  <w:num w:numId="19" w16cid:durableId="330647699">
    <w:abstractNumId w:val="0"/>
  </w:num>
  <w:num w:numId="20" w16cid:durableId="249773314">
    <w:abstractNumId w:val="0"/>
  </w:num>
  <w:num w:numId="21" w16cid:durableId="2104915134">
    <w:abstractNumId w:val="9"/>
  </w:num>
  <w:num w:numId="22" w16cid:durableId="177697142">
    <w:abstractNumId w:val="7"/>
  </w:num>
  <w:num w:numId="23" w16cid:durableId="2128893356">
    <w:abstractNumId w:val="6"/>
  </w:num>
  <w:num w:numId="24" w16cid:durableId="2064475692">
    <w:abstractNumId w:val="5"/>
  </w:num>
  <w:num w:numId="25" w16cid:durableId="1129011518">
    <w:abstractNumId w:val="4"/>
  </w:num>
  <w:num w:numId="26" w16cid:durableId="1926259063">
    <w:abstractNumId w:val="8"/>
  </w:num>
  <w:num w:numId="27" w16cid:durableId="1084718385">
    <w:abstractNumId w:val="3"/>
  </w:num>
  <w:num w:numId="28" w16cid:durableId="1056858376">
    <w:abstractNumId w:val="2"/>
  </w:num>
  <w:num w:numId="29" w16cid:durableId="139660016">
    <w:abstractNumId w:val="1"/>
  </w:num>
  <w:num w:numId="30" w16cid:durableId="1096056398">
    <w:abstractNumId w:val="0"/>
  </w:num>
  <w:num w:numId="31" w16cid:durableId="281767782">
    <w:abstractNumId w:val="9"/>
  </w:num>
  <w:num w:numId="32" w16cid:durableId="523401414">
    <w:abstractNumId w:val="7"/>
  </w:num>
  <w:num w:numId="33" w16cid:durableId="493037076">
    <w:abstractNumId w:val="6"/>
  </w:num>
  <w:num w:numId="34" w16cid:durableId="179703429">
    <w:abstractNumId w:val="5"/>
  </w:num>
  <w:num w:numId="35" w16cid:durableId="301808748">
    <w:abstractNumId w:val="4"/>
  </w:num>
  <w:num w:numId="36" w16cid:durableId="849182517">
    <w:abstractNumId w:val="8"/>
  </w:num>
  <w:num w:numId="37" w16cid:durableId="320894825">
    <w:abstractNumId w:val="3"/>
  </w:num>
  <w:num w:numId="38" w16cid:durableId="1333223004">
    <w:abstractNumId w:val="2"/>
  </w:num>
  <w:num w:numId="39" w16cid:durableId="1350331791">
    <w:abstractNumId w:val="1"/>
  </w:num>
  <w:num w:numId="40" w16cid:durableId="552272834">
    <w:abstractNumId w:val="0"/>
  </w:num>
  <w:num w:numId="41" w16cid:durableId="614095643">
    <w:abstractNumId w:val="10"/>
  </w:num>
  <w:num w:numId="42" w16cid:durableId="1097750169">
    <w:abstractNumId w:val="10"/>
  </w:num>
  <w:num w:numId="43" w16cid:durableId="1301574447">
    <w:abstractNumId w:val="10"/>
  </w:num>
  <w:num w:numId="44" w16cid:durableId="1817214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CS"/>
    <w:docVar w:name="dvnumam" w:val="0"/>
    <w:docVar w:name="dvpe" w:val="787.947"/>
    <w:docVar w:name="dvrapporteur" w:val="Zpravodaj: "/>
    <w:docVar w:name="dvtitre" w:val="Usnesení Evropského parlamentu ze dne 7. července 2026 o postoji Rady k návrhu opravného rozpočtu Evropské unie č. 1/2026 na rozpočtový rok 2026 – zapsání přebytku za rozpočtový rok 2025(09919/2026 – C10-0145/2026 – 2026/0090(BUD))"/>
  </w:docVars>
  <w:rsids>
    <w:rsidRoot w:val="005C72BB"/>
    <w:rsid w:val="00002272"/>
    <w:rsid w:val="00040BFB"/>
    <w:rsid w:val="0005264E"/>
    <w:rsid w:val="00064002"/>
    <w:rsid w:val="000677B9"/>
    <w:rsid w:val="000831BA"/>
    <w:rsid w:val="000A188B"/>
    <w:rsid w:val="000A42CC"/>
    <w:rsid w:val="000E7DD9"/>
    <w:rsid w:val="0010095E"/>
    <w:rsid w:val="00125B37"/>
    <w:rsid w:val="00181662"/>
    <w:rsid w:val="00187494"/>
    <w:rsid w:val="001F32AE"/>
    <w:rsid w:val="00247558"/>
    <w:rsid w:val="002767FF"/>
    <w:rsid w:val="002B18FE"/>
    <w:rsid w:val="002B5493"/>
    <w:rsid w:val="00343214"/>
    <w:rsid w:val="00353C9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2B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C4F"/>
    <w:rsid w:val="007D1690"/>
    <w:rsid w:val="007E22AD"/>
    <w:rsid w:val="00817416"/>
    <w:rsid w:val="00842779"/>
    <w:rsid w:val="00863FB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06B"/>
    <w:rsid w:val="00AB441E"/>
    <w:rsid w:val="00AB6293"/>
    <w:rsid w:val="00AC4428"/>
    <w:rsid w:val="00AE0928"/>
    <w:rsid w:val="00AF3B82"/>
    <w:rsid w:val="00B12E95"/>
    <w:rsid w:val="00B22876"/>
    <w:rsid w:val="00B558F0"/>
    <w:rsid w:val="00BB4A9D"/>
    <w:rsid w:val="00BD48FE"/>
    <w:rsid w:val="00BD7BD8"/>
    <w:rsid w:val="00BE6ADC"/>
    <w:rsid w:val="00C05BFE"/>
    <w:rsid w:val="00C23CD4"/>
    <w:rsid w:val="00C61C0C"/>
    <w:rsid w:val="00C64BE8"/>
    <w:rsid w:val="00C941CB"/>
    <w:rsid w:val="00CC2357"/>
    <w:rsid w:val="00CE1715"/>
    <w:rsid w:val="00CF071A"/>
    <w:rsid w:val="00D058B8"/>
    <w:rsid w:val="00D4662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800B0"/>
  <w15:chartTrackingRefBased/>
  <w15:docId w15:val="{7EB228EB-0534-46D9-AA25-537C94F3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5C4F"/>
    <w:pPr>
      <w:spacing w:before="480" w:after="240"/>
    </w:pPr>
  </w:style>
  <w:style w:type="paragraph" w:customStyle="1" w:styleId="NormalHanging12a">
    <w:name w:val="NormalHanging12a"/>
    <w:basedOn w:val="Normal"/>
    <w:rsid w:val="007C5C4F"/>
    <w:pPr>
      <w:spacing w:after="240"/>
      <w:ind w:left="567" w:hanging="567"/>
    </w:pPr>
  </w:style>
  <w:style w:type="character" w:styleId="Hyperlink">
    <w:name w:val="Hyperlink"/>
    <w:basedOn w:val="DefaultParagraphFont"/>
    <w:rsid w:val="007C5C4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A188B"/>
    <w:rPr>
      <w:sz w:val="24"/>
      <w:lang w:val="cs-CZ"/>
    </w:rPr>
  </w:style>
  <w:style w:type="character" w:styleId="CommentReference">
    <w:name w:val="annotation reference"/>
    <w:basedOn w:val="DefaultParagraphFont"/>
    <w:rsid w:val="00040B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0B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0BF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040B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0BF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2026-07-07T11:38:00Z</dcterms:created>
  <dcterms:modified xsi:type="dcterms:W3CDTF">2026-07-07T11:38:00Z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