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24B4" w14:paraId="288E1BEA" w14:textId="77777777" w:rsidTr="0010095E">
        <w:trPr>
          <w:trHeight w:hRule="exact" w:val="1418"/>
        </w:trPr>
        <w:tc>
          <w:tcPr>
            <w:tcW w:w="6804" w:type="dxa"/>
            <w:shd w:val="clear" w:color="auto" w:fill="auto"/>
            <w:vAlign w:val="center"/>
          </w:tcPr>
          <w:p w14:paraId="7EA6461E" w14:textId="77777777" w:rsidR="00751A4A" w:rsidRPr="006924B4" w:rsidRDefault="00014406" w:rsidP="0010095E">
            <w:pPr>
              <w:pStyle w:val="EPName"/>
            </w:pPr>
            <w:r w:rsidRPr="006924B4">
              <w:t>Europa-Parlamentet</w:t>
            </w:r>
          </w:p>
          <w:p w14:paraId="4BDCF57E" w14:textId="77777777" w:rsidR="00751A4A" w:rsidRPr="006924B4" w:rsidRDefault="005F1B17" w:rsidP="005F1B17">
            <w:pPr>
              <w:pStyle w:val="EPTerm"/>
              <w:rPr>
                <w:rStyle w:val="HideTWBExt"/>
                <w:noProof w:val="0"/>
                <w:vanish w:val="0"/>
                <w:color w:val="auto"/>
              </w:rPr>
            </w:pPr>
            <w:r w:rsidRPr="006924B4">
              <w:t>2024</w:t>
            </w:r>
            <w:r w:rsidR="00817416" w:rsidRPr="006924B4">
              <w:t>-202</w:t>
            </w:r>
            <w:r w:rsidRPr="006924B4">
              <w:t>9</w:t>
            </w:r>
          </w:p>
        </w:tc>
        <w:tc>
          <w:tcPr>
            <w:tcW w:w="2268" w:type="dxa"/>
            <w:shd w:val="clear" w:color="auto" w:fill="auto"/>
          </w:tcPr>
          <w:p w14:paraId="76C2C1B4" w14:textId="77777777" w:rsidR="00751A4A" w:rsidRPr="006924B4" w:rsidRDefault="00187494" w:rsidP="0010095E">
            <w:pPr>
              <w:pStyle w:val="EPLogo"/>
            </w:pPr>
            <w:r w:rsidRPr="006924B4">
              <w:rPr>
                <w:noProof/>
                <w:lang w:eastAsia="ja-JP"/>
              </w:rPr>
              <w:drawing>
                <wp:inline distT="0" distB="0" distL="0" distR="0" wp14:anchorId="322CF67F" wp14:editId="01F935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D1ADDB" w14:textId="77777777" w:rsidR="00D058B8" w:rsidRPr="006924B4" w:rsidRDefault="00D058B8" w:rsidP="004C5D52">
      <w:pPr>
        <w:pStyle w:val="LineTop"/>
      </w:pPr>
    </w:p>
    <w:p w14:paraId="7D07A031" w14:textId="77777777" w:rsidR="00680577" w:rsidRPr="006924B4" w:rsidRDefault="00014406" w:rsidP="00680577">
      <w:pPr>
        <w:pStyle w:val="EPBodyTA1"/>
      </w:pPr>
      <w:r w:rsidRPr="006924B4">
        <w:t>VEDTAGNE TEKSTER</w:t>
      </w:r>
    </w:p>
    <w:p w14:paraId="28997EE6" w14:textId="77777777" w:rsidR="00D058B8" w:rsidRPr="006924B4" w:rsidRDefault="00D058B8" w:rsidP="00D058B8">
      <w:pPr>
        <w:pStyle w:val="LineBottom"/>
      </w:pPr>
    </w:p>
    <w:p w14:paraId="23A60437" w14:textId="2AB0AA45" w:rsidR="00014406" w:rsidRPr="005530B8" w:rsidRDefault="00014406" w:rsidP="00014406">
      <w:pPr>
        <w:pStyle w:val="ATHeading1"/>
      </w:pPr>
      <w:bookmarkStart w:id="0" w:name="TANumber"/>
      <w:r w:rsidRPr="005530B8">
        <w:t>P10_TA(2026)0</w:t>
      </w:r>
      <w:r w:rsidR="000F3867">
        <w:t>242</w:t>
      </w:r>
      <w:bookmarkEnd w:id="0"/>
    </w:p>
    <w:p w14:paraId="32FC7079" w14:textId="0F1F9F7E" w:rsidR="00014406" w:rsidRPr="005530B8" w:rsidRDefault="00014406" w:rsidP="00014406">
      <w:pPr>
        <w:pStyle w:val="ATHeading2"/>
      </w:pPr>
      <w:bookmarkStart w:id="1" w:name="title"/>
      <w:r w:rsidRPr="005530B8">
        <w:t>Forslag til ændringsbudget nr. 1/2026</w:t>
      </w:r>
      <w:r w:rsidR="006924B4" w:rsidRPr="005530B8">
        <w:t>:</w:t>
      </w:r>
      <w:r w:rsidRPr="005530B8">
        <w:t xml:space="preserve"> </w:t>
      </w:r>
      <w:r w:rsidR="006924B4" w:rsidRPr="005530B8">
        <w:t>o</w:t>
      </w:r>
      <w:r w:rsidRPr="005530B8">
        <w:t>pførelse af overskuddet for regnskabsåret 2025</w:t>
      </w:r>
      <w:bookmarkEnd w:id="1"/>
    </w:p>
    <w:p w14:paraId="1973982B" w14:textId="77777777" w:rsidR="00014406" w:rsidRPr="006924B4" w:rsidRDefault="00014406" w:rsidP="00014406">
      <w:pPr>
        <w:rPr>
          <w:i/>
          <w:vanish/>
        </w:rPr>
      </w:pPr>
      <w:r w:rsidRPr="006924B4">
        <w:rPr>
          <w:i/>
        </w:rPr>
        <w:fldChar w:fldCharType="begin"/>
      </w:r>
      <w:r w:rsidRPr="006924B4">
        <w:rPr>
          <w:i/>
        </w:rPr>
        <w:instrText xml:space="preserve"> TC"(</w:instrText>
      </w:r>
      <w:bookmarkStart w:id="2" w:name="DocNumber"/>
      <w:r w:rsidRPr="006924B4">
        <w:rPr>
          <w:i/>
        </w:rPr>
        <w:instrText>A10-0180/2026</w:instrText>
      </w:r>
      <w:bookmarkEnd w:id="2"/>
      <w:r w:rsidRPr="006924B4">
        <w:rPr>
          <w:i/>
        </w:rPr>
        <w:instrText xml:space="preserve"> - Ordfører: Andrzej Halicki)"\l3 \n&gt; \* MERGEFORMAT </w:instrText>
      </w:r>
      <w:r w:rsidRPr="006924B4">
        <w:rPr>
          <w:i/>
        </w:rPr>
        <w:fldChar w:fldCharType="end"/>
      </w:r>
    </w:p>
    <w:p w14:paraId="02A164AB" w14:textId="77777777" w:rsidR="00014406" w:rsidRPr="006924B4" w:rsidRDefault="00014406" w:rsidP="00014406">
      <w:pPr>
        <w:rPr>
          <w:vanish/>
        </w:rPr>
      </w:pPr>
      <w:bookmarkStart w:id="3" w:name="Commission"/>
      <w:r w:rsidRPr="006924B4">
        <w:rPr>
          <w:vanish/>
        </w:rPr>
        <w:t>Budgetudvalget</w:t>
      </w:r>
      <w:bookmarkEnd w:id="3"/>
    </w:p>
    <w:p w14:paraId="049FACB2" w14:textId="77777777" w:rsidR="00014406" w:rsidRPr="006924B4" w:rsidRDefault="00014406" w:rsidP="00014406">
      <w:pPr>
        <w:rPr>
          <w:vanish/>
        </w:rPr>
      </w:pPr>
      <w:bookmarkStart w:id="4" w:name="PE"/>
      <w:r w:rsidRPr="006924B4">
        <w:rPr>
          <w:vanish/>
        </w:rPr>
        <w:t>PE787.947</w:t>
      </w:r>
      <w:bookmarkEnd w:id="4"/>
    </w:p>
    <w:p w14:paraId="7CB0E175" w14:textId="57ED3B6D" w:rsidR="00014406" w:rsidRPr="005530B8" w:rsidRDefault="00014406" w:rsidP="00014406">
      <w:pPr>
        <w:pStyle w:val="ATHeading3"/>
      </w:pPr>
      <w:bookmarkStart w:id="5" w:name="Sujet"/>
      <w:r w:rsidRPr="005530B8">
        <w:t xml:space="preserve">Europa-Parlamentets beslutning af </w:t>
      </w:r>
      <w:r w:rsidR="00765BA0" w:rsidRPr="005530B8">
        <w:t>7</w:t>
      </w:r>
      <w:r w:rsidRPr="005530B8">
        <w:t>. juli 2026 om Rådets holdning til forslag til ændringsbudget nr. 1</w:t>
      </w:r>
      <w:r w:rsidR="00765BA0" w:rsidRPr="005530B8">
        <w:t xml:space="preserve"> til det almindelige budget</w:t>
      </w:r>
      <w:r w:rsidRPr="005530B8">
        <w:t xml:space="preserve"> for 2026</w:t>
      </w:r>
      <w:r w:rsidR="00765BA0" w:rsidRPr="005530B8">
        <w:t>:</w:t>
      </w:r>
      <w:r w:rsidRPr="005530B8">
        <w:t xml:space="preserve"> </w:t>
      </w:r>
      <w:r w:rsidR="00765BA0" w:rsidRPr="005530B8">
        <w:t>o</w:t>
      </w:r>
      <w:r w:rsidRPr="005530B8">
        <w:t>pførelse af overskuddet f</w:t>
      </w:r>
      <w:r w:rsidR="00765BA0" w:rsidRPr="005530B8">
        <w:t>or</w:t>
      </w:r>
      <w:r w:rsidRPr="005530B8">
        <w:t xml:space="preserve"> regnskabsåret 2025</w:t>
      </w:r>
      <w:bookmarkEnd w:id="5"/>
      <w:r w:rsidRPr="005530B8">
        <w:t xml:space="preserve"> </w:t>
      </w:r>
      <w:bookmarkStart w:id="6" w:name="References"/>
      <w:r w:rsidRPr="005530B8">
        <w:t>(09919/2026 – C10-0145/2026 – 2026/0090(BUD))</w:t>
      </w:r>
      <w:bookmarkEnd w:id="6"/>
    </w:p>
    <w:p w14:paraId="44816345" w14:textId="77777777" w:rsidR="00524900" w:rsidRPr="006924B4" w:rsidRDefault="00524900" w:rsidP="00524900">
      <w:pPr>
        <w:pStyle w:val="EPComma"/>
      </w:pPr>
      <w:bookmarkStart w:id="7" w:name="TextBodyBegin"/>
      <w:bookmarkEnd w:id="7"/>
      <w:r w:rsidRPr="006924B4">
        <w:rPr>
          <w:i/>
        </w:rPr>
        <w:t>Europa-Parlamentet</w:t>
      </w:r>
      <w:r w:rsidRPr="006924B4">
        <w:t>,</w:t>
      </w:r>
    </w:p>
    <w:p w14:paraId="32CA1A45" w14:textId="77777777" w:rsidR="00524900" w:rsidRPr="006924B4" w:rsidRDefault="00524900" w:rsidP="00524900">
      <w:pPr>
        <w:pStyle w:val="NormalHanging12a"/>
      </w:pPr>
      <w:r w:rsidRPr="006924B4">
        <w:t>–</w:t>
      </w:r>
      <w:r w:rsidRPr="006924B4">
        <w:tab/>
        <w:t>der henviser til artikel 314 i traktaten om Den Europæiske Unions funktionsmåde,</w:t>
      </w:r>
    </w:p>
    <w:p w14:paraId="0E5E987E" w14:textId="77777777" w:rsidR="00524900" w:rsidRPr="006924B4" w:rsidRDefault="00524900" w:rsidP="00524900">
      <w:pPr>
        <w:pStyle w:val="NormalHanging12a"/>
      </w:pPr>
      <w:r w:rsidRPr="006924B4">
        <w:t>–</w:t>
      </w:r>
      <w:r w:rsidRPr="006924B4">
        <w:tab/>
        <w:t>der henviser til artikel 106A i traktaten om oprettelse af Det Europæiske Atomenergifællesskab,</w:t>
      </w:r>
    </w:p>
    <w:p w14:paraId="5E0CE1EE" w14:textId="77777777" w:rsidR="00524900" w:rsidRPr="006924B4" w:rsidRDefault="00524900" w:rsidP="00524900">
      <w:pPr>
        <w:pStyle w:val="NormalHanging12a"/>
      </w:pPr>
      <w:r w:rsidRPr="006924B4">
        <w:t>–</w:t>
      </w:r>
      <w:r w:rsidRPr="006924B4">
        <w:tab/>
        <w:t xml:space="preserve">der henviser til Europa-Parlamentets og Rådets forordning (EU, </w:t>
      </w:r>
      <w:proofErr w:type="spellStart"/>
      <w:r w:rsidRPr="006924B4">
        <w:t>Euratom</w:t>
      </w:r>
      <w:proofErr w:type="spellEnd"/>
      <w:r w:rsidRPr="006924B4">
        <w:t>) 2024/2509 af 23. september 2024 om de finansielle regler vedrørende Unionens almindelige budget</w:t>
      </w:r>
      <w:r w:rsidRPr="006924B4">
        <w:rPr>
          <w:rStyle w:val="FootnoteReference"/>
        </w:rPr>
        <w:footnoteReference w:id="1"/>
      </w:r>
      <w:r w:rsidRPr="006924B4">
        <w:t>, særlig artikel 44,</w:t>
      </w:r>
    </w:p>
    <w:p w14:paraId="2F443E3B" w14:textId="77777777" w:rsidR="00524900" w:rsidRPr="006924B4" w:rsidRDefault="00524900" w:rsidP="00524900">
      <w:pPr>
        <w:pStyle w:val="NormalHanging12a"/>
      </w:pPr>
      <w:r w:rsidRPr="006924B4">
        <w:t>–</w:t>
      </w:r>
      <w:r w:rsidRPr="006924B4">
        <w:tab/>
        <w:t>der henviser til Den Europæiske Unions almindelige budget for regnskabsåret 2026, endeligt vedtaget den 26. november 2025</w:t>
      </w:r>
      <w:r w:rsidRPr="006924B4">
        <w:rPr>
          <w:vertAlign w:val="superscript"/>
        </w:rPr>
        <w:footnoteReference w:id="2"/>
      </w:r>
      <w:r w:rsidRPr="006924B4">
        <w:t xml:space="preserve">, </w:t>
      </w:r>
    </w:p>
    <w:p w14:paraId="68141DF2" w14:textId="77777777" w:rsidR="00524900" w:rsidRPr="006924B4" w:rsidRDefault="00524900" w:rsidP="00524900">
      <w:pPr>
        <w:pStyle w:val="NormalHanging12a"/>
      </w:pPr>
      <w:r w:rsidRPr="006924B4">
        <w:t>–</w:t>
      </w:r>
      <w:r w:rsidRPr="006924B4">
        <w:tab/>
        <w:t xml:space="preserve">der henviser til Rådets forordning (EU, </w:t>
      </w:r>
      <w:proofErr w:type="spellStart"/>
      <w:r w:rsidRPr="006924B4">
        <w:t>Euratom</w:t>
      </w:r>
      <w:proofErr w:type="spellEnd"/>
      <w:r w:rsidRPr="006924B4">
        <w:t>) 2020/2093 af 17. december 2020 om fastlæggelse af den flerårige finansielle ramme for årene 2021-2027</w:t>
      </w:r>
      <w:r w:rsidRPr="006924B4">
        <w:rPr>
          <w:vertAlign w:val="superscript"/>
        </w:rPr>
        <w:footnoteReference w:id="3"/>
      </w:r>
      <w:r w:rsidRPr="006924B4">
        <w:t xml:space="preserve">, </w:t>
      </w:r>
    </w:p>
    <w:p w14:paraId="66CDB5D0" w14:textId="77777777" w:rsidR="00524900" w:rsidRPr="006924B4" w:rsidRDefault="00524900" w:rsidP="00524900">
      <w:pPr>
        <w:pStyle w:val="NormalHanging12a"/>
      </w:pPr>
      <w:r w:rsidRPr="006924B4">
        <w:t>–</w:t>
      </w:r>
      <w:r w:rsidRPr="006924B4">
        <w:tab/>
        <w:t xml:space="preserve">der henviser til Rådets forordning (EU, </w:t>
      </w:r>
      <w:proofErr w:type="spellStart"/>
      <w:r w:rsidRPr="006924B4">
        <w:t>Euratom</w:t>
      </w:r>
      <w:proofErr w:type="spellEnd"/>
      <w:r w:rsidRPr="006924B4">
        <w:t xml:space="preserve">) 2024/765 om ændring af forordning (EU, </w:t>
      </w:r>
      <w:proofErr w:type="spellStart"/>
      <w:r w:rsidRPr="006924B4">
        <w:t>Euratom</w:t>
      </w:r>
      <w:proofErr w:type="spellEnd"/>
      <w:r w:rsidRPr="006924B4">
        <w:t>) 2020/2093 om fastlæggelse af den flerårige finansielle ramme for årene 2021-2027</w:t>
      </w:r>
      <w:r w:rsidRPr="006924B4">
        <w:rPr>
          <w:vertAlign w:val="superscript"/>
        </w:rPr>
        <w:footnoteReference w:id="4"/>
      </w:r>
      <w:r w:rsidRPr="006924B4">
        <w:t>,</w:t>
      </w:r>
    </w:p>
    <w:p w14:paraId="7CC4D1CA" w14:textId="0AF45372" w:rsidR="00524900" w:rsidRPr="006924B4" w:rsidRDefault="00524900" w:rsidP="00524900">
      <w:pPr>
        <w:pStyle w:val="NormalHanging12a"/>
      </w:pPr>
      <w:r w:rsidRPr="006924B4">
        <w:t>–</w:t>
      </w:r>
      <w:r w:rsidRPr="006924B4">
        <w:tab/>
        <w:t xml:space="preserve">der henviser til den </w:t>
      </w:r>
      <w:proofErr w:type="spellStart"/>
      <w:r w:rsidRPr="006924B4">
        <w:t>interinstitutionelle</w:t>
      </w:r>
      <w:proofErr w:type="spellEnd"/>
      <w:r w:rsidRPr="006924B4">
        <w:t xml:space="preserve"> aftale af 16. december 2020 mellem Europa-Parlamentet, Rådet og Kommissionen om budgetdisciplin, om samarbejde på budgetområdet og om forsvarlig økonomisk forvaltning samt om nye egne indtægter, </w:t>
      </w:r>
      <w:r w:rsidRPr="006924B4">
        <w:lastRenderedPageBreak/>
        <w:t>herunder en køreplan hen imod indførelse af nye egne indtægter</w:t>
      </w:r>
      <w:r w:rsidRPr="006924B4">
        <w:rPr>
          <w:vertAlign w:val="superscript"/>
        </w:rPr>
        <w:footnoteReference w:id="5"/>
      </w:r>
      <w:r w:rsidRPr="006924B4">
        <w:t>,</w:t>
      </w:r>
    </w:p>
    <w:p w14:paraId="25B11B6F" w14:textId="77777777" w:rsidR="00524900" w:rsidRPr="006924B4" w:rsidRDefault="00524900" w:rsidP="00524900">
      <w:pPr>
        <w:pStyle w:val="NormalHanging12a"/>
      </w:pPr>
      <w:r w:rsidRPr="006924B4">
        <w:t>–</w:t>
      </w:r>
      <w:r w:rsidRPr="006924B4">
        <w:tab/>
        <w:t xml:space="preserve">der henviser til Rådets afgørelse (EU, </w:t>
      </w:r>
      <w:proofErr w:type="spellStart"/>
      <w:r w:rsidRPr="006924B4">
        <w:t>Euratom</w:t>
      </w:r>
      <w:proofErr w:type="spellEnd"/>
      <w:r w:rsidRPr="006924B4">
        <w:t xml:space="preserve">) 2020/2053 af 14. december 2020 om ordningen for Den Europæiske Unions egne indtægter og om ophævelse af afgørelse 2014/335/EU, </w:t>
      </w:r>
      <w:proofErr w:type="spellStart"/>
      <w:r w:rsidRPr="006924B4">
        <w:t>Euratom</w:t>
      </w:r>
      <w:proofErr w:type="spellEnd"/>
      <w:r w:rsidRPr="006924B4">
        <w:rPr>
          <w:vertAlign w:val="superscript"/>
        </w:rPr>
        <w:footnoteReference w:id="6"/>
      </w:r>
      <w:r w:rsidRPr="006924B4">
        <w:t xml:space="preserve">, </w:t>
      </w:r>
    </w:p>
    <w:p w14:paraId="16763E47" w14:textId="77777777" w:rsidR="00524900" w:rsidRPr="006924B4" w:rsidRDefault="00524900" w:rsidP="00524900">
      <w:pPr>
        <w:pStyle w:val="NormalHanging12a"/>
      </w:pPr>
      <w:r w:rsidRPr="006924B4">
        <w:t>–</w:t>
      </w:r>
      <w:r w:rsidRPr="006924B4">
        <w:tab/>
        <w:t>der henviser til sin beslutning af 28. april 2026 om forslag til Rådets forordning om fastlæggelse af den flerårige finansielle ramme for årene 2028-2034</w:t>
      </w:r>
      <w:r w:rsidRPr="006924B4">
        <w:rPr>
          <w:rStyle w:val="FootnoteReference"/>
        </w:rPr>
        <w:footnoteReference w:id="7"/>
      </w:r>
      <w:r w:rsidRPr="006924B4">
        <w:t xml:space="preserve">, </w:t>
      </w:r>
    </w:p>
    <w:p w14:paraId="513FF22C" w14:textId="77777777" w:rsidR="00524900" w:rsidRPr="006924B4" w:rsidRDefault="00524900" w:rsidP="00524900">
      <w:pPr>
        <w:pStyle w:val="NormalHanging12a"/>
      </w:pPr>
      <w:bookmarkStart w:id="8" w:name="_Hlk229564682"/>
      <w:r w:rsidRPr="006924B4">
        <w:t>–</w:t>
      </w:r>
      <w:r w:rsidRPr="006924B4">
        <w:tab/>
        <w:t>der henviser til forslag til ændringsbudget nr. 1/2026, vedtaget af Kommissionen den 10. april 2026 (</w:t>
      </w:r>
      <w:proofErr w:type="gramStart"/>
      <w:r w:rsidRPr="006924B4">
        <w:t>COM(</w:t>
      </w:r>
      <w:proofErr w:type="gramEnd"/>
      <w:r w:rsidRPr="006924B4">
        <w:t>2026)0450),</w:t>
      </w:r>
      <w:bookmarkEnd w:id="8"/>
    </w:p>
    <w:p w14:paraId="1D3A6DA9" w14:textId="77777777" w:rsidR="00524900" w:rsidRPr="006924B4" w:rsidRDefault="00524900" w:rsidP="00524900">
      <w:pPr>
        <w:pStyle w:val="NormalHanging12a"/>
      </w:pPr>
      <w:r w:rsidRPr="006924B4">
        <w:t>–</w:t>
      </w:r>
      <w:r w:rsidRPr="006924B4">
        <w:tab/>
        <w:t>der henviser til Rådets holdning til forslag til ændringsbudget nr. 1/2026, vedtaget af Rådet den 16. juni 2026 og fremsendt til Europa-Parlamentet den 18. juni 2026 (09919/2026),</w:t>
      </w:r>
    </w:p>
    <w:p w14:paraId="658DA08B" w14:textId="77777777" w:rsidR="00524900" w:rsidRPr="006924B4" w:rsidRDefault="00524900" w:rsidP="00524900">
      <w:pPr>
        <w:pStyle w:val="NormalHanging12a"/>
      </w:pPr>
      <w:r w:rsidRPr="006924B4">
        <w:t>–</w:t>
      </w:r>
      <w:r w:rsidRPr="006924B4">
        <w:tab/>
        <w:t>der henviser til forretningsordenens artikel 96 og 98,</w:t>
      </w:r>
    </w:p>
    <w:p w14:paraId="0554DE86" w14:textId="77777777" w:rsidR="00524900" w:rsidRPr="006924B4" w:rsidRDefault="00524900" w:rsidP="00524900">
      <w:pPr>
        <w:pStyle w:val="NormalHanging12a"/>
      </w:pPr>
      <w:r w:rsidRPr="006924B4">
        <w:t>–</w:t>
      </w:r>
      <w:r w:rsidRPr="006924B4">
        <w:tab/>
        <w:t>der henviser til betænkning fra Budgetudvalget (A10-0180/2026),</w:t>
      </w:r>
    </w:p>
    <w:p w14:paraId="23E96EFB" w14:textId="77777777" w:rsidR="00524900" w:rsidRPr="006924B4" w:rsidRDefault="00524900" w:rsidP="00524900">
      <w:pPr>
        <w:pStyle w:val="NormalHanging12a"/>
      </w:pPr>
      <w:r w:rsidRPr="006924B4">
        <w:t>A.</w:t>
      </w:r>
      <w:r w:rsidRPr="006924B4">
        <w:tab/>
        <w:t>der henviser til, at forslag til ændringsbudget nr. 1/2026 har til formål på 2026-budgettet at opføre overskuddet fra gennemførelsen af regnskabsåret 2025, som beløber sig til 2 095 mio. EUR;</w:t>
      </w:r>
    </w:p>
    <w:p w14:paraId="4D5364C8" w14:textId="77777777" w:rsidR="00524900" w:rsidRPr="006924B4" w:rsidRDefault="00524900" w:rsidP="00524900">
      <w:pPr>
        <w:pStyle w:val="NormalHanging12a"/>
      </w:pPr>
      <w:r w:rsidRPr="006924B4">
        <w:t>B.</w:t>
      </w:r>
      <w:r w:rsidRPr="006924B4">
        <w:tab/>
        <w:t>der henviser til, at dette overskud hovedsageligt skyldes større indtægter end forventet på 1 994 mio. EUR og en underudnyttelse på 101 mio. EUR;</w:t>
      </w:r>
    </w:p>
    <w:p w14:paraId="134E1F15" w14:textId="77777777" w:rsidR="00524900" w:rsidRPr="006924B4" w:rsidRDefault="00524900" w:rsidP="00524900">
      <w:pPr>
        <w:pStyle w:val="NormalHanging12a"/>
      </w:pPr>
      <w:r w:rsidRPr="006924B4">
        <w:t>C.</w:t>
      </w:r>
      <w:r w:rsidRPr="006924B4">
        <w:tab/>
        <w:t xml:space="preserve">der henviser til, at overskuddet på indtægtssiden hovedsagelig skyldes </w:t>
      </w:r>
      <w:bookmarkStart w:id="9" w:name="_Hlk233197369"/>
      <w:r w:rsidRPr="006924B4">
        <w:t>et højere toldbeløb end forventet på over 860 mia. EUR</w:t>
      </w:r>
      <w:bookmarkEnd w:id="9"/>
      <w:r w:rsidRPr="006924B4">
        <w:t xml:space="preserve">; der henviser til, at den </w:t>
      </w:r>
      <w:proofErr w:type="spellStart"/>
      <w:r w:rsidRPr="006924B4">
        <w:t>næstvigtigste</w:t>
      </w:r>
      <w:proofErr w:type="spellEnd"/>
      <w:r w:rsidRPr="006924B4">
        <w:t xml:space="preserve"> årsag til overskuddet på indtægtssiden er et beløb på 1 840 mio. EUR i finansielle indtægter, morarenter og bøder; </w:t>
      </w:r>
    </w:p>
    <w:p w14:paraId="370B149D" w14:textId="77777777" w:rsidR="00524900" w:rsidRPr="006924B4" w:rsidRDefault="00524900" w:rsidP="00524900">
      <w:pPr>
        <w:pStyle w:val="NormalHanging12a"/>
      </w:pPr>
      <w:r w:rsidRPr="006924B4">
        <w:t>D.</w:t>
      </w:r>
      <w:r w:rsidRPr="006924B4">
        <w:tab/>
        <w:t>der henviser til, at på udgiftssiden beløb samtlige institutioners underudnyttelse af betalinger, herunder bortfald af fremførte bevillinger, sig til i alt 111 mio. EUR (svarende til 0,04 % af de godkendte betalingsbevillinger);</w:t>
      </w:r>
    </w:p>
    <w:p w14:paraId="3F22966A" w14:textId="77777777" w:rsidR="00524900" w:rsidRPr="006924B4" w:rsidRDefault="00524900" w:rsidP="00524900">
      <w:pPr>
        <w:pStyle w:val="NormalHanging12a"/>
      </w:pPr>
      <w:r w:rsidRPr="006924B4">
        <w:t>1.</w:t>
      </w:r>
      <w:r w:rsidRPr="006924B4">
        <w:tab/>
        <w:t>noterer sig forslaget til ændringsbudget nr. 1/2026 som forelagt af Kommissionen, der har til formål at budgetføre overskuddet fra 2025 med et beløb på 2 095 mio. EUR i overensstemmelse med finansforordningens artikel 18, stk. 3;</w:t>
      </w:r>
      <w:sdt>
        <w:sdtPr>
          <w:tag w:val="goog_rdk_0"/>
          <w:id w:val="1937094721"/>
        </w:sdtPr>
        <w:sdtEndPr/>
        <w:sdtContent/>
      </w:sdt>
    </w:p>
    <w:p w14:paraId="2CF13002" w14:textId="77777777" w:rsidR="00524900" w:rsidRPr="006924B4" w:rsidRDefault="00524900" w:rsidP="00524900">
      <w:pPr>
        <w:pStyle w:val="NormalHanging12a"/>
      </w:pPr>
      <w:r w:rsidRPr="006924B4">
        <w:t>2.</w:t>
      </w:r>
      <w:r w:rsidRPr="006924B4">
        <w:tab/>
        <w:t xml:space="preserve">glæder sig over, at overskuddet fra 2025 primært skyldes flere variationer under afsnit 1 (Egne indtægter, navnlig told) og 4 (Finansielle indtægter, morarenter og bøder), mens udgiftsoverskuddet fortsat er meget beskedent på 101 mio. EUR; </w:t>
      </w:r>
    </w:p>
    <w:p w14:paraId="3BCB8BDA" w14:textId="77777777" w:rsidR="00524900" w:rsidRPr="006924B4" w:rsidRDefault="00524900" w:rsidP="00524900">
      <w:pPr>
        <w:pStyle w:val="NormalHanging12a"/>
      </w:pPr>
      <w:r w:rsidRPr="006924B4">
        <w:t>3.</w:t>
      </w:r>
      <w:r w:rsidRPr="006924B4">
        <w:tab/>
        <w:t xml:space="preserve">beklager, at budgetteringen af overskuddet reducerer medlemsstaternes samlede BNI-baserede bidrag til finansieringen af 2026-budgettet med et tilsvarende beløb; understreger, at budgettet i en tid, hvor finansieringsbehovene fortsat er høje, navnlig </w:t>
      </w:r>
      <w:r w:rsidRPr="006924B4">
        <w:lastRenderedPageBreak/>
        <w:t xml:space="preserve">for så vidt angår NGEU-gældsbetjeningsomkostninger, og hvor råderummet inden for Unionens budget fortsat er ekstremt begrænset, bør bevare en tilstrækkelig grad af fleksibilitet i de sidste år af den nuværende FFR for at sætte Unionen i stand til at håndtere uforudsete begivenheder; understreger, at fleksibiliteten i Unionens budget er et af de centrale spørgsmål, der skal behandles i forhandlingerne om den flerårige finansielle ramme for 2028-2034; </w:t>
      </w:r>
    </w:p>
    <w:p w14:paraId="0AC0FCD8" w14:textId="77777777" w:rsidR="00524900" w:rsidRPr="006924B4" w:rsidRDefault="00524900" w:rsidP="00524900">
      <w:pPr>
        <w:pStyle w:val="NormalHanging12a"/>
      </w:pPr>
      <w:r w:rsidRPr="006924B4">
        <w:t>4.</w:t>
      </w:r>
      <w:r w:rsidRPr="006924B4">
        <w:tab/>
        <w:t>minder om sin mangeårige holdning om, at ekstraordinære indtægter fra bøder og gebyrer eller tilsvarende beløb heraf bør anvendes som supplerende indtægter for Unionens budget og ikke bør resultere i et tilsvarende fald i BNI-baserede bidrag;</w:t>
      </w:r>
    </w:p>
    <w:p w14:paraId="28B0AB5C" w14:textId="77777777" w:rsidR="00524900" w:rsidRPr="006924B4" w:rsidRDefault="00524900" w:rsidP="00524900">
      <w:pPr>
        <w:pStyle w:val="NormalHanging12a"/>
      </w:pPr>
      <w:r w:rsidRPr="006924B4">
        <w:t>5.</w:t>
      </w:r>
      <w:r w:rsidRPr="006924B4">
        <w:tab/>
        <w:t xml:space="preserve">noterer sig beregningen af de justerede faste reduktioner af de årlige BNI-baserede bidrag for de fem begunstigede medlemsstater, som beløber sig til ca. 5,8 mia. EUR netto; fremhæver, at disse rabatter er inflationsbetingede og derfor er steget med en højere sats end FFR-lofterne, som justeres årligt på grundlag af </w:t>
      </w:r>
      <w:proofErr w:type="spellStart"/>
      <w:r w:rsidRPr="006924B4">
        <w:t>deflatoren</w:t>
      </w:r>
      <w:proofErr w:type="spellEnd"/>
      <w:r w:rsidRPr="006924B4">
        <w:t xml:space="preserve"> på 2 %; understreger, at denne afvigelse øger byrden for de øvrige medlemsstater;</w:t>
      </w:r>
    </w:p>
    <w:p w14:paraId="1CAAA770" w14:textId="77777777" w:rsidR="00524900" w:rsidRPr="006924B4" w:rsidRDefault="00524900" w:rsidP="00524900">
      <w:pPr>
        <w:pStyle w:val="NormalHanging12a"/>
      </w:pPr>
      <w:r w:rsidRPr="006924B4">
        <w:t>6.</w:t>
      </w:r>
      <w:r w:rsidRPr="006924B4">
        <w:tab/>
        <w:t>noterer sig den negative indtægtspost under artikel 425, som beløber sig til 54 mio. EUR, og glæder sig over denne metode til at medtage omkostninger for budgettet fra betalinger, der er foretaget i henhold til forligsaftaler, som medfører udligningsrenter og kompensation for morarenter i forbindelse med tilbagebetaling af annullerede eller reducerede bøder på konkurrenceområdet i overensstemmelse med Domstolens relevante domme; minder om, at Parlamentet under forhandlingerne om omarbejdningen af finansforordningen i 2024 havde insisteret på anvendelsen af denne tilgang for at undgå yderligere udgiftsbevillinger under det allerede overbelastede udgiftsområde 7; minder om, at denne løsning ophører den 31. december 2027; opfordrer Kommissionen til at foreslå en endelig løsning for den næste FFR, der opnår det samme mål om at undgå enhver indvirkning på budgettets udgiftsside;</w:t>
      </w:r>
    </w:p>
    <w:p w14:paraId="59E6444F" w14:textId="0590AF84" w:rsidR="00524900" w:rsidRPr="006924B4" w:rsidRDefault="00524900" w:rsidP="00524900">
      <w:pPr>
        <w:pStyle w:val="NormalHanging12a"/>
      </w:pPr>
      <w:r w:rsidRPr="006924B4">
        <w:t>7.</w:t>
      </w:r>
      <w:r w:rsidRPr="006924B4">
        <w:tab/>
        <w:t xml:space="preserve">gentager sin mangeårige opfordring til holdbare og modstandsdygtige indtægter til Unionens budget, i henhold til artikel 310 i TEUF, som bør matche udgiftssiden samt Unionens strategiske prioriteter og påviste finansieringsbehov; bekræfter </w:t>
      </w:r>
      <w:r w:rsidR="00601E09" w:rsidRPr="006924B4">
        <w:t>sit</w:t>
      </w:r>
      <w:r w:rsidRPr="006924B4">
        <w:t xml:space="preserve"> stærke engagement i indførelsen af nye egne indtægter, ikke kun i forbindelse med tilbagebetalingen af gæld inden for rammerne af NGEU, men også til finansiering af Unionens styrkede politiske ambitioner; minder om, at den økonomiske byrde uundgåeligt vil komme til at påhvile medlemsstaterne i form af forhøjede BNI-baserede bidrag, såfremt nye egentlige egne indtægter ikke indføres; mener derfor, at indførelsen af egentlige nye indtægtsstrømme på mindst 60 mia. EUR om året er en afgørende forudsætning for en ambitiøs flerårig finansiel ramme for årene 2028-2034;</w:t>
      </w:r>
    </w:p>
    <w:p w14:paraId="71D7759F" w14:textId="77777777" w:rsidR="00524900" w:rsidRPr="006924B4" w:rsidRDefault="00524900" w:rsidP="00524900">
      <w:pPr>
        <w:pStyle w:val="NormalHanging12a"/>
      </w:pPr>
      <w:r w:rsidRPr="006924B4">
        <w:t>8.</w:t>
      </w:r>
      <w:r w:rsidRPr="006924B4">
        <w:tab/>
        <w:t>godkender Rådets holdning til forslag til ændringsbudget nr. 1/2026;</w:t>
      </w:r>
    </w:p>
    <w:p w14:paraId="71C83651" w14:textId="77777777" w:rsidR="00524900" w:rsidRPr="006924B4" w:rsidRDefault="00524900" w:rsidP="00524900">
      <w:pPr>
        <w:pStyle w:val="NormalHanging12a"/>
      </w:pPr>
      <w:r w:rsidRPr="006924B4">
        <w:t>9.</w:t>
      </w:r>
      <w:r w:rsidRPr="006924B4">
        <w:tab/>
        <w:t xml:space="preserve">pålægger sin formand at fastslå, at ændringsbudget nr. 1/2026 er endeligt vedtaget, og drage omsorg for, at det offentliggøres i </w:t>
      </w:r>
      <w:r w:rsidRPr="006924B4">
        <w:rPr>
          <w:i/>
          <w:iCs/>
        </w:rPr>
        <w:t>Den Europæiske Unions Tidende</w:t>
      </w:r>
      <w:r w:rsidRPr="006924B4">
        <w:t>;</w:t>
      </w:r>
    </w:p>
    <w:p w14:paraId="2E20C1B0" w14:textId="17EC0E42" w:rsidR="00E365E1" w:rsidRPr="006924B4" w:rsidRDefault="00524900" w:rsidP="009E7C16">
      <w:pPr>
        <w:ind w:left="567" w:hanging="567"/>
      </w:pPr>
      <w:r w:rsidRPr="006924B4">
        <w:t>10.</w:t>
      </w:r>
      <w:r w:rsidRPr="006924B4">
        <w:tab/>
        <w:t>pålægger sin formand at sende denne beslutning til Rådet og Kommissionen og til de øvrige institutioner og de berørte organer samt til de nationale parlamenter.</w:t>
      </w:r>
    </w:p>
    <w:sectPr w:rsidR="00E365E1" w:rsidRPr="006924B4" w:rsidSect="001F17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8CF5" w14:textId="77777777" w:rsidR="00014406" w:rsidRPr="001F1736" w:rsidRDefault="00014406">
      <w:r w:rsidRPr="001F1736">
        <w:separator/>
      </w:r>
    </w:p>
  </w:endnote>
  <w:endnote w:type="continuationSeparator" w:id="0">
    <w:p w14:paraId="3F3821B9" w14:textId="77777777" w:rsidR="00014406" w:rsidRPr="001F1736" w:rsidRDefault="00014406">
      <w:r w:rsidRPr="001F1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96FC" w14:textId="77777777" w:rsidR="00064002" w:rsidRPr="001F17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B1C7" w14:textId="77777777" w:rsidR="00064002" w:rsidRPr="001F17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7FFF" w14:textId="77777777" w:rsidR="00064002" w:rsidRPr="001F17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AF26" w14:textId="77777777" w:rsidR="00014406" w:rsidRPr="001F1736" w:rsidRDefault="00014406">
      <w:r w:rsidRPr="001F1736">
        <w:separator/>
      </w:r>
    </w:p>
  </w:footnote>
  <w:footnote w:type="continuationSeparator" w:id="0">
    <w:p w14:paraId="692E568B" w14:textId="77777777" w:rsidR="00014406" w:rsidRPr="001F1736" w:rsidRDefault="00014406">
      <w:r w:rsidRPr="001F1736">
        <w:continuationSeparator/>
      </w:r>
    </w:p>
  </w:footnote>
  <w:footnote w:id="1">
    <w:p w14:paraId="1BA93058" w14:textId="18D1CC9B" w:rsidR="00524900" w:rsidRPr="005530B8" w:rsidRDefault="00524900" w:rsidP="001F1736">
      <w:pPr>
        <w:pStyle w:val="FootnoteText"/>
        <w:ind w:left="567" w:hanging="567"/>
        <w:rPr>
          <w:sz w:val="24"/>
          <w:lang w:val="fi-FI"/>
        </w:rPr>
      </w:pPr>
      <w:r w:rsidRPr="001F1736">
        <w:rPr>
          <w:rStyle w:val="FootnoteReference"/>
          <w:sz w:val="24"/>
          <w:lang w:val="da-DK"/>
        </w:rPr>
        <w:footnoteRef/>
      </w:r>
      <w:r w:rsidR="001F1736" w:rsidRPr="005530B8">
        <w:rPr>
          <w:sz w:val="24"/>
          <w:lang w:val="fi-FI"/>
        </w:rPr>
        <w:t xml:space="preserve"> </w:t>
      </w:r>
      <w:r w:rsidR="001F1736" w:rsidRPr="005530B8">
        <w:rPr>
          <w:sz w:val="24"/>
          <w:lang w:val="fi-FI"/>
        </w:rPr>
        <w:tab/>
      </w:r>
      <w:r w:rsidRPr="005530B8">
        <w:rPr>
          <w:sz w:val="24"/>
          <w:lang w:val="fi-FI"/>
        </w:rPr>
        <w:t xml:space="preserve">EUT L, 2024/2509, 26.9.2024, ELI: </w:t>
      </w:r>
      <w:hyperlink r:id="rId1" w:tooltip="http://data.europa.eu/eli/reg/2024/2509/oj" w:history="1">
        <w:r w:rsidRPr="005530B8">
          <w:rPr>
            <w:rStyle w:val="Hyperlink"/>
            <w:sz w:val="24"/>
            <w:lang w:val="fi-FI"/>
          </w:rPr>
          <w:t>http://data.europa.eu/eli/reg/2024/2509/oj</w:t>
        </w:r>
      </w:hyperlink>
      <w:r w:rsidRPr="005530B8">
        <w:rPr>
          <w:sz w:val="24"/>
          <w:lang w:val="fi-FI"/>
        </w:rPr>
        <w:t>.</w:t>
      </w:r>
    </w:p>
  </w:footnote>
  <w:footnote w:id="2">
    <w:p w14:paraId="44B06D25" w14:textId="635BD76D" w:rsidR="00524900" w:rsidRPr="005530B8" w:rsidRDefault="00524900" w:rsidP="001F1736">
      <w:pPr>
        <w:pStyle w:val="FootnoteText"/>
        <w:ind w:left="567" w:hanging="567"/>
        <w:rPr>
          <w:sz w:val="24"/>
          <w:lang w:val="fi-FI"/>
        </w:rPr>
      </w:pPr>
      <w:r w:rsidRPr="001F1736">
        <w:rPr>
          <w:rStyle w:val="FootnoteReference"/>
          <w:sz w:val="24"/>
          <w:lang w:val="da-DK"/>
        </w:rPr>
        <w:footnoteRef/>
      </w:r>
      <w:r w:rsidR="001F1736" w:rsidRPr="005530B8">
        <w:rPr>
          <w:sz w:val="24"/>
          <w:lang w:val="fi-FI"/>
        </w:rPr>
        <w:t xml:space="preserve"> </w:t>
      </w:r>
      <w:r w:rsidR="001F1736" w:rsidRPr="005530B8">
        <w:rPr>
          <w:sz w:val="24"/>
          <w:lang w:val="fi-FI"/>
        </w:rPr>
        <w:tab/>
      </w:r>
      <w:r w:rsidRPr="005530B8">
        <w:rPr>
          <w:sz w:val="24"/>
          <w:lang w:val="fi-FI"/>
        </w:rPr>
        <w:t xml:space="preserve">EUT L, 2026/72, 26.2.2026, ELI: </w:t>
      </w:r>
      <w:hyperlink r:id="rId2" w:history="1">
        <w:r w:rsidRPr="005530B8">
          <w:rPr>
            <w:rStyle w:val="Hyperlink"/>
            <w:sz w:val="24"/>
            <w:lang w:val="fi-FI"/>
          </w:rPr>
          <w:t>http://data.europa.eu/eli/budget/2026/72/oj</w:t>
        </w:r>
      </w:hyperlink>
      <w:r w:rsidRPr="005530B8">
        <w:rPr>
          <w:sz w:val="24"/>
          <w:lang w:val="fi-FI"/>
        </w:rPr>
        <w:t>.</w:t>
      </w:r>
    </w:p>
  </w:footnote>
  <w:footnote w:id="3">
    <w:p w14:paraId="3F5801BA" w14:textId="086DC3FA" w:rsidR="00524900" w:rsidRPr="005530B8" w:rsidRDefault="00524900" w:rsidP="001F1736">
      <w:pPr>
        <w:pStyle w:val="FootnoteText"/>
        <w:ind w:left="567" w:hanging="567"/>
        <w:rPr>
          <w:sz w:val="24"/>
          <w:lang w:val="fi-FI"/>
        </w:rPr>
      </w:pPr>
      <w:r w:rsidRPr="001F1736">
        <w:rPr>
          <w:rStyle w:val="FootnoteReference"/>
          <w:sz w:val="24"/>
          <w:lang w:val="da-DK"/>
        </w:rPr>
        <w:footnoteRef/>
      </w:r>
      <w:r w:rsidR="001F1736" w:rsidRPr="005530B8">
        <w:rPr>
          <w:sz w:val="24"/>
          <w:lang w:val="fi-FI"/>
        </w:rPr>
        <w:t xml:space="preserve"> </w:t>
      </w:r>
      <w:r w:rsidR="001F1736" w:rsidRPr="005530B8">
        <w:rPr>
          <w:sz w:val="24"/>
          <w:lang w:val="fi-FI"/>
        </w:rPr>
        <w:tab/>
      </w:r>
      <w:r w:rsidRPr="005530B8">
        <w:rPr>
          <w:sz w:val="24"/>
          <w:lang w:val="fi-FI"/>
        </w:rPr>
        <w:t xml:space="preserve">OJ L 433 I, 22.12.2020, p. 11, ELI: </w:t>
      </w:r>
      <w:hyperlink r:id="rId3" w:history="1">
        <w:r w:rsidRPr="005530B8">
          <w:rPr>
            <w:rStyle w:val="Hyperlink"/>
            <w:sz w:val="24"/>
            <w:lang w:val="fi-FI"/>
          </w:rPr>
          <w:t>http://data.europa.eu/eli/reg/2020/2093/oj</w:t>
        </w:r>
      </w:hyperlink>
      <w:r w:rsidRPr="005530B8">
        <w:rPr>
          <w:sz w:val="24"/>
          <w:lang w:val="fi-FI"/>
        </w:rPr>
        <w:t>.</w:t>
      </w:r>
    </w:p>
  </w:footnote>
  <w:footnote w:id="4">
    <w:p w14:paraId="2E471BE1" w14:textId="3ECACFDB" w:rsidR="00524900" w:rsidRPr="005530B8" w:rsidRDefault="00524900" w:rsidP="001F1736">
      <w:pPr>
        <w:pStyle w:val="FootnoteText"/>
        <w:ind w:left="567" w:hanging="567"/>
        <w:rPr>
          <w:sz w:val="24"/>
          <w:lang w:val="fi-FI"/>
        </w:rPr>
      </w:pPr>
      <w:r w:rsidRPr="001F1736">
        <w:rPr>
          <w:rStyle w:val="FootnoteReference"/>
          <w:sz w:val="24"/>
          <w:lang w:val="da-DK"/>
        </w:rPr>
        <w:footnoteRef/>
      </w:r>
      <w:r w:rsidR="001F1736" w:rsidRPr="005530B8">
        <w:rPr>
          <w:sz w:val="24"/>
          <w:lang w:val="fi-FI"/>
        </w:rPr>
        <w:t xml:space="preserve"> </w:t>
      </w:r>
      <w:r w:rsidR="001F1736" w:rsidRPr="005530B8">
        <w:rPr>
          <w:sz w:val="24"/>
          <w:lang w:val="fi-FI"/>
        </w:rPr>
        <w:tab/>
      </w:r>
      <w:r w:rsidRPr="005530B8">
        <w:rPr>
          <w:sz w:val="24"/>
          <w:lang w:val="fi-FI"/>
        </w:rPr>
        <w:t>EUT</w:t>
      </w:r>
      <w:r w:rsidR="009F0A22" w:rsidRPr="005530B8">
        <w:rPr>
          <w:sz w:val="24"/>
          <w:lang w:val="fi-FI"/>
        </w:rPr>
        <w:t xml:space="preserve"> L</w:t>
      </w:r>
      <w:r w:rsidRPr="005530B8">
        <w:rPr>
          <w:sz w:val="24"/>
          <w:lang w:val="fi-FI"/>
        </w:rPr>
        <w:t xml:space="preserve">, 2024/765, 29.2.2024, ELI: </w:t>
      </w:r>
      <w:hyperlink r:id="rId4" w:history="1">
        <w:r w:rsidRPr="005530B8">
          <w:rPr>
            <w:rStyle w:val="Hyperlink"/>
            <w:sz w:val="24"/>
            <w:lang w:val="fi-FI"/>
          </w:rPr>
          <w:t>http://data.europa.eu/eli/reg/2024/765/oj</w:t>
        </w:r>
      </w:hyperlink>
      <w:r w:rsidRPr="005530B8">
        <w:rPr>
          <w:sz w:val="24"/>
          <w:lang w:val="fi-FI"/>
        </w:rPr>
        <w:t>.</w:t>
      </w:r>
    </w:p>
  </w:footnote>
  <w:footnote w:id="5">
    <w:p w14:paraId="7905625F" w14:textId="682911E6" w:rsidR="00524900" w:rsidRPr="001F1736" w:rsidRDefault="00524900" w:rsidP="001F1736">
      <w:pPr>
        <w:pStyle w:val="FootnoteText"/>
        <w:ind w:left="567" w:hanging="567"/>
        <w:rPr>
          <w:sz w:val="24"/>
          <w:lang w:val="da-DK"/>
        </w:rPr>
      </w:pPr>
      <w:r w:rsidRPr="001F1736">
        <w:rPr>
          <w:rStyle w:val="FootnoteReference"/>
          <w:sz w:val="24"/>
          <w:lang w:val="da-DK"/>
        </w:rPr>
        <w:footnoteRef/>
      </w:r>
      <w:r w:rsidR="001F1736" w:rsidRPr="001F1736">
        <w:rPr>
          <w:sz w:val="24"/>
          <w:lang w:val="da-DK"/>
        </w:rPr>
        <w:t xml:space="preserve"> </w:t>
      </w:r>
      <w:r w:rsidR="001F1736" w:rsidRPr="001F1736">
        <w:rPr>
          <w:sz w:val="24"/>
          <w:lang w:val="da-DK"/>
        </w:rPr>
        <w:tab/>
      </w:r>
      <w:r w:rsidRPr="001F1736">
        <w:rPr>
          <w:sz w:val="24"/>
          <w:lang w:val="da-DK"/>
        </w:rPr>
        <w:t xml:space="preserve">EUT L 433 I af 22.12.2020, s. 28, ELI: </w:t>
      </w:r>
      <w:hyperlink r:id="rId5" w:history="1">
        <w:r w:rsidRPr="001F1736">
          <w:rPr>
            <w:rStyle w:val="Hyperlink"/>
            <w:sz w:val="24"/>
            <w:lang w:val="da-DK"/>
          </w:rPr>
          <w:t>http://data.europa.eu/eli/agree_interinstit/2020/1222/oj</w:t>
        </w:r>
      </w:hyperlink>
    </w:p>
  </w:footnote>
  <w:footnote w:id="6">
    <w:p w14:paraId="5E9BDC55" w14:textId="1AAA140D" w:rsidR="00524900" w:rsidRPr="001F1736" w:rsidRDefault="00524900" w:rsidP="001F1736">
      <w:pPr>
        <w:pStyle w:val="FootnoteText"/>
        <w:ind w:left="567" w:hanging="567"/>
        <w:rPr>
          <w:sz w:val="24"/>
          <w:lang w:val="da-DK"/>
        </w:rPr>
      </w:pPr>
      <w:r w:rsidRPr="001F1736">
        <w:rPr>
          <w:rStyle w:val="FootnoteReference"/>
          <w:sz w:val="24"/>
          <w:lang w:val="da-DK"/>
        </w:rPr>
        <w:footnoteRef/>
      </w:r>
      <w:r w:rsidR="001F1736" w:rsidRPr="001F1736">
        <w:rPr>
          <w:sz w:val="24"/>
          <w:lang w:val="da-DK"/>
        </w:rPr>
        <w:t xml:space="preserve"> </w:t>
      </w:r>
      <w:r w:rsidR="001F1736" w:rsidRPr="001F1736">
        <w:rPr>
          <w:sz w:val="24"/>
          <w:lang w:val="da-DK"/>
        </w:rPr>
        <w:tab/>
      </w:r>
      <w:r w:rsidRPr="001F1736">
        <w:rPr>
          <w:sz w:val="24"/>
          <w:lang w:val="da-DK"/>
        </w:rPr>
        <w:t xml:space="preserve">EUT L 424 af 15.12.2020, s. 1, ELI: </w:t>
      </w:r>
      <w:hyperlink r:id="rId6" w:history="1">
        <w:r w:rsidRPr="001F1736">
          <w:rPr>
            <w:rStyle w:val="Hyperlink"/>
            <w:sz w:val="24"/>
            <w:lang w:val="da-DK"/>
          </w:rPr>
          <w:t>http://data.europa.eu/eli/dec/2020/2053/oj</w:t>
        </w:r>
      </w:hyperlink>
      <w:r w:rsidRPr="001F1736">
        <w:rPr>
          <w:sz w:val="24"/>
          <w:lang w:val="da-DK"/>
        </w:rPr>
        <w:t>.</w:t>
      </w:r>
    </w:p>
  </w:footnote>
  <w:footnote w:id="7">
    <w:p w14:paraId="1C60929B" w14:textId="5D86B5EA" w:rsidR="00524900" w:rsidRPr="001F1736" w:rsidRDefault="00524900" w:rsidP="001F1736">
      <w:pPr>
        <w:pStyle w:val="FootnoteText"/>
        <w:ind w:left="567" w:hanging="567"/>
        <w:rPr>
          <w:sz w:val="24"/>
          <w:lang w:val="da-DK"/>
        </w:rPr>
      </w:pPr>
      <w:r w:rsidRPr="001F1736">
        <w:rPr>
          <w:rStyle w:val="FootnoteReference"/>
          <w:sz w:val="24"/>
          <w:lang w:val="da-DK"/>
        </w:rPr>
        <w:footnoteRef/>
      </w:r>
      <w:r w:rsidR="001F1736" w:rsidRPr="001F1736">
        <w:rPr>
          <w:sz w:val="24"/>
          <w:lang w:val="da-DK"/>
        </w:rPr>
        <w:t xml:space="preserve"> </w:t>
      </w:r>
      <w:r w:rsidR="001F1736" w:rsidRPr="001F1736">
        <w:rPr>
          <w:sz w:val="24"/>
          <w:lang w:val="da-DK"/>
        </w:rPr>
        <w:tab/>
      </w:r>
      <w:r w:rsidRPr="001F1736">
        <w:rPr>
          <w:sz w:val="24"/>
          <w:lang w:val="da-DK"/>
        </w:rPr>
        <w:t xml:space="preserve">Vedtagne tekster, </w:t>
      </w:r>
      <w:hyperlink r:id="rId7" w:history="1">
        <w:r w:rsidRPr="001F1736">
          <w:rPr>
            <w:rStyle w:val="Hyperlink"/>
            <w:sz w:val="24"/>
            <w:lang w:val="da-DK"/>
          </w:rPr>
          <w:t>P10_</w:t>
        </w:r>
        <w:proofErr w:type="gramStart"/>
        <w:r w:rsidRPr="001F1736">
          <w:rPr>
            <w:rStyle w:val="Hyperlink"/>
            <w:sz w:val="24"/>
            <w:lang w:val="da-DK"/>
          </w:rPr>
          <w:t>TA(</w:t>
        </w:r>
        <w:proofErr w:type="gramEnd"/>
        <w:r w:rsidRPr="001F1736">
          <w:rPr>
            <w:rStyle w:val="Hyperlink"/>
            <w:sz w:val="24"/>
            <w:lang w:val="da-DK"/>
          </w:rPr>
          <w:t>2026)0111</w:t>
        </w:r>
      </w:hyperlink>
      <w:r w:rsidRPr="001F173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FA81" w14:textId="77777777" w:rsidR="00064002" w:rsidRPr="001F17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BA74" w14:textId="77777777" w:rsidR="00064002" w:rsidRPr="001F17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6653" w14:textId="77777777" w:rsidR="00064002" w:rsidRPr="001F17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1187134">
    <w:abstractNumId w:val="9"/>
  </w:num>
  <w:num w:numId="2" w16cid:durableId="1631206170">
    <w:abstractNumId w:val="9"/>
  </w:num>
  <w:num w:numId="3" w16cid:durableId="2129815827">
    <w:abstractNumId w:val="7"/>
  </w:num>
  <w:num w:numId="4" w16cid:durableId="592006596">
    <w:abstractNumId w:val="7"/>
  </w:num>
  <w:num w:numId="5" w16cid:durableId="615328185">
    <w:abstractNumId w:val="6"/>
  </w:num>
  <w:num w:numId="6" w16cid:durableId="23291709">
    <w:abstractNumId w:val="6"/>
  </w:num>
  <w:num w:numId="7" w16cid:durableId="1062632881">
    <w:abstractNumId w:val="5"/>
  </w:num>
  <w:num w:numId="8" w16cid:durableId="1727875824">
    <w:abstractNumId w:val="5"/>
  </w:num>
  <w:num w:numId="9" w16cid:durableId="516425654">
    <w:abstractNumId w:val="4"/>
  </w:num>
  <w:num w:numId="10" w16cid:durableId="164246184">
    <w:abstractNumId w:val="4"/>
  </w:num>
  <w:num w:numId="11" w16cid:durableId="1688631860">
    <w:abstractNumId w:val="8"/>
  </w:num>
  <w:num w:numId="12" w16cid:durableId="1421371050">
    <w:abstractNumId w:val="8"/>
  </w:num>
  <w:num w:numId="13" w16cid:durableId="1266572977">
    <w:abstractNumId w:val="3"/>
  </w:num>
  <w:num w:numId="14" w16cid:durableId="1328557636">
    <w:abstractNumId w:val="3"/>
  </w:num>
  <w:num w:numId="15" w16cid:durableId="1694069095">
    <w:abstractNumId w:val="2"/>
  </w:num>
  <w:num w:numId="16" w16cid:durableId="1197158334">
    <w:abstractNumId w:val="2"/>
  </w:num>
  <w:num w:numId="17" w16cid:durableId="451023543">
    <w:abstractNumId w:val="1"/>
  </w:num>
  <w:num w:numId="18" w16cid:durableId="294720965">
    <w:abstractNumId w:val="1"/>
  </w:num>
  <w:num w:numId="19" w16cid:durableId="1575042614">
    <w:abstractNumId w:val="0"/>
  </w:num>
  <w:num w:numId="20" w16cid:durableId="1577978746">
    <w:abstractNumId w:val="0"/>
  </w:num>
  <w:num w:numId="21" w16cid:durableId="1172993983">
    <w:abstractNumId w:val="9"/>
  </w:num>
  <w:num w:numId="22" w16cid:durableId="996033623">
    <w:abstractNumId w:val="7"/>
  </w:num>
  <w:num w:numId="23" w16cid:durableId="1887837166">
    <w:abstractNumId w:val="6"/>
  </w:num>
  <w:num w:numId="24" w16cid:durableId="1174302616">
    <w:abstractNumId w:val="5"/>
  </w:num>
  <w:num w:numId="25" w16cid:durableId="346950430">
    <w:abstractNumId w:val="4"/>
  </w:num>
  <w:num w:numId="26" w16cid:durableId="2037922821">
    <w:abstractNumId w:val="8"/>
  </w:num>
  <w:num w:numId="27" w16cid:durableId="2125730540">
    <w:abstractNumId w:val="3"/>
  </w:num>
  <w:num w:numId="28" w16cid:durableId="1605648247">
    <w:abstractNumId w:val="2"/>
  </w:num>
  <w:num w:numId="29" w16cid:durableId="21439726">
    <w:abstractNumId w:val="1"/>
  </w:num>
  <w:num w:numId="30" w16cid:durableId="1599294642">
    <w:abstractNumId w:val="0"/>
  </w:num>
  <w:num w:numId="31" w16cid:durableId="2098747138">
    <w:abstractNumId w:val="9"/>
  </w:num>
  <w:num w:numId="32" w16cid:durableId="356278329">
    <w:abstractNumId w:val="7"/>
  </w:num>
  <w:num w:numId="33" w16cid:durableId="503782127">
    <w:abstractNumId w:val="6"/>
  </w:num>
  <w:num w:numId="34" w16cid:durableId="617882117">
    <w:abstractNumId w:val="5"/>
  </w:num>
  <w:num w:numId="35" w16cid:durableId="1585801480">
    <w:abstractNumId w:val="4"/>
  </w:num>
  <w:num w:numId="36" w16cid:durableId="2070424228">
    <w:abstractNumId w:val="8"/>
  </w:num>
  <w:num w:numId="37" w16cid:durableId="114376849">
    <w:abstractNumId w:val="3"/>
  </w:num>
  <w:num w:numId="38" w16cid:durableId="1596135194">
    <w:abstractNumId w:val="2"/>
  </w:num>
  <w:num w:numId="39" w16cid:durableId="1158230713">
    <w:abstractNumId w:val="1"/>
  </w:num>
  <w:num w:numId="40" w16cid:durableId="2005084935">
    <w:abstractNumId w:val="0"/>
  </w:num>
  <w:num w:numId="41" w16cid:durableId="1644233126">
    <w:abstractNumId w:val="10"/>
  </w:num>
  <w:num w:numId="42" w16cid:durableId="810361847">
    <w:abstractNumId w:val="10"/>
  </w:num>
  <w:num w:numId="43" w16cid:durableId="926159375">
    <w:abstractNumId w:val="10"/>
  </w:num>
  <w:num w:numId="44" w16cid:durableId="205682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DA"/>
    <w:docVar w:name="dvnumam" w:val="0"/>
    <w:docVar w:name="dvpe" w:val="787.947"/>
    <w:docVar w:name="dvrapporteur" w:val="Ordfører: "/>
    <w:docVar w:name="dvtitre" w:val="Europa-Parlamentets beslutning af xx. juli 2026 om Rådets holdning til forslag til Den Europæiske Unions ændringsbudget nr. 1/2026 for regnskabsåret 2026 – Opførelse af overskuddet fra regnskabsåret 2025(09919/2026 – C10-0145/2026 – 2026/0090(BUD))"/>
  </w:docVars>
  <w:rsids>
    <w:rsidRoot w:val="00014406"/>
    <w:rsid w:val="00002272"/>
    <w:rsid w:val="00014406"/>
    <w:rsid w:val="00064002"/>
    <w:rsid w:val="000677B9"/>
    <w:rsid w:val="000831BA"/>
    <w:rsid w:val="000A42CC"/>
    <w:rsid w:val="000E7DD9"/>
    <w:rsid w:val="000F3867"/>
    <w:rsid w:val="0010095E"/>
    <w:rsid w:val="00125B37"/>
    <w:rsid w:val="00187494"/>
    <w:rsid w:val="001F1736"/>
    <w:rsid w:val="001F32AE"/>
    <w:rsid w:val="002767FF"/>
    <w:rsid w:val="002B18FE"/>
    <w:rsid w:val="002B50BD"/>
    <w:rsid w:val="002B5493"/>
    <w:rsid w:val="00343214"/>
    <w:rsid w:val="00361C00"/>
    <w:rsid w:val="00395FA1"/>
    <w:rsid w:val="003E15D4"/>
    <w:rsid w:val="004100B1"/>
    <w:rsid w:val="00411CCE"/>
    <w:rsid w:val="0041666E"/>
    <w:rsid w:val="00421060"/>
    <w:rsid w:val="00471C19"/>
    <w:rsid w:val="004867E3"/>
    <w:rsid w:val="00494A28"/>
    <w:rsid w:val="004C0004"/>
    <w:rsid w:val="004C5D52"/>
    <w:rsid w:val="0050519A"/>
    <w:rsid w:val="005072A1"/>
    <w:rsid w:val="00514517"/>
    <w:rsid w:val="00524900"/>
    <w:rsid w:val="00545827"/>
    <w:rsid w:val="005530B8"/>
    <w:rsid w:val="00560270"/>
    <w:rsid w:val="005A20C9"/>
    <w:rsid w:val="005B3379"/>
    <w:rsid w:val="005C2568"/>
    <w:rsid w:val="005F1B17"/>
    <w:rsid w:val="00601E09"/>
    <w:rsid w:val="006037C0"/>
    <w:rsid w:val="006631B6"/>
    <w:rsid w:val="00680577"/>
    <w:rsid w:val="006924B4"/>
    <w:rsid w:val="006970CC"/>
    <w:rsid w:val="006F74FA"/>
    <w:rsid w:val="00731ADD"/>
    <w:rsid w:val="00734777"/>
    <w:rsid w:val="00747932"/>
    <w:rsid w:val="00751A4A"/>
    <w:rsid w:val="00756632"/>
    <w:rsid w:val="00762C74"/>
    <w:rsid w:val="00765BA0"/>
    <w:rsid w:val="00786EC0"/>
    <w:rsid w:val="007D1690"/>
    <w:rsid w:val="007E22AD"/>
    <w:rsid w:val="00817416"/>
    <w:rsid w:val="00842779"/>
    <w:rsid w:val="00865F67"/>
    <w:rsid w:val="00881A7B"/>
    <w:rsid w:val="008840E5"/>
    <w:rsid w:val="00887B3E"/>
    <w:rsid w:val="008A47C4"/>
    <w:rsid w:val="008C2AC6"/>
    <w:rsid w:val="00930C23"/>
    <w:rsid w:val="0093193B"/>
    <w:rsid w:val="009509D8"/>
    <w:rsid w:val="00950B64"/>
    <w:rsid w:val="00981893"/>
    <w:rsid w:val="009E7C16"/>
    <w:rsid w:val="009F0A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75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692A1"/>
  <w15:chartTrackingRefBased/>
  <w15:docId w15:val="{1D6B1A22-2BFF-49B5-AE38-5EB7FB61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4900"/>
    <w:pPr>
      <w:spacing w:before="480" w:after="240"/>
    </w:pPr>
  </w:style>
  <w:style w:type="paragraph" w:customStyle="1" w:styleId="NormalHanging12a">
    <w:name w:val="NormalHanging12a"/>
    <w:basedOn w:val="Normal"/>
    <w:rsid w:val="00524900"/>
    <w:pPr>
      <w:spacing w:after="240"/>
      <w:ind w:left="567" w:hanging="567"/>
    </w:pPr>
  </w:style>
  <w:style w:type="character" w:styleId="Hyperlink">
    <w:name w:val="Hyperlink"/>
    <w:basedOn w:val="DefaultParagraphFont"/>
    <w:rsid w:val="00524900"/>
    <w:rPr>
      <w:color w:val="0563C1" w:themeColor="hyperlink"/>
      <w:u w:val="single"/>
    </w:rPr>
  </w:style>
  <w:style w:type="paragraph" w:styleId="Revision">
    <w:name w:val="Revision"/>
    <w:hidden/>
    <w:uiPriority w:val="99"/>
    <w:semiHidden/>
    <w:rsid w:val="009E7C16"/>
    <w:rPr>
      <w:sz w:val="24"/>
      <w:lang w:val="da-DK"/>
    </w:rPr>
  </w:style>
  <w:style w:type="character" w:styleId="CommentReference">
    <w:name w:val="annotation reference"/>
    <w:basedOn w:val="DefaultParagraphFont"/>
    <w:rsid w:val="00765BA0"/>
    <w:rPr>
      <w:sz w:val="16"/>
      <w:szCs w:val="16"/>
    </w:rPr>
  </w:style>
  <w:style w:type="paragraph" w:styleId="CommentText">
    <w:name w:val="annotation text"/>
    <w:basedOn w:val="Normal"/>
    <w:link w:val="CommentTextChar"/>
    <w:rsid w:val="00765BA0"/>
    <w:rPr>
      <w:sz w:val="20"/>
    </w:rPr>
  </w:style>
  <w:style w:type="character" w:customStyle="1" w:styleId="CommentTextChar">
    <w:name w:val="Comment Text Char"/>
    <w:basedOn w:val="DefaultParagraphFont"/>
    <w:link w:val="CommentText"/>
    <w:rsid w:val="00765BA0"/>
    <w:rPr>
      <w:lang w:val="da-DK"/>
    </w:rPr>
  </w:style>
  <w:style w:type="paragraph" w:styleId="CommentSubject">
    <w:name w:val="annotation subject"/>
    <w:basedOn w:val="CommentText"/>
    <w:next w:val="CommentText"/>
    <w:link w:val="CommentSubjectChar"/>
    <w:rsid w:val="00765BA0"/>
    <w:rPr>
      <w:b/>
      <w:bCs/>
    </w:rPr>
  </w:style>
  <w:style w:type="character" w:customStyle="1" w:styleId="CommentSubjectChar">
    <w:name w:val="Comment Subject Char"/>
    <w:basedOn w:val="CommentTextChar"/>
    <w:link w:val="CommentSubject"/>
    <w:rsid w:val="00765BA0"/>
    <w:rPr>
      <w:b/>
      <w:bCs/>
      <w:lang w:val="da-DK"/>
    </w:rPr>
  </w:style>
  <w:style w:type="character" w:styleId="FollowedHyperlink">
    <w:name w:val="FollowedHyperlink"/>
    <w:basedOn w:val="DefaultParagraphFont"/>
    <w:rsid w:val="009F0A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DA.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s://eur-lex.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2026-07-07T11:26:00Z</dcterms:created>
  <dcterms:modified xsi:type="dcterms:W3CDTF">2026-07-07T11:26:00Z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P10_TA-PROV(2026)0242_A10-0180_2026_</vt:lpwstr>
  </property>
  <property fmtid="{D5CDD505-2E9C-101B-9397-08002B2CF9AE}" pid="4" name="&lt;Type&gt;">
    <vt:lpwstr>RR</vt:lpwstr>
  </property>
</Properties>
</file>