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13A7A" w14:paraId="1DBBB516" w14:textId="77777777" w:rsidTr="0010095E">
        <w:trPr>
          <w:trHeight w:hRule="exact" w:val="1418"/>
        </w:trPr>
        <w:tc>
          <w:tcPr>
            <w:tcW w:w="6804" w:type="dxa"/>
            <w:shd w:val="clear" w:color="auto" w:fill="auto"/>
            <w:vAlign w:val="center"/>
          </w:tcPr>
          <w:p w14:paraId="2F403286" w14:textId="77777777" w:rsidR="00751A4A" w:rsidRPr="00F13A7A" w:rsidRDefault="00475172" w:rsidP="0010095E">
            <w:pPr>
              <w:pStyle w:val="EPName"/>
            </w:pPr>
            <w:r w:rsidRPr="00F13A7A">
              <w:t>Euroopa Parlament</w:t>
            </w:r>
          </w:p>
          <w:p w14:paraId="4CDEFC92" w14:textId="77777777" w:rsidR="00751A4A" w:rsidRPr="00F13A7A" w:rsidRDefault="005F1B17" w:rsidP="005F1B17">
            <w:pPr>
              <w:pStyle w:val="EPTerm"/>
              <w:rPr>
                <w:rStyle w:val="HideTWBExt"/>
                <w:noProof w:val="0"/>
                <w:vanish w:val="0"/>
                <w:color w:val="auto"/>
              </w:rPr>
            </w:pPr>
            <w:r w:rsidRPr="00F13A7A">
              <w:t>2024</w:t>
            </w:r>
            <w:r w:rsidR="00817416" w:rsidRPr="00F13A7A">
              <w:t>-202</w:t>
            </w:r>
            <w:r w:rsidRPr="00F13A7A">
              <w:t>9</w:t>
            </w:r>
          </w:p>
        </w:tc>
        <w:tc>
          <w:tcPr>
            <w:tcW w:w="2268" w:type="dxa"/>
            <w:shd w:val="clear" w:color="auto" w:fill="auto"/>
          </w:tcPr>
          <w:p w14:paraId="218C483B" w14:textId="77777777" w:rsidR="00751A4A" w:rsidRPr="00F13A7A" w:rsidRDefault="00187494" w:rsidP="0010095E">
            <w:pPr>
              <w:pStyle w:val="EPLogo"/>
            </w:pPr>
            <w:r w:rsidRPr="00F13A7A">
              <w:rPr>
                <w:noProof/>
                <w:lang w:eastAsia="ja-JP"/>
              </w:rPr>
              <w:drawing>
                <wp:inline distT="0" distB="0" distL="0" distR="0" wp14:anchorId="63387FEF" wp14:editId="0990E35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1EC291" w14:textId="77777777" w:rsidR="00D058B8" w:rsidRPr="00F13A7A" w:rsidRDefault="00D058B8" w:rsidP="004C5D52">
      <w:pPr>
        <w:pStyle w:val="LineTop"/>
      </w:pPr>
    </w:p>
    <w:p w14:paraId="481B09A5" w14:textId="77777777" w:rsidR="00680577" w:rsidRPr="00F13A7A" w:rsidRDefault="00475172" w:rsidP="00680577">
      <w:pPr>
        <w:pStyle w:val="EPBodyTA1"/>
      </w:pPr>
      <w:r w:rsidRPr="00F13A7A">
        <w:t>VASTUVÕETUD TEKSTID</w:t>
      </w:r>
    </w:p>
    <w:p w14:paraId="504DD808" w14:textId="77777777" w:rsidR="00D058B8" w:rsidRPr="00F13A7A" w:rsidRDefault="00D058B8" w:rsidP="00D058B8">
      <w:pPr>
        <w:pStyle w:val="LineBottom"/>
      </w:pPr>
    </w:p>
    <w:p w14:paraId="5565839F" w14:textId="1B7320D4" w:rsidR="00475172" w:rsidRPr="00F13A7A" w:rsidRDefault="00475172" w:rsidP="00475172">
      <w:pPr>
        <w:pStyle w:val="ATHeading1"/>
      </w:pPr>
      <w:bookmarkStart w:id="0" w:name="TANumber"/>
      <w:r w:rsidRPr="00F13A7A">
        <w:t>P10_TA(2026)0</w:t>
      </w:r>
      <w:r w:rsidR="00217859" w:rsidRPr="00F13A7A">
        <w:t>242</w:t>
      </w:r>
      <w:bookmarkEnd w:id="0"/>
    </w:p>
    <w:p w14:paraId="32774700" w14:textId="77777777" w:rsidR="00475172" w:rsidRPr="00F13A7A" w:rsidRDefault="00475172" w:rsidP="00475172">
      <w:pPr>
        <w:pStyle w:val="ATHeading2"/>
      </w:pPr>
      <w:bookmarkStart w:id="1" w:name="title"/>
      <w:r w:rsidRPr="00F13A7A">
        <w:t>Paranduseelarve projekt nr 1/2026: 2025. aasta ülejäägi kandmine eelarvesse</w:t>
      </w:r>
      <w:bookmarkEnd w:id="1"/>
    </w:p>
    <w:p w14:paraId="24EB957B" w14:textId="77777777" w:rsidR="00475172" w:rsidRPr="00F13A7A" w:rsidRDefault="00475172" w:rsidP="00475172">
      <w:pPr>
        <w:rPr>
          <w:i/>
          <w:vanish/>
        </w:rPr>
      </w:pPr>
      <w:r w:rsidRPr="00F13A7A">
        <w:rPr>
          <w:i/>
        </w:rPr>
        <w:fldChar w:fldCharType="begin"/>
      </w:r>
      <w:r w:rsidRPr="00F13A7A">
        <w:rPr>
          <w:i/>
        </w:rPr>
        <w:instrText xml:space="preserve"> TC"(</w:instrText>
      </w:r>
      <w:bookmarkStart w:id="2" w:name="DocNumber"/>
      <w:r w:rsidRPr="00F13A7A">
        <w:rPr>
          <w:i/>
        </w:rPr>
        <w:instrText>A10-0180/2026</w:instrText>
      </w:r>
      <w:bookmarkEnd w:id="2"/>
      <w:r w:rsidRPr="00F13A7A">
        <w:rPr>
          <w:i/>
        </w:rPr>
        <w:instrText xml:space="preserve"> - Raportöör: Andrzej Halicki)"\l3 \n&gt; \* MERGEFORMAT </w:instrText>
      </w:r>
      <w:r w:rsidRPr="00F13A7A">
        <w:rPr>
          <w:i/>
        </w:rPr>
        <w:fldChar w:fldCharType="end"/>
      </w:r>
    </w:p>
    <w:p w14:paraId="7CD25849" w14:textId="77777777" w:rsidR="00475172" w:rsidRPr="00F13A7A" w:rsidRDefault="00475172" w:rsidP="00475172">
      <w:pPr>
        <w:rPr>
          <w:vanish/>
        </w:rPr>
      </w:pPr>
      <w:bookmarkStart w:id="3" w:name="Commission"/>
      <w:r w:rsidRPr="00F13A7A">
        <w:rPr>
          <w:vanish/>
        </w:rPr>
        <w:t>Eelarvekomisjon</w:t>
      </w:r>
      <w:bookmarkEnd w:id="3"/>
    </w:p>
    <w:p w14:paraId="2C91E919" w14:textId="77777777" w:rsidR="00475172" w:rsidRPr="00F13A7A" w:rsidRDefault="00475172" w:rsidP="00475172">
      <w:pPr>
        <w:rPr>
          <w:vanish/>
        </w:rPr>
      </w:pPr>
      <w:bookmarkStart w:id="4" w:name="PE"/>
      <w:r w:rsidRPr="00F13A7A">
        <w:rPr>
          <w:vanish/>
        </w:rPr>
        <w:t>PE787.947</w:t>
      </w:r>
      <w:bookmarkEnd w:id="4"/>
    </w:p>
    <w:p w14:paraId="74A8323B" w14:textId="3ECA7F5E" w:rsidR="00475172" w:rsidRPr="00F13A7A" w:rsidRDefault="00475172" w:rsidP="00475172">
      <w:pPr>
        <w:pStyle w:val="ATHeading3"/>
      </w:pPr>
      <w:bookmarkStart w:id="5" w:name="Sujet"/>
      <w:r w:rsidRPr="00F13A7A">
        <w:t xml:space="preserve">Euroopa Parlamendi </w:t>
      </w:r>
      <w:r w:rsidR="00603672" w:rsidRPr="00F13A7A">
        <w:t>7. juuli</w:t>
      </w:r>
      <w:r w:rsidRPr="00F13A7A">
        <w:t xml:space="preserve"> 2026. aasta resolutsioon</w:t>
      </w:r>
      <w:r w:rsidR="00380ACF" w:rsidRPr="00F13A7A">
        <w:t>,</w:t>
      </w:r>
      <w:r w:rsidRPr="00F13A7A">
        <w:t xml:space="preserve"> mis käsitleb nõukogu seisukohta Euroopa Liidu 2026. aasta paranduseelarve projekti nr 1/2026 kohta – 2025. aasta ülejäägi kandmine eelarvesse</w:t>
      </w:r>
      <w:bookmarkEnd w:id="5"/>
      <w:r w:rsidRPr="00F13A7A">
        <w:t xml:space="preserve"> </w:t>
      </w:r>
      <w:bookmarkStart w:id="6" w:name="References"/>
      <w:r w:rsidRPr="00F13A7A">
        <w:t>(09919/2026 – C10-0145/2026 – 2026/0090(BUD))</w:t>
      </w:r>
      <w:bookmarkEnd w:id="6"/>
    </w:p>
    <w:p w14:paraId="64FC50FB" w14:textId="77777777" w:rsidR="009D20B1" w:rsidRPr="00F13A7A" w:rsidRDefault="009D20B1" w:rsidP="009D20B1">
      <w:pPr>
        <w:pStyle w:val="EPComma"/>
      </w:pPr>
      <w:bookmarkStart w:id="7" w:name="TextBodyBegin"/>
      <w:bookmarkEnd w:id="7"/>
      <w:r w:rsidRPr="00F13A7A">
        <w:rPr>
          <w:i/>
        </w:rPr>
        <w:t>Euroopa Parlament,</w:t>
      </w:r>
    </w:p>
    <w:p w14:paraId="3EBB8C31" w14:textId="77777777" w:rsidR="009D20B1" w:rsidRPr="00F13A7A" w:rsidRDefault="009D20B1" w:rsidP="009D20B1">
      <w:pPr>
        <w:pStyle w:val="NormalHanging12a"/>
      </w:pPr>
      <w:r w:rsidRPr="00F13A7A">
        <w:t>–</w:t>
      </w:r>
      <w:r w:rsidRPr="00F13A7A">
        <w:tab/>
        <w:t>võttes arvesse Euroopa Liidu toimimise lepingu artiklit 314,</w:t>
      </w:r>
    </w:p>
    <w:p w14:paraId="3BFE19EE" w14:textId="77777777" w:rsidR="009D20B1" w:rsidRPr="00F13A7A" w:rsidRDefault="009D20B1" w:rsidP="009D20B1">
      <w:pPr>
        <w:pStyle w:val="NormalHanging12a"/>
      </w:pPr>
      <w:r w:rsidRPr="00F13A7A">
        <w:t>–</w:t>
      </w:r>
      <w:r w:rsidRPr="00F13A7A">
        <w:tab/>
        <w:t>võttes arvesse Euroopa Aatomienergiaühenduse asutamislepingu artiklit 106a,</w:t>
      </w:r>
    </w:p>
    <w:p w14:paraId="1E35890B" w14:textId="77777777" w:rsidR="009D20B1" w:rsidRPr="00F13A7A" w:rsidRDefault="009D20B1" w:rsidP="009D20B1">
      <w:pPr>
        <w:pStyle w:val="NormalHanging12a"/>
      </w:pPr>
      <w:r w:rsidRPr="00F13A7A">
        <w:t>–</w:t>
      </w:r>
      <w:r w:rsidRPr="00F13A7A">
        <w:tab/>
        <w:t>võttes arvesse Euroopa Parlamendi ja nõukogu 23. septembri 2024. aasta määrust (EL, Euratom) 2024/2509 (mis käsitleb liidu üldeelarve suhtes kohaldatavaid finantsreegleid)</w:t>
      </w:r>
      <w:r w:rsidRPr="00F13A7A">
        <w:rPr>
          <w:rStyle w:val="FootnoteReference"/>
        </w:rPr>
        <w:footnoteReference w:id="1"/>
      </w:r>
      <w:r w:rsidRPr="00F13A7A">
        <w:t>, eriti selle artiklit 44,</w:t>
      </w:r>
    </w:p>
    <w:p w14:paraId="06D72CB6" w14:textId="2418EBD5" w:rsidR="009D20B1" w:rsidRPr="00F13A7A" w:rsidRDefault="009D20B1" w:rsidP="009D20B1">
      <w:pPr>
        <w:pStyle w:val="NormalHanging12a"/>
      </w:pPr>
      <w:r w:rsidRPr="00F13A7A">
        <w:t>–</w:t>
      </w:r>
      <w:r w:rsidRPr="00F13A7A">
        <w:tab/>
        <w:t>võttes arvesse Euroopa Liidu 2026. aasta üldeelarvet, mis võeti lõplikult vastu 26. novembril 2025. aastal</w:t>
      </w:r>
      <w:r w:rsidRPr="00F13A7A">
        <w:rPr>
          <w:vertAlign w:val="superscript"/>
        </w:rPr>
        <w:footnoteReference w:id="2"/>
      </w:r>
      <w:r w:rsidRPr="00F13A7A">
        <w:t>,</w:t>
      </w:r>
    </w:p>
    <w:p w14:paraId="07DB0110" w14:textId="6B1BFF0D" w:rsidR="009D20B1" w:rsidRPr="00F13A7A" w:rsidRDefault="009D20B1" w:rsidP="009D20B1">
      <w:pPr>
        <w:pStyle w:val="NormalHanging12a"/>
      </w:pPr>
      <w:r w:rsidRPr="00F13A7A">
        <w:t>–</w:t>
      </w:r>
      <w:r w:rsidRPr="00F13A7A">
        <w:tab/>
        <w:t>võttes arvesse nõukogu 17. detsembri 2020. aasta määrust (EL, Euratom) 2020/2093, millega määratakse kindlaks mitmeaastane finantsraamistik aastateks 2021–2027</w:t>
      </w:r>
      <w:r w:rsidRPr="00F13A7A">
        <w:rPr>
          <w:vertAlign w:val="superscript"/>
        </w:rPr>
        <w:footnoteReference w:id="3"/>
      </w:r>
      <w:r w:rsidRPr="00F13A7A">
        <w:t>,</w:t>
      </w:r>
    </w:p>
    <w:p w14:paraId="77C4661A" w14:textId="77777777" w:rsidR="009D20B1" w:rsidRPr="00F13A7A" w:rsidRDefault="009D20B1" w:rsidP="009D20B1">
      <w:pPr>
        <w:pStyle w:val="NormalHanging12a"/>
      </w:pPr>
      <w:r w:rsidRPr="00F13A7A">
        <w:t>–</w:t>
      </w:r>
      <w:r w:rsidRPr="00F13A7A">
        <w:tab/>
        <w:t>võttes arvesse nõukogu määrust (EL, Euratom) 2024/765, millega muudetakse määrust (EL, Euratom) 2020/2093, millega määratakse kindlaks mitmeaastane finantsraamistik aastateks 2021–2027</w:t>
      </w:r>
      <w:r w:rsidRPr="00F13A7A">
        <w:rPr>
          <w:vertAlign w:val="superscript"/>
        </w:rPr>
        <w:footnoteReference w:id="4"/>
      </w:r>
      <w:r w:rsidRPr="00F13A7A">
        <w:t>,</w:t>
      </w:r>
    </w:p>
    <w:p w14:paraId="448DE27D" w14:textId="2B052B3A" w:rsidR="009D20B1" w:rsidRPr="00F13A7A" w:rsidRDefault="009D20B1" w:rsidP="009D20B1">
      <w:pPr>
        <w:pStyle w:val="NormalHanging12a"/>
      </w:pPr>
      <w:r w:rsidRPr="00F13A7A">
        <w:t>–</w:t>
      </w:r>
      <w:r w:rsidRPr="00F13A7A">
        <w:tab/>
        <w:t xml:space="preserve">võttes arvesse 16. detsembri 2020. aasta institutsioonidevahelist kokkulepet Euroopa Parlamendi, </w:t>
      </w:r>
      <w:r w:rsidR="00603672" w:rsidRPr="00F13A7A">
        <w:t>n</w:t>
      </w:r>
      <w:r w:rsidRPr="00F13A7A">
        <w:t xml:space="preserve">õukogu ja </w:t>
      </w:r>
      <w:r w:rsidR="00603672" w:rsidRPr="00F13A7A">
        <w:t>k</w:t>
      </w:r>
      <w:r w:rsidRPr="00F13A7A">
        <w:t xml:space="preserve">omisjoni vahel, mis käsitleb eelarvedistsipliini, eelarvealast koostööd ning usaldusväärset finantsjuhtimist, samuti uusi omavahendeid, sealhulgas </w:t>
      </w:r>
      <w:r w:rsidRPr="00F13A7A">
        <w:lastRenderedPageBreak/>
        <w:t>uute omavahendite kasutuselevõtmise suunas liikumise tegevuskava</w:t>
      </w:r>
      <w:r w:rsidRPr="00F13A7A">
        <w:rPr>
          <w:vertAlign w:val="superscript"/>
        </w:rPr>
        <w:footnoteReference w:id="5"/>
      </w:r>
      <w:r w:rsidRPr="00F13A7A">
        <w:t>,</w:t>
      </w:r>
    </w:p>
    <w:p w14:paraId="1236B6BF" w14:textId="00580BDE" w:rsidR="009D20B1" w:rsidRPr="00F13A7A" w:rsidRDefault="009D20B1" w:rsidP="009D20B1">
      <w:pPr>
        <w:pStyle w:val="NormalHanging12a"/>
      </w:pPr>
      <w:r w:rsidRPr="00F13A7A">
        <w:t>–</w:t>
      </w:r>
      <w:r w:rsidRPr="00F13A7A">
        <w:tab/>
        <w:t>võttes arvesse nõukogu 14. detsembri 2020. aasta otsust (EL, Euratom) 2020/2053, mis käsitleb Euroopa Liidu omavahendite süsteemi ning millega tunnistatakse kehtetuks otsus 2014/335/EL, Euratom</w:t>
      </w:r>
      <w:r w:rsidRPr="00F13A7A">
        <w:rPr>
          <w:vertAlign w:val="superscript"/>
        </w:rPr>
        <w:footnoteReference w:id="6"/>
      </w:r>
      <w:r w:rsidRPr="00F13A7A">
        <w:t>,</w:t>
      </w:r>
    </w:p>
    <w:p w14:paraId="580D6EFD" w14:textId="47899BA9" w:rsidR="009D20B1" w:rsidRPr="00F13A7A" w:rsidRDefault="009D20B1" w:rsidP="009D20B1">
      <w:pPr>
        <w:pStyle w:val="NormalHanging12a"/>
      </w:pPr>
      <w:r w:rsidRPr="00F13A7A">
        <w:t>–</w:t>
      </w:r>
      <w:r w:rsidRPr="00F13A7A">
        <w:tab/>
        <w:t>võttes arvesse Euroopa Parlamendi 28. aprilli 2026. aasta resolutsiooni ettepaneku kohta võtta vastu nõukogu määrus, millega määratakse kindlaks mitmeaastane finantsraamistik aastateks 2028–2034</w:t>
      </w:r>
      <w:r w:rsidRPr="00F13A7A">
        <w:rPr>
          <w:rStyle w:val="FootnoteReference"/>
        </w:rPr>
        <w:footnoteReference w:id="7"/>
      </w:r>
      <w:r w:rsidR="00C90F8A" w:rsidRPr="00F13A7A">
        <w:t>,</w:t>
      </w:r>
    </w:p>
    <w:p w14:paraId="1667C331" w14:textId="0525823B" w:rsidR="009D20B1" w:rsidRPr="00F13A7A" w:rsidRDefault="009D20B1" w:rsidP="009D20B1">
      <w:pPr>
        <w:pStyle w:val="NormalHanging12a"/>
      </w:pPr>
      <w:bookmarkStart w:id="8" w:name="_Hlk229564682"/>
      <w:r w:rsidRPr="00F13A7A">
        <w:t>–</w:t>
      </w:r>
      <w:r w:rsidRPr="00F13A7A">
        <w:tab/>
        <w:t>võttes arvesse paranduseelarve projekti nr 1/2026, mille komisjon võttis vastu 10. aprillil 2026 (COM(2025)0450),</w:t>
      </w:r>
      <w:bookmarkEnd w:id="8"/>
    </w:p>
    <w:p w14:paraId="25B7FC21" w14:textId="3D44A49B" w:rsidR="009D20B1" w:rsidRPr="00F13A7A" w:rsidRDefault="009D20B1" w:rsidP="009D20B1">
      <w:pPr>
        <w:pStyle w:val="NormalHanging12a"/>
      </w:pPr>
      <w:r w:rsidRPr="00F13A7A">
        <w:t>–</w:t>
      </w:r>
      <w:r w:rsidRPr="00F13A7A">
        <w:tab/>
        <w:t xml:space="preserve">võttes arvesse </w:t>
      </w:r>
      <w:r w:rsidR="00380ACF" w:rsidRPr="00F13A7A">
        <w:t xml:space="preserve">seisukohta </w:t>
      </w:r>
      <w:r w:rsidRPr="00F13A7A">
        <w:t>paranduseelarve projekti nr 1/2026</w:t>
      </w:r>
      <w:r w:rsidR="00380ACF" w:rsidRPr="00F13A7A">
        <w:t xml:space="preserve"> kohta</w:t>
      </w:r>
      <w:r w:rsidRPr="00F13A7A">
        <w:t>, mille nõukogu võttis vastu 16. juunil 2026 ja edastas Euroopa Parlamendile 18. juunil 202</w:t>
      </w:r>
      <w:r w:rsidR="00380ACF" w:rsidRPr="00F13A7A">
        <w:t>6</w:t>
      </w:r>
      <w:r w:rsidRPr="00F13A7A">
        <w:t xml:space="preserve"> (09919/2015),</w:t>
      </w:r>
    </w:p>
    <w:p w14:paraId="1E5042DA" w14:textId="77777777" w:rsidR="009D20B1" w:rsidRPr="00F13A7A" w:rsidRDefault="009D20B1" w:rsidP="009D20B1">
      <w:pPr>
        <w:pStyle w:val="NormalHanging12a"/>
      </w:pPr>
      <w:r w:rsidRPr="00F13A7A">
        <w:t>–</w:t>
      </w:r>
      <w:r w:rsidRPr="00F13A7A">
        <w:tab/>
        <w:t>võttes arvesse kodukorra artikleid 96 ja 98,</w:t>
      </w:r>
    </w:p>
    <w:p w14:paraId="082155E7" w14:textId="77777777" w:rsidR="009D20B1" w:rsidRPr="00F13A7A" w:rsidRDefault="009D20B1" w:rsidP="009D20B1">
      <w:pPr>
        <w:pStyle w:val="NormalHanging12a"/>
      </w:pPr>
      <w:r w:rsidRPr="00F13A7A">
        <w:t>–</w:t>
      </w:r>
      <w:r w:rsidRPr="00F13A7A">
        <w:tab/>
        <w:t>võttes arvesse eelarvekomisjoni raportit (A10‑0180/2026),</w:t>
      </w:r>
    </w:p>
    <w:p w14:paraId="01E934F2" w14:textId="77777777" w:rsidR="009D20B1" w:rsidRPr="00F13A7A" w:rsidRDefault="009D20B1" w:rsidP="009D20B1">
      <w:pPr>
        <w:pStyle w:val="NormalHanging12a"/>
      </w:pPr>
      <w:r w:rsidRPr="00F13A7A">
        <w:t>A.</w:t>
      </w:r>
      <w:r w:rsidRPr="00F13A7A">
        <w:tab/>
        <w:t>arvestades, et paranduseelarve projekti nr 1/2026 eesmärk on kanda 2026. aasta eelarvesse 2025. aasta eelarve täitmisest tulenev ülejääk, mille suurus on 2 095 miljonit eurot;</w:t>
      </w:r>
    </w:p>
    <w:p w14:paraId="6AA0D9F7" w14:textId="77777777" w:rsidR="009D20B1" w:rsidRPr="00F13A7A" w:rsidRDefault="009D20B1" w:rsidP="009D20B1">
      <w:pPr>
        <w:pStyle w:val="NormalHanging12a"/>
      </w:pPr>
      <w:r w:rsidRPr="00F13A7A">
        <w:t>B.</w:t>
      </w:r>
      <w:r w:rsidRPr="00F13A7A">
        <w:tab/>
        <w:t>arvestades, et selle ülejäägi põhielemendid on tulude positiivne saldo (1 994 miljonit eurot) ja kavandatust väiksemad kulud (101 miljonit eurot);</w:t>
      </w:r>
    </w:p>
    <w:p w14:paraId="37D6BF76" w14:textId="0D6BA0F5" w:rsidR="009D20B1" w:rsidRPr="00F13A7A" w:rsidRDefault="009D20B1" w:rsidP="009D20B1">
      <w:pPr>
        <w:pStyle w:val="NormalHanging12a"/>
      </w:pPr>
      <w:r w:rsidRPr="00F13A7A">
        <w:t>C.</w:t>
      </w:r>
      <w:r w:rsidRPr="00F13A7A">
        <w:tab/>
        <w:t xml:space="preserve">arvestades, et tulude poolel tuleneb ülejääk peamiselt </w:t>
      </w:r>
      <w:bookmarkStart w:id="9" w:name="_Hlk233197369"/>
      <w:r w:rsidRPr="00F13A7A">
        <w:t>oodatust suuremast tollimaksude laekumisest (860 miljonit eurot)</w:t>
      </w:r>
      <w:bookmarkEnd w:id="9"/>
      <w:r w:rsidRPr="00F13A7A">
        <w:t>; arvestades, et teine peamine ülejäägi allikas on finantstulud, viivised ja trahvid 840 miljoni euro suuruses summas;</w:t>
      </w:r>
    </w:p>
    <w:p w14:paraId="447BDD78" w14:textId="750A97E4" w:rsidR="009D20B1" w:rsidRPr="00F13A7A" w:rsidRDefault="009D20B1" w:rsidP="009D20B1">
      <w:pPr>
        <w:pStyle w:val="NormalHanging12a"/>
      </w:pPr>
      <w:r w:rsidRPr="00F13A7A">
        <w:t>D.</w:t>
      </w:r>
      <w:r w:rsidRPr="00F13A7A">
        <w:tab/>
        <w:t>arvestades, et kulude poolel toimus kõigis institutsioonides maksete assigneeringute alakasutamine, sealhulgas tühistati ülekantud assigneeringu</w:t>
      </w:r>
      <w:r w:rsidR="00AE320C" w:rsidRPr="00F13A7A">
        <w:t>i</w:t>
      </w:r>
      <w:r w:rsidRPr="00F13A7A">
        <w:t>d kokku 111 miljoni euro suuruses summas (mis moodustab heakskiidetud maksete assigneeringutest 0,04 %);</w:t>
      </w:r>
    </w:p>
    <w:p w14:paraId="5EEC28FF" w14:textId="77777777" w:rsidR="009D20B1" w:rsidRPr="00F13A7A" w:rsidRDefault="009D20B1" w:rsidP="009D20B1">
      <w:pPr>
        <w:pStyle w:val="NormalHanging12a"/>
      </w:pPr>
      <w:r w:rsidRPr="00F13A7A">
        <w:t>1.</w:t>
      </w:r>
      <w:r w:rsidRPr="00F13A7A">
        <w:tab/>
        <w:t>võtab teadmiseks komisjoni esitatud paranduseelarve projekti nr 1/2026, mis on mõeldud 2025. aasta ülejäägi eelarvesse kandmiseks 2 095 miljoni euro suuruses summas vastavalt finantsmääruse artikli 18 lõikele 3;</w:t>
      </w:r>
      <w:sdt>
        <w:sdtPr>
          <w:tag w:val="goog_rdk_0"/>
          <w:id w:val="1937094721"/>
        </w:sdtPr>
        <w:sdtEndPr/>
        <w:sdtContent/>
      </w:sdt>
    </w:p>
    <w:p w14:paraId="24EDA7C3" w14:textId="2F9BC10E" w:rsidR="009D20B1" w:rsidRPr="00F13A7A" w:rsidRDefault="009D20B1" w:rsidP="009D20B1">
      <w:pPr>
        <w:pStyle w:val="NormalHanging12a"/>
      </w:pPr>
      <w:r w:rsidRPr="00F13A7A">
        <w:t>2.</w:t>
      </w:r>
      <w:r w:rsidRPr="00F13A7A">
        <w:tab/>
        <w:t>väljendab heameelt asjaolu üle, et 2025. aasta ülejääk tuleneb peamiselt jaotiste 1 (omavahendid, eelkõige tollimaksud) ja 4 (finantstulu, viivised ja trahvid) erinevuste suurenemisest, samas kui kulude ülejääk on endiselt väga tagasihoidlik – 101 miljonit eurot;</w:t>
      </w:r>
    </w:p>
    <w:p w14:paraId="4C49B79C" w14:textId="0549F16F" w:rsidR="009D20B1" w:rsidRPr="00F13A7A" w:rsidRDefault="009D20B1" w:rsidP="009D20B1">
      <w:pPr>
        <w:pStyle w:val="NormalHanging12a"/>
      </w:pPr>
      <w:r w:rsidRPr="00F13A7A">
        <w:t>3.</w:t>
      </w:r>
      <w:r w:rsidRPr="00F13A7A">
        <w:tab/>
        <w:t xml:space="preserve">peab kahetsusväärseks, et ülejäägi kandmine eelarvesse vähendab proportsionaalselt liikmesriikide kogurahvatulul põhinevate omavahendite osamakseid 2026. aasta eelarve </w:t>
      </w:r>
      <w:r w:rsidRPr="00F13A7A">
        <w:lastRenderedPageBreak/>
        <w:t>rahastamises; rõhutab, et ajal, mil rahastamisvajadused on endiselt suured, eelkõige seoses taasterahastu võla teenindamise kuludega, ja manööverdamisruum liidu eelarve raames on endiselt äärmiselt piiratud, tuleks kehtiva mitmeaastase finantsraamistiku viimastel aastatel säilitada eelarves piisav paindlikkus, mis võimaldab liidul tulla toime ettenägematute sündmustega; rõhutab, et liidu eelarve paindlikkus on üks peamisi küsimusi, mida käsitleda 2028.–2034. aasta mitmeaastase finantsraamistiku üle peetavatel läbirääkimistel;</w:t>
      </w:r>
    </w:p>
    <w:p w14:paraId="4315B85C" w14:textId="77777777" w:rsidR="009D20B1" w:rsidRPr="00F13A7A" w:rsidRDefault="009D20B1" w:rsidP="009D20B1">
      <w:pPr>
        <w:pStyle w:val="NormalHanging12a"/>
      </w:pPr>
      <w:r w:rsidRPr="00F13A7A">
        <w:t>4.</w:t>
      </w:r>
      <w:r w:rsidRPr="00F13A7A">
        <w:tab/>
        <w:t>tuletab meelde oma pikaajalist seisukohta, et trahvidest ja tasudest või nendega samaväärsetest summadest laekuvat erakorralist tulu tuleks liidu eelarves kasutada lisatuluna ja see ei tohiks tuua kaasa kogurahvatulul põhinevate osamaksete samaväärset vähendamist;</w:t>
      </w:r>
    </w:p>
    <w:p w14:paraId="334E6F59" w14:textId="609D4E78" w:rsidR="009D20B1" w:rsidRPr="00F13A7A" w:rsidRDefault="009D20B1" w:rsidP="009D20B1">
      <w:pPr>
        <w:pStyle w:val="NormalHanging12a"/>
      </w:pPr>
      <w:r w:rsidRPr="00F13A7A">
        <w:t>5.</w:t>
      </w:r>
      <w:r w:rsidRPr="00F13A7A">
        <w:tab/>
        <w:t xml:space="preserve">võtab teadmiseks viie toetatava liikmesriigi kogurahvatulul põhinevate </w:t>
      </w:r>
      <w:r w:rsidR="000F3128" w:rsidRPr="00F13A7A">
        <w:t xml:space="preserve">iga-aastaste </w:t>
      </w:r>
      <w:r w:rsidRPr="00F13A7A">
        <w:t xml:space="preserve">maksete kindlasummalise vähendamise </w:t>
      </w:r>
      <w:r w:rsidR="000F3128" w:rsidRPr="00F13A7A">
        <w:t xml:space="preserve">mis on </w:t>
      </w:r>
      <w:r w:rsidRPr="00F13A7A">
        <w:t>netosumma</w:t>
      </w:r>
      <w:r w:rsidR="000F3128" w:rsidRPr="00F13A7A">
        <w:t>s</w:t>
      </w:r>
      <w:r w:rsidRPr="00F13A7A">
        <w:t xml:space="preserve"> ligikaudu 5,8 miljardit eurot; rõhutab asjaolu, et need korrektsioonid on inflatsiooniga seotud ja seetõttu suurenenud rohkem kui mitmeaastase finantsraamistiku ülemmäärad, mida kohandatakse igal aastal deflaatori (2 %) alusel; rõhutab, et see kõrvalekalle suurendab teiste liikmesriikide koormust;</w:t>
      </w:r>
    </w:p>
    <w:p w14:paraId="63127F93" w14:textId="77777777" w:rsidR="009D20B1" w:rsidRPr="00F13A7A" w:rsidRDefault="009D20B1" w:rsidP="009D20B1">
      <w:pPr>
        <w:pStyle w:val="NormalHanging12a"/>
      </w:pPr>
      <w:r w:rsidRPr="00F13A7A">
        <w:t>6.</w:t>
      </w:r>
      <w:r w:rsidRPr="00F13A7A">
        <w:tab/>
        <w:t>võtab teadmiseks artiklis 425 sisalduva negatiivse tuluartikli summas 54 miljonit eurot ning väljendab heameelt meetodi üle, mille kohaselt kantakse eelarvesse kulud, mis tulenevad kokkuleppemenetluse tulemusel tehtud maksetest ning sisaldavad tasandusintressi ja viiviste hüvitamist seoses tühistatud või vähendatud konkurentsitrahvide tagasimaksmisega vastavalt Euroopa Kohtu asjakohastele otsustele; tuletab meelde, et finantsmääruse uuesti sõnastamise üle peetud 2024. aasta läbirääkimistel nõudis parlament selle lähenemisviisi kohaldamist, et hoida ära uute kuluassigneeringute lisamine juba niigi ülekoormatud rubriigis 7; tuletab meelde, et seda lahendust ei saa kasutada pärast 31. detsembrit 2027; kutsub komisjoni üles esitama järgmise mitmeaastase finantsraamistiku jaoks lõpliku lahenduse, millega saavutatakse sama eesmärk – hoida ära eelarve kulude poolele tekkiv mõju;</w:t>
      </w:r>
    </w:p>
    <w:p w14:paraId="57B506DD" w14:textId="3937F0CC" w:rsidR="009D20B1" w:rsidRPr="00F13A7A" w:rsidRDefault="009D20B1" w:rsidP="009D20B1">
      <w:pPr>
        <w:pStyle w:val="NormalHanging12a"/>
      </w:pPr>
      <w:r w:rsidRPr="00F13A7A">
        <w:t>7.</w:t>
      </w:r>
      <w:r w:rsidRPr="00F13A7A">
        <w:tab/>
        <w:t>kordab oma pikaajalist üleskutset, et E</w:t>
      </w:r>
      <w:r w:rsidR="00C90F8A" w:rsidRPr="00F13A7A">
        <w:t>uroopa Liidu</w:t>
      </w:r>
      <w:r w:rsidRPr="00F13A7A">
        <w:t xml:space="preserve"> toimimise lepingu artikli 310 kohaselt on ELi eelarve jaoks tingimata vaja kestlikku, prognoositavat ja vastupidavat tulu, mis peaks olema vastavuses kulude ja strateegiliste prioriteetide ning liidu kindlakstehtud rahastamisvajadustega; kinnitab </w:t>
      </w:r>
      <w:r w:rsidR="00603672" w:rsidRPr="00F13A7A">
        <w:t>oma</w:t>
      </w:r>
      <w:r w:rsidRPr="00F13A7A">
        <w:t xml:space="preserve"> pikaajalist kohustust võtta kasutusele uued omavahendid mitte ainult NGEU võla tagasimaksmiseks, vaid ka liidu suuremate poliitiliste ambitsioonide rahastamiseks; tuletab meelde, et ilma uute tõeliste omavahenditeta langeb finantskoormus suuremate kogurahvatulul põhinevate osamaksete kaudu paratamatult liikmesriikidele; on seetõttu seisukohal, et uute tõeliste tuluvoogude kasutuselevõtmine vähemalt 60 miljardi euro suuruses summas aastas on oluline tingimus ambitsioonika mitmeaastase finantsraamistiku jaoks aastateks 2028–2034;</w:t>
      </w:r>
    </w:p>
    <w:p w14:paraId="56D52BAB" w14:textId="77777777" w:rsidR="009D20B1" w:rsidRPr="00F13A7A" w:rsidRDefault="009D20B1" w:rsidP="009D20B1">
      <w:pPr>
        <w:pStyle w:val="NormalHanging12a"/>
      </w:pPr>
      <w:r w:rsidRPr="00F13A7A">
        <w:t>8.</w:t>
      </w:r>
      <w:r w:rsidRPr="00F13A7A">
        <w:tab/>
        <w:t>kiidab nõukogu seisukoha paranduseelarve projekti nr 1/2026 kohta heaks;</w:t>
      </w:r>
    </w:p>
    <w:p w14:paraId="4AF921BA" w14:textId="77777777" w:rsidR="009D20B1" w:rsidRPr="00F13A7A" w:rsidRDefault="009D20B1" w:rsidP="009D20B1">
      <w:pPr>
        <w:pStyle w:val="NormalHanging12a"/>
      </w:pPr>
      <w:r w:rsidRPr="00F13A7A">
        <w:t>9.</w:t>
      </w:r>
      <w:r w:rsidRPr="00F13A7A">
        <w:tab/>
        <w:t xml:space="preserve">teeb presidendile ülesandeks kuulutada paranduseelarve nr 1/2026 lõplikult vastuvõetuks ja korraldada selle avaldamine </w:t>
      </w:r>
      <w:r w:rsidRPr="00F13A7A">
        <w:rPr>
          <w:i/>
        </w:rPr>
        <w:t>Euroopa Liidu Teatajas</w:t>
      </w:r>
      <w:r w:rsidRPr="00F13A7A">
        <w:t>;</w:t>
      </w:r>
    </w:p>
    <w:p w14:paraId="24DFB165" w14:textId="4F4B1DDC" w:rsidR="00E365E1" w:rsidRPr="00F13A7A" w:rsidRDefault="009D20B1" w:rsidP="00F13A7A">
      <w:pPr>
        <w:pStyle w:val="NormalHanging12a"/>
      </w:pPr>
      <w:r w:rsidRPr="00F13A7A">
        <w:t>10.</w:t>
      </w:r>
      <w:r w:rsidRPr="00F13A7A">
        <w:tab/>
        <w:t>teeb presidendile ülesandeks edastada käesolev resolutsioon nõukogule, komisjonile, teistele asjaomastele institutsioonidele ja asutustele ning liikmesriikide parlamentidele.</w:t>
      </w:r>
    </w:p>
    <w:sectPr w:rsidR="00E365E1" w:rsidRPr="00F13A7A" w:rsidSect="00AD1F5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2A2C9" w14:textId="77777777" w:rsidR="00475172" w:rsidRPr="00AD1F53" w:rsidRDefault="00475172">
      <w:r w:rsidRPr="00AD1F53">
        <w:separator/>
      </w:r>
    </w:p>
  </w:endnote>
  <w:endnote w:type="continuationSeparator" w:id="0">
    <w:p w14:paraId="2B212629" w14:textId="77777777" w:rsidR="00475172" w:rsidRPr="00AD1F53" w:rsidRDefault="00475172">
      <w:r w:rsidRPr="00AD1F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94085" w14:textId="77777777" w:rsidR="00064002" w:rsidRPr="00AD1F5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59C36" w14:textId="77777777" w:rsidR="00064002" w:rsidRPr="00AD1F5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7C7EF" w14:textId="77777777" w:rsidR="00064002" w:rsidRPr="00AD1F5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013C2" w14:textId="77777777" w:rsidR="00475172" w:rsidRPr="00AD1F53" w:rsidRDefault="00475172">
      <w:r w:rsidRPr="00AD1F53">
        <w:separator/>
      </w:r>
    </w:p>
  </w:footnote>
  <w:footnote w:type="continuationSeparator" w:id="0">
    <w:p w14:paraId="281EBE21" w14:textId="77777777" w:rsidR="00475172" w:rsidRPr="00AD1F53" w:rsidRDefault="00475172">
      <w:r w:rsidRPr="00AD1F53">
        <w:continuationSeparator/>
      </w:r>
    </w:p>
  </w:footnote>
  <w:footnote w:id="1">
    <w:p w14:paraId="6E8F293A" w14:textId="321DA22B" w:rsidR="009D20B1" w:rsidRPr="00AD1F53" w:rsidRDefault="009D20B1" w:rsidP="00AD1F53">
      <w:pPr>
        <w:pStyle w:val="FootnoteText"/>
        <w:ind w:left="567" w:hanging="567"/>
        <w:rPr>
          <w:sz w:val="24"/>
          <w:lang w:val="et-EE"/>
        </w:rPr>
      </w:pPr>
      <w:r w:rsidRPr="00AD1F53">
        <w:rPr>
          <w:rStyle w:val="FootnoteReference"/>
          <w:sz w:val="24"/>
          <w:lang w:val="et-EE"/>
        </w:rPr>
        <w:footnoteRef/>
      </w:r>
      <w:r w:rsidR="00AD1F53" w:rsidRPr="00AD1F53">
        <w:rPr>
          <w:sz w:val="24"/>
          <w:lang w:val="et-EE"/>
        </w:rPr>
        <w:tab/>
      </w:r>
      <w:r w:rsidRPr="00AD1F53">
        <w:rPr>
          <w:sz w:val="24"/>
          <w:lang w:val="et-EE"/>
        </w:rPr>
        <w:t xml:space="preserve">ELT L, 2024/2509, 26.9.2024, ELI: </w:t>
      </w:r>
      <w:hyperlink r:id="rId1" w:tooltip="http://data.europa.eu/eli/reg/2024/2509/oj" w:history="1">
        <w:r w:rsidRPr="00AD1F53">
          <w:rPr>
            <w:rStyle w:val="Hyperlink"/>
            <w:sz w:val="24"/>
            <w:lang w:val="et-EE"/>
          </w:rPr>
          <w:t>http://data.europa.eu/eli/reg/2024/2509/oj</w:t>
        </w:r>
      </w:hyperlink>
      <w:r w:rsidRPr="00AD1F53">
        <w:rPr>
          <w:sz w:val="24"/>
          <w:lang w:val="et-EE"/>
        </w:rPr>
        <w:t>.</w:t>
      </w:r>
    </w:p>
  </w:footnote>
  <w:footnote w:id="2">
    <w:p w14:paraId="052D9022" w14:textId="35E32037" w:rsidR="009D20B1" w:rsidRPr="00AD1F53" w:rsidRDefault="009D20B1" w:rsidP="00AD1F53">
      <w:pPr>
        <w:pStyle w:val="FootnoteText"/>
        <w:ind w:left="567" w:hanging="567"/>
        <w:rPr>
          <w:sz w:val="24"/>
          <w:lang w:val="et-EE"/>
        </w:rPr>
      </w:pPr>
      <w:r w:rsidRPr="00AD1F53">
        <w:rPr>
          <w:rStyle w:val="FootnoteReference"/>
          <w:sz w:val="24"/>
          <w:lang w:val="et-EE"/>
        </w:rPr>
        <w:footnoteRef/>
      </w:r>
      <w:r w:rsidR="00AD1F53" w:rsidRPr="00AD1F53">
        <w:rPr>
          <w:sz w:val="24"/>
          <w:lang w:val="et-EE"/>
        </w:rPr>
        <w:tab/>
      </w:r>
      <w:r w:rsidRPr="00AD1F53">
        <w:rPr>
          <w:sz w:val="24"/>
          <w:lang w:val="et-EE"/>
        </w:rPr>
        <w:t xml:space="preserve">ELT L, 2026/72, 26.2.2026, ELI: </w:t>
      </w:r>
      <w:hyperlink r:id="rId2" w:history="1">
        <w:r w:rsidRPr="00AD1F53">
          <w:rPr>
            <w:rStyle w:val="Hyperlink"/>
            <w:sz w:val="24"/>
            <w:lang w:val="et-EE"/>
          </w:rPr>
          <w:t>http://data.europa.eu/eli/budget/2026/72/oj</w:t>
        </w:r>
      </w:hyperlink>
      <w:r w:rsidRPr="00AD1F53">
        <w:rPr>
          <w:sz w:val="24"/>
          <w:lang w:val="et-EE"/>
        </w:rPr>
        <w:t>.</w:t>
      </w:r>
    </w:p>
  </w:footnote>
  <w:footnote w:id="3">
    <w:p w14:paraId="3FFF17C8" w14:textId="6557BA97" w:rsidR="009D20B1" w:rsidRPr="00AD1F53" w:rsidRDefault="009D20B1" w:rsidP="00AD1F53">
      <w:pPr>
        <w:pStyle w:val="FootnoteText"/>
        <w:ind w:left="567" w:hanging="567"/>
        <w:rPr>
          <w:sz w:val="24"/>
          <w:lang w:val="et-EE"/>
        </w:rPr>
      </w:pPr>
      <w:r w:rsidRPr="00AD1F53">
        <w:rPr>
          <w:rStyle w:val="FootnoteReference"/>
          <w:sz w:val="24"/>
          <w:lang w:val="et-EE"/>
        </w:rPr>
        <w:footnoteRef/>
      </w:r>
      <w:r w:rsidR="00AD1F53" w:rsidRPr="00AD1F53">
        <w:rPr>
          <w:sz w:val="24"/>
          <w:lang w:val="et-EE"/>
        </w:rPr>
        <w:tab/>
      </w:r>
      <w:r w:rsidRPr="00AD1F53">
        <w:rPr>
          <w:sz w:val="24"/>
          <w:lang w:val="et-EE"/>
        </w:rPr>
        <w:t xml:space="preserve">ELT L 433 I, 22.12.2020, lk 11, ELI: </w:t>
      </w:r>
      <w:hyperlink r:id="rId3" w:history="1">
        <w:r w:rsidRPr="00AD1F53">
          <w:rPr>
            <w:rStyle w:val="Hyperlink"/>
            <w:sz w:val="24"/>
            <w:lang w:val="et-EE"/>
          </w:rPr>
          <w:t>http://data.europa.eu/eli/reg/2020/2093/oj</w:t>
        </w:r>
      </w:hyperlink>
      <w:r w:rsidRPr="00AD1F53">
        <w:rPr>
          <w:sz w:val="24"/>
          <w:lang w:val="et-EE"/>
        </w:rPr>
        <w:t>.</w:t>
      </w:r>
    </w:p>
  </w:footnote>
  <w:footnote w:id="4">
    <w:p w14:paraId="38402CAC" w14:textId="3C030184" w:rsidR="009D20B1" w:rsidRPr="00AD1F53" w:rsidRDefault="009D20B1" w:rsidP="00AD1F53">
      <w:pPr>
        <w:pStyle w:val="FootnoteText"/>
        <w:ind w:left="567" w:hanging="567"/>
        <w:rPr>
          <w:sz w:val="24"/>
          <w:lang w:val="et-EE"/>
        </w:rPr>
      </w:pPr>
      <w:r w:rsidRPr="00AD1F53">
        <w:rPr>
          <w:rStyle w:val="FootnoteReference"/>
          <w:sz w:val="24"/>
          <w:lang w:val="et-EE"/>
        </w:rPr>
        <w:footnoteRef/>
      </w:r>
      <w:r w:rsidR="00AD1F53" w:rsidRPr="00AD1F53">
        <w:rPr>
          <w:sz w:val="24"/>
          <w:lang w:val="et-EE"/>
        </w:rPr>
        <w:tab/>
      </w:r>
      <w:r w:rsidR="007B72D9">
        <w:rPr>
          <w:sz w:val="24"/>
          <w:lang w:val="et-EE"/>
        </w:rPr>
        <w:t>ELT</w:t>
      </w:r>
      <w:r w:rsidRPr="00AD1F53">
        <w:rPr>
          <w:sz w:val="24"/>
          <w:lang w:val="et-EE"/>
        </w:rPr>
        <w:t xml:space="preserve"> L, 2024/765, 29.2.2024, ELI: </w:t>
      </w:r>
      <w:r>
        <w:fldChar w:fldCharType="begin"/>
      </w:r>
      <w:r w:rsidRPr="007B72D9">
        <w:rPr>
          <w:lang w:val="fi-FI"/>
        </w:rPr>
        <w:instrText>HYPERLINK "http://data.europa.eu/eli/reg/2024/765/oj"</w:instrText>
      </w:r>
      <w:r>
        <w:fldChar w:fldCharType="separate"/>
      </w:r>
      <w:r w:rsidRPr="00AD1F53">
        <w:rPr>
          <w:rStyle w:val="Hyperlink"/>
          <w:sz w:val="24"/>
          <w:lang w:val="et-EE"/>
        </w:rPr>
        <w:t>http://data.europa.eu/eli/reg/2024/765/oj</w:t>
      </w:r>
      <w:r>
        <w:fldChar w:fldCharType="end"/>
      </w:r>
      <w:r w:rsidRPr="00AD1F53">
        <w:rPr>
          <w:sz w:val="24"/>
          <w:lang w:val="et-EE"/>
        </w:rPr>
        <w:t>.</w:t>
      </w:r>
    </w:p>
  </w:footnote>
  <w:footnote w:id="5">
    <w:p w14:paraId="10FE943C" w14:textId="306BBF8A" w:rsidR="009D20B1" w:rsidRPr="00AD1F53" w:rsidRDefault="009D20B1" w:rsidP="00AD1F53">
      <w:pPr>
        <w:pStyle w:val="FootnoteText"/>
        <w:ind w:left="567" w:hanging="567"/>
        <w:rPr>
          <w:sz w:val="24"/>
          <w:lang w:val="et-EE"/>
        </w:rPr>
      </w:pPr>
      <w:r w:rsidRPr="00AD1F53">
        <w:rPr>
          <w:rStyle w:val="FootnoteReference"/>
          <w:sz w:val="24"/>
          <w:lang w:val="et-EE"/>
        </w:rPr>
        <w:footnoteRef/>
      </w:r>
      <w:r w:rsidR="00AD1F53" w:rsidRPr="00AD1F53">
        <w:rPr>
          <w:sz w:val="24"/>
          <w:lang w:val="et-EE"/>
        </w:rPr>
        <w:tab/>
      </w:r>
      <w:r w:rsidRPr="00AD1F53">
        <w:rPr>
          <w:sz w:val="24"/>
          <w:lang w:val="et-EE"/>
        </w:rPr>
        <w:t xml:space="preserve">ELT L 433 I, 22.12.2020, </w:t>
      </w:r>
      <w:r w:rsidR="00603672">
        <w:rPr>
          <w:sz w:val="24"/>
          <w:lang w:val="et-EE"/>
        </w:rPr>
        <w:t>lk</w:t>
      </w:r>
      <w:r w:rsidRPr="00AD1F53">
        <w:rPr>
          <w:sz w:val="24"/>
          <w:lang w:val="et-EE"/>
        </w:rPr>
        <w:t xml:space="preserve"> 28, ELI:</w:t>
      </w:r>
      <w:r w:rsidR="00603672">
        <w:rPr>
          <w:sz w:val="24"/>
          <w:lang w:val="et-EE"/>
        </w:rPr>
        <w:t> </w:t>
      </w:r>
      <w:hyperlink r:id="rId4" w:history="1">
        <w:r w:rsidR="00603672" w:rsidRPr="00603672">
          <w:rPr>
            <w:rStyle w:val="Hyperlink"/>
            <w:sz w:val="24"/>
            <w:lang w:val="et-EE"/>
          </w:rPr>
          <w:t>http://data.europa.eu/eli/agree_interinstit/2020/1222/oj</w:t>
        </w:r>
      </w:hyperlink>
      <w:r w:rsidR="00603672">
        <w:rPr>
          <w:sz w:val="24"/>
          <w:lang w:val="et-EE"/>
        </w:rPr>
        <w:t>.</w:t>
      </w:r>
    </w:p>
  </w:footnote>
  <w:footnote w:id="6">
    <w:p w14:paraId="11897BCB" w14:textId="2D61BC87" w:rsidR="009D20B1" w:rsidRPr="00AD1F53" w:rsidRDefault="009D20B1" w:rsidP="00AD1F53">
      <w:pPr>
        <w:pStyle w:val="FootnoteText"/>
        <w:ind w:left="567" w:hanging="567"/>
        <w:rPr>
          <w:sz w:val="24"/>
          <w:lang w:val="et-EE"/>
        </w:rPr>
      </w:pPr>
      <w:r w:rsidRPr="00AD1F53">
        <w:rPr>
          <w:rStyle w:val="FootnoteReference"/>
          <w:sz w:val="24"/>
          <w:lang w:val="et-EE"/>
        </w:rPr>
        <w:footnoteRef/>
      </w:r>
      <w:r w:rsidR="00AD1F53" w:rsidRPr="00AD1F53">
        <w:rPr>
          <w:sz w:val="24"/>
          <w:lang w:val="et-EE"/>
        </w:rPr>
        <w:tab/>
      </w:r>
      <w:r w:rsidRPr="00AD1F53">
        <w:rPr>
          <w:sz w:val="24"/>
          <w:lang w:val="et-EE"/>
        </w:rPr>
        <w:t xml:space="preserve">ELT L 424, 15.12.2020, </w:t>
      </w:r>
      <w:r w:rsidR="00603672">
        <w:rPr>
          <w:sz w:val="24"/>
          <w:lang w:val="et-EE"/>
        </w:rPr>
        <w:t>lk</w:t>
      </w:r>
      <w:r w:rsidRPr="00AD1F53">
        <w:rPr>
          <w:sz w:val="24"/>
          <w:lang w:val="et-EE"/>
        </w:rPr>
        <w:t xml:space="preserve"> 1, ELI:</w:t>
      </w:r>
      <w:r w:rsidR="00603672">
        <w:rPr>
          <w:sz w:val="24"/>
          <w:lang w:val="et-EE"/>
        </w:rPr>
        <w:t> </w:t>
      </w:r>
      <w:hyperlink r:id="rId5" w:history="1">
        <w:r w:rsidR="00603672" w:rsidRPr="00603672">
          <w:rPr>
            <w:rStyle w:val="Hyperlink"/>
            <w:sz w:val="24"/>
            <w:lang w:val="et-EE"/>
          </w:rPr>
          <w:t>http://data.europa.eu/eli/dec/2020/2053/oj</w:t>
        </w:r>
      </w:hyperlink>
      <w:r w:rsidRPr="00AD1F53">
        <w:rPr>
          <w:sz w:val="24"/>
          <w:lang w:val="et-EE"/>
        </w:rPr>
        <w:t>.</w:t>
      </w:r>
    </w:p>
  </w:footnote>
  <w:footnote w:id="7">
    <w:p w14:paraId="625EE4D9" w14:textId="64C4EF3E" w:rsidR="009D20B1" w:rsidRPr="00AD1F53" w:rsidRDefault="009D20B1" w:rsidP="00AD1F53">
      <w:pPr>
        <w:pStyle w:val="FootnoteText"/>
        <w:ind w:left="567" w:hanging="567"/>
        <w:rPr>
          <w:sz w:val="24"/>
          <w:lang w:val="et-EE"/>
        </w:rPr>
      </w:pPr>
      <w:r w:rsidRPr="00AD1F53">
        <w:rPr>
          <w:rStyle w:val="FootnoteReference"/>
          <w:sz w:val="24"/>
          <w:lang w:val="et-EE"/>
        </w:rPr>
        <w:footnoteRef/>
      </w:r>
      <w:r w:rsidR="00AD1F53" w:rsidRPr="00AD1F53">
        <w:rPr>
          <w:sz w:val="24"/>
          <w:lang w:val="et-EE"/>
        </w:rPr>
        <w:tab/>
      </w:r>
      <w:r w:rsidRPr="00AD1F53">
        <w:rPr>
          <w:sz w:val="24"/>
          <w:lang w:val="et-EE"/>
        </w:rPr>
        <w:t xml:space="preserve">Vastuvõetud tekstid, </w:t>
      </w:r>
      <w:r w:rsidRPr="007B72D9">
        <w:rPr>
          <w:sz w:val="24"/>
          <w:lang w:val="et-EE"/>
        </w:rPr>
        <w:t>P10_TA(2026)0111</w:t>
      </w:r>
      <w:r w:rsidRPr="00AD1F53">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9BA9D" w14:textId="77777777" w:rsidR="00064002" w:rsidRPr="00AD1F5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F8A42" w14:textId="77777777" w:rsidR="00064002" w:rsidRPr="00AD1F5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7EE19" w14:textId="77777777" w:rsidR="00064002" w:rsidRPr="00AD1F5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66944601">
    <w:abstractNumId w:val="9"/>
  </w:num>
  <w:num w:numId="2" w16cid:durableId="1094086377">
    <w:abstractNumId w:val="9"/>
  </w:num>
  <w:num w:numId="3" w16cid:durableId="626089936">
    <w:abstractNumId w:val="7"/>
  </w:num>
  <w:num w:numId="4" w16cid:durableId="870919392">
    <w:abstractNumId w:val="7"/>
  </w:num>
  <w:num w:numId="5" w16cid:durableId="736250559">
    <w:abstractNumId w:val="6"/>
  </w:num>
  <w:num w:numId="6" w16cid:durableId="1838232246">
    <w:abstractNumId w:val="6"/>
  </w:num>
  <w:num w:numId="7" w16cid:durableId="1118186302">
    <w:abstractNumId w:val="5"/>
  </w:num>
  <w:num w:numId="8" w16cid:durableId="955067730">
    <w:abstractNumId w:val="5"/>
  </w:num>
  <w:num w:numId="9" w16cid:durableId="401176772">
    <w:abstractNumId w:val="4"/>
  </w:num>
  <w:num w:numId="10" w16cid:durableId="697581911">
    <w:abstractNumId w:val="4"/>
  </w:num>
  <w:num w:numId="11" w16cid:durableId="2040931278">
    <w:abstractNumId w:val="8"/>
  </w:num>
  <w:num w:numId="12" w16cid:durableId="1785609778">
    <w:abstractNumId w:val="8"/>
  </w:num>
  <w:num w:numId="13" w16cid:durableId="1025643303">
    <w:abstractNumId w:val="3"/>
  </w:num>
  <w:num w:numId="14" w16cid:durableId="17314838">
    <w:abstractNumId w:val="3"/>
  </w:num>
  <w:num w:numId="15" w16cid:durableId="1508865064">
    <w:abstractNumId w:val="2"/>
  </w:num>
  <w:num w:numId="16" w16cid:durableId="1202009862">
    <w:abstractNumId w:val="2"/>
  </w:num>
  <w:num w:numId="17" w16cid:durableId="399594946">
    <w:abstractNumId w:val="1"/>
  </w:num>
  <w:num w:numId="18" w16cid:durableId="962887443">
    <w:abstractNumId w:val="1"/>
  </w:num>
  <w:num w:numId="19" w16cid:durableId="178004919">
    <w:abstractNumId w:val="0"/>
  </w:num>
  <w:num w:numId="20" w16cid:durableId="1344210788">
    <w:abstractNumId w:val="0"/>
  </w:num>
  <w:num w:numId="21" w16cid:durableId="777259279">
    <w:abstractNumId w:val="9"/>
  </w:num>
  <w:num w:numId="22" w16cid:durableId="1494643135">
    <w:abstractNumId w:val="7"/>
  </w:num>
  <w:num w:numId="23" w16cid:durableId="805778081">
    <w:abstractNumId w:val="6"/>
  </w:num>
  <w:num w:numId="24" w16cid:durableId="268243580">
    <w:abstractNumId w:val="5"/>
  </w:num>
  <w:num w:numId="25" w16cid:durableId="1514955335">
    <w:abstractNumId w:val="4"/>
  </w:num>
  <w:num w:numId="26" w16cid:durableId="651983629">
    <w:abstractNumId w:val="8"/>
  </w:num>
  <w:num w:numId="27" w16cid:durableId="306325827">
    <w:abstractNumId w:val="3"/>
  </w:num>
  <w:num w:numId="28" w16cid:durableId="601767916">
    <w:abstractNumId w:val="2"/>
  </w:num>
  <w:num w:numId="29" w16cid:durableId="674501291">
    <w:abstractNumId w:val="1"/>
  </w:num>
  <w:num w:numId="30" w16cid:durableId="988168821">
    <w:abstractNumId w:val="0"/>
  </w:num>
  <w:num w:numId="31" w16cid:durableId="1183593220">
    <w:abstractNumId w:val="9"/>
  </w:num>
  <w:num w:numId="32" w16cid:durableId="1949578825">
    <w:abstractNumId w:val="7"/>
  </w:num>
  <w:num w:numId="33" w16cid:durableId="2019458465">
    <w:abstractNumId w:val="6"/>
  </w:num>
  <w:num w:numId="34" w16cid:durableId="310326342">
    <w:abstractNumId w:val="5"/>
  </w:num>
  <w:num w:numId="35" w16cid:durableId="2042392449">
    <w:abstractNumId w:val="4"/>
  </w:num>
  <w:num w:numId="36" w16cid:durableId="49811350">
    <w:abstractNumId w:val="8"/>
  </w:num>
  <w:num w:numId="37" w16cid:durableId="56708232">
    <w:abstractNumId w:val="3"/>
  </w:num>
  <w:num w:numId="38" w16cid:durableId="2139060843">
    <w:abstractNumId w:val="2"/>
  </w:num>
  <w:num w:numId="39" w16cid:durableId="1193807746">
    <w:abstractNumId w:val="1"/>
  </w:num>
  <w:num w:numId="40" w16cid:durableId="423111772">
    <w:abstractNumId w:val="0"/>
  </w:num>
  <w:num w:numId="41" w16cid:durableId="2141260580">
    <w:abstractNumId w:val="10"/>
  </w:num>
  <w:num w:numId="42" w16cid:durableId="982082089">
    <w:abstractNumId w:val="10"/>
  </w:num>
  <w:num w:numId="43" w16cid:durableId="160238482">
    <w:abstractNumId w:val="10"/>
  </w:num>
  <w:num w:numId="44" w16cid:durableId="13975810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0/2026"/>
    <w:docVar w:name="dvlangue" w:val="ET"/>
    <w:docVar w:name="dvnumam" w:val="0"/>
    <w:docVar w:name="dvpe" w:val="787.947"/>
    <w:docVar w:name="dvrapporteur" w:val="Raportöör: "/>
    <w:docVar w:name="dvtitre" w:val="Euroopa Parlamendi .... 2026. aasta resolutsioon mis käsitleb nõukogu seisukohta Euroopa Liidu 2026. aasta paranduseelarve projekti nr 1/2026 kohta – 2025. aasta ülejäägi kandmine eelarvesse(09919/2026 – C10-0145/2026 – 2026/0090(BUD))"/>
  </w:docVars>
  <w:rsids>
    <w:rsidRoot w:val="00475172"/>
    <w:rsid w:val="00002272"/>
    <w:rsid w:val="00064002"/>
    <w:rsid w:val="000677B9"/>
    <w:rsid w:val="000831BA"/>
    <w:rsid w:val="000A42CC"/>
    <w:rsid w:val="000E7DD9"/>
    <w:rsid w:val="000F3128"/>
    <w:rsid w:val="0010095E"/>
    <w:rsid w:val="00125B37"/>
    <w:rsid w:val="00187494"/>
    <w:rsid w:val="001F32AE"/>
    <w:rsid w:val="00217859"/>
    <w:rsid w:val="002767FF"/>
    <w:rsid w:val="002B18FE"/>
    <w:rsid w:val="002B5493"/>
    <w:rsid w:val="00343214"/>
    <w:rsid w:val="00361C00"/>
    <w:rsid w:val="00380ACF"/>
    <w:rsid w:val="00395FA1"/>
    <w:rsid w:val="003E15D4"/>
    <w:rsid w:val="00411CCE"/>
    <w:rsid w:val="0041666E"/>
    <w:rsid w:val="00421060"/>
    <w:rsid w:val="00471C19"/>
    <w:rsid w:val="00475172"/>
    <w:rsid w:val="004867E3"/>
    <w:rsid w:val="00494A28"/>
    <w:rsid w:val="004C0004"/>
    <w:rsid w:val="004C5D52"/>
    <w:rsid w:val="0050519A"/>
    <w:rsid w:val="005072A1"/>
    <w:rsid w:val="00514517"/>
    <w:rsid w:val="00545827"/>
    <w:rsid w:val="00560270"/>
    <w:rsid w:val="005C2568"/>
    <w:rsid w:val="005F1B17"/>
    <w:rsid w:val="00603672"/>
    <w:rsid w:val="006037C0"/>
    <w:rsid w:val="006631B6"/>
    <w:rsid w:val="00680577"/>
    <w:rsid w:val="006B4580"/>
    <w:rsid w:val="006F74FA"/>
    <w:rsid w:val="00706C41"/>
    <w:rsid w:val="00731ADD"/>
    <w:rsid w:val="00734777"/>
    <w:rsid w:val="00747932"/>
    <w:rsid w:val="00751A4A"/>
    <w:rsid w:val="00756632"/>
    <w:rsid w:val="00762C74"/>
    <w:rsid w:val="00786EC0"/>
    <w:rsid w:val="007B72D9"/>
    <w:rsid w:val="007D1690"/>
    <w:rsid w:val="007E22AD"/>
    <w:rsid w:val="00817416"/>
    <w:rsid w:val="00842779"/>
    <w:rsid w:val="00865F67"/>
    <w:rsid w:val="00881A7B"/>
    <w:rsid w:val="008840E5"/>
    <w:rsid w:val="00887B3E"/>
    <w:rsid w:val="008C2AC6"/>
    <w:rsid w:val="00930C23"/>
    <w:rsid w:val="0093193B"/>
    <w:rsid w:val="009509D8"/>
    <w:rsid w:val="00950B64"/>
    <w:rsid w:val="00954678"/>
    <w:rsid w:val="00981893"/>
    <w:rsid w:val="009D20B1"/>
    <w:rsid w:val="00A1687D"/>
    <w:rsid w:val="00A43E52"/>
    <w:rsid w:val="00A4678D"/>
    <w:rsid w:val="00A663DD"/>
    <w:rsid w:val="00A778C7"/>
    <w:rsid w:val="00AB441E"/>
    <w:rsid w:val="00AB6293"/>
    <w:rsid w:val="00AD1F53"/>
    <w:rsid w:val="00AE0928"/>
    <w:rsid w:val="00AE320C"/>
    <w:rsid w:val="00AF3B82"/>
    <w:rsid w:val="00B12E95"/>
    <w:rsid w:val="00B22876"/>
    <w:rsid w:val="00B558F0"/>
    <w:rsid w:val="00BD48FE"/>
    <w:rsid w:val="00BD7BD8"/>
    <w:rsid w:val="00BE6ADC"/>
    <w:rsid w:val="00C05BFE"/>
    <w:rsid w:val="00C23CD4"/>
    <w:rsid w:val="00C61C0C"/>
    <w:rsid w:val="00C90F8A"/>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3A7A"/>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11D40D"/>
  <w15:chartTrackingRefBased/>
  <w15:docId w15:val="{D7917C94-5F2A-4142-B0CC-95212052C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Footnote number,Footnote symbol,Footnote Reference Number,Footnote reference number,Times 10 Point,Exposant 3 Point,Voetnootverwijzing,fr,o,Footnotemark,FR,Footnotemark1,Footnotemark2,FR1,Footnotemark3,FR2,Footnotemark4,FR3"/>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D20B1"/>
    <w:pPr>
      <w:spacing w:before="480" w:after="240"/>
    </w:pPr>
  </w:style>
  <w:style w:type="paragraph" w:customStyle="1" w:styleId="NormalHanging12a">
    <w:name w:val="NormalHanging12a"/>
    <w:basedOn w:val="Normal"/>
    <w:rsid w:val="009D20B1"/>
    <w:pPr>
      <w:spacing w:after="240"/>
      <w:ind w:left="567" w:hanging="567"/>
    </w:pPr>
  </w:style>
  <w:style w:type="character" w:styleId="Hyperlink">
    <w:name w:val="Hyperlink"/>
    <w:basedOn w:val="DefaultParagraphFont"/>
    <w:rsid w:val="009D20B1"/>
    <w:rPr>
      <w:color w:val="0563C1" w:themeColor="hyperlink"/>
      <w:u w:val="single"/>
    </w:rPr>
  </w:style>
  <w:style w:type="paragraph" w:styleId="Revision">
    <w:name w:val="Revision"/>
    <w:hidden/>
    <w:uiPriority w:val="99"/>
    <w:semiHidden/>
    <w:rsid w:val="00603672"/>
    <w:rPr>
      <w:sz w:val="24"/>
      <w:lang w:val="et-EE"/>
    </w:rPr>
  </w:style>
  <w:style w:type="character" w:styleId="UnresolvedMention">
    <w:name w:val="Unresolved Mention"/>
    <w:basedOn w:val="DefaultParagraphFont"/>
    <w:uiPriority w:val="99"/>
    <w:semiHidden/>
    <w:unhideWhenUsed/>
    <w:rsid w:val="006036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2093/oj" TargetMode="External"/><Relationship Id="rId2" Type="http://schemas.openxmlformats.org/officeDocument/2006/relationships/hyperlink" Target="http://data.europa.eu/eli/budget/2026/72/oj" TargetMode="External"/><Relationship Id="rId1" Type="http://schemas.openxmlformats.org/officeDocument/2006/relationships/hyperlink" Target="http://data.europa.eu/eli/reg/2024/2509/oj" TargetMode="External"/><Relationship Id="rId5" Type="http://schemas.openxmlformats.org/officeDocument/2006/relationships/hyperlink" Target="http://data.europa.eu/eli/dec/2020/2053/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852</Words>
  <Characters>6429</Characters>
  <Application>Microsoft Office Word</Application>
  <DocSecurity>0</DocSecurity>
  <Lines>133</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MANDOJA Mia Susanna</dc:creator>
  <cp:keywords/>
  <cp:lastModifiedBy>LEPLER Laura</cp:lastModifiedBy>
  <cp:revision>2</cp:revision>
  <cp:lastPrinted>2004-11-19T15:42:00Z</cp:lastPrinted>
  <dcterms:created xsi:type="dcterms:W3CDTF">2026-07-07T15:56:00Z</dcterms:created>
  <dcterms:modified xsi:type="dcterms:W3CDTF">2026-07-07T15:56:00Z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A10-0180/2026</vt:lpwstr>
  </property>
  <property fmtid="{D5CDD505-2E9C-101B-9397-08002B2CF9AE}" pid="4" name="&lt;Type&gt;">
    <vt:lpwstr>RR</vt:lpwstr>
  </property>
</Properties>
</file>