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73FE" w14:paraId="49970401" w14:textId="77777777" w:rsidTr="0010095E">
        <w:trPr>
          <w:trHeight w:hRule="exact" w:val="1418"/>
        </w:trPr>
        <w:tc>
          <w:tcPr>
            <w:tcW w:w="6804" w:type="dxa"/>
            <w:shd w:val="clear" w:color="auto" w:fill="auto"/>
            <w:vAlign w:val="center"/>
          </w:tcPr>
          <w:p w14:paraId="2399A7FD" w14:textId="77777777" w:rsidR="00751A4A" w:rsidRPr="000373FE" w:rsidRDefault="00C2183C" w:rsidP="0010095E">
            <w:pPr>
              <w:pStyle w:val="EPName"/>
            </w:pPr>
            <w:r w:rsidRPr="000373FE">
              <w:t>Euroopan parlamentti</w:t>
            </w:r>
          </w:p>
          <w:p w14:paraId="58CE5E0A" w14:textId="77777777" w:rsidR="00751A4A" w:rsidRPr="000373FE" w:rsidRDefault="005F1B17" w:rsidP="005F1B17">
            <w:pPr>
              <w:pStyle w:val="EPTerm"/>
              <w:rPr>
                <w:rStyle w:val="HideTWBExt"/>
                <w:noProof w:val="0"/>
                <w:vanish w:val="0"/>
                <w:color w:val="auto"/>
              </w:rPr>
            </w:pPr>
            <w:r w:rsidRPr="000373FE">
              <w:t>2024</w:t>
            </w:r>
            <w:r w:rsidR="00817416" w:rsidRPr="000373FE">
              <w:t>-202</w:t>
            </w:r>
            <w:r w:rsidRPr="000373FE">
              <w:t>9</w:t>
            </w:r>
          </w:p>
        </w:tc>
        <w:tc>
          <w:tcPr>
            <w:tcW w:w="2268" w:type="dxa"/>
            <w:shd w:val="clear" w:color="auto" w:fill="auto"/>
          </w:tcPr>
          <w:p w14:paraId="7FFA8A42" w14:textId="77777777" w:rsidR="00751A4A" w:rsidRPr="000373FE" w:rsidRDefault="00187494" w:rsidP="0010095E">
            <w:pPr>
              <w:pStyle w:val="EPLogo"/>
            </w:pPr>
            <w:r w:rsidRPr="000373FE">
              <w:rPr>
                <w:noProof/>
                <w:lang w:eastAsia="ja-JP"/>
              </w:rPr>
              <w:drawing>
                <wp:inline distT="0" distB="0" distL="0" distR="0" wp14:anchorId="1E81FB6A" wp14:editId="7B96DC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818849" w14:textId="77777777" w:rsidR="00D058B8" w:rsidRPr="000373FE" w:rsidRDefault="00D058B8" w:rsidP="004C5D52">
      <w:pPr>
        <w:pStyle w:val="LineTop"/>
      </w:pPr>
    </w:p>
    <w:p w14:paraId="21561DE8" w14:textId="77777777" w:rsidR="00680577" w:rsidRPr="000373FE" w:rsidRDefault="00C2183C" w:rsidP="00680577">
      <w:pPr>
        <w:pStyle w:val="EPBodyTA1"/>
      </w:pPr>
      <w:r w:rsidRPr="000373FE">
        <w:t>HYVÄKSYTYT TEKSTIT</w:t>
      </w:r>
    </w:p>
    <w:p w14:paraId="7FC60865" w14:textId="77777777" w:rsidR="00D058B8" w:rsidRPr="000373FE" w:rsidRDefault="00D058B8" w:rsidP="00D058B8">
      <w:pPr>
        <w:pStyle w:val="LineBottom"/>
      </w:pPr>
    </w:p>
    <w:p w14:paraId="6B3D16F4" w14:textId="7FF4D20A" w:rsidR="00C2183C" w:rsidRPr="000373FE" w:rsidRDefault="00C2183C" w:rsidP="00C2183C">
      <w:pPr>
        <w:pStyle w:val="ATHeading1"/>
      </w:pPr>
      <w:bookmarkStart w:id="0" w:name="TANumber"/>
      <w:r w:rsidRPr="000373FE">
        <w:t>P10_TA(2026)0</w:t>
      </w:r>
      <w:bookmarkEnd w:id="0"/>
      <w:r w:rsidR="00CF1756">
        <w:t>242</w:t>
      </w:r>
    </w:p>
    <w:p w14:paraId="21A6900B" w14:textId="5851D0EC" w:rsidR="00C2183C" w:rsidRPr="000373FE" w:rsidRDefault="000F0DA4" w:rsidP="00C2183C">
      <w:pPr>
        <w:pStyle w:val="ATHeading2"/>
      </w:pPr>
      <w:bookmarkStart w:id="1" w:name="title"/>
      <w:r w:rsidRPr="000373FE">
        <w:rPr>
          <w:bCs/>
        </w:rPr>
        <w:t>Lisätalousarvioesitys nro 1/2026: varainhoitovuoden 2025 ylijäämän ottaminen talousarvioon</w:t>
      </w:r>
      <w:bookmarkEnd w:id="1"/>
    </w:p>
    <w:p w14:paraId="0DF0C426" w14:textId="77777777" w:rsidR="00C2183C" w:rsidRPr="000373FE" w:rsidRDefault="00C2183C" w:rsidP="00C2183C">
      <w:pPr>
        <w:rPr>
          <w:i/>
          <w:vanish/>
        </w:rPr>
      </w:pPr>
      <w:r w:rsidRPr="000373FE">
        <w:rPr>
          <w:i/>
        </w:rPr>
        <w:fldChar w:fldCharType="begin"/>
      </w:r>
      <w:r w:rsidRPr="000373FE">
        <w:rPr>
          <w:i/>
        </w:rPr>
        <w:instrText xml:space="preserve"> TC"(</w:instrText>
      </w:r>
      <w:bookmarkStart w:id="2" w:name="DocNumber"/>
      <w:r w:rsidRPr="000373FE">
        <w:rPr>
          <w:i/>
        </w:rPr>
        <w:instrText>A10-0180/2026</w:instrText>
      </w:r>
      <w:bookmarkEnd w:id="2"/>
      <w:r w:rsidRPr="000373FE">
        <w:rPr>
          <w:i/>
        </w:rPr>
        <w:instrText xml:space="preserve"> - Esittelijä: Andrzej Halicki)"\l3 \n&gt; \* MERGEFORMAT </w:instrText>
      </w:r>
      <w:r w:rsidRPr="000373FE">
        <w:rPr>
          <w:i/>
        </w:rPr>
        <w:fldChar w:fldCharType="end"/>
      </w:r>
    </w:p>
    <w:p w14:paraId="68A1AA96" w14:textId="77777777" w:rsidR="00C2183C" w:rsidRPr="000373FE" w:rsidRDefault="00C2183C" w:rsidP="00C2183C">
      <w:pPr>
        <w:rPr>
          <w:vanish/>
        </w:rPr>
      </w:pPr>
      <w:bookmarkStart w:id="3" w:name="Commission"/>
      <w:r w:rsidRPr="000373FE">
        <w:rPr>
          <w:vanish/>
        </w:rPr>
        <w:t>Budjettivaliokunta</w:t>
      </w:r>
      <w:bookmarkEnd w:id="3"/>
    </w:p>
    <w:p w14:paraId="1D1A32F5" w14:textId="77777777" w:rsidR="00C2183C" w:rsidRPr="000373FE" w:rsidRDefault="00C2183C" w:rsidP="00C2183C">
      <w:pPr>
        <w:rPr>
          <w:vanish/>
        </w:rPr>
      </w:pPr>
      <w:bookmarkStart w:id="4" w:name="PE"/>
      <w:r w:rsidRPr="000373FE">
        <w:rPr>
          <w:vanish/>
        </w:rPr>
        <w:t>PE787.947</w:t>
      </w:r>
      <w:bookmarkEnd w:id="4"/>
    </w:p>
    <w:p w14:paraId="11219B27" w14:textId="4B041986" w:rsidR="00C2183C" w:rsidRPr="000373FE" w:rsidRDefault="00C2183C" w:rsidP="00C2183C">
      <w:pPr>
        <w:pStyle w:val="ATHeading3"/>
      </w:pPr>
      <w:bookmarkStart w:id="5" w:name="Sujet"/>
      <w:r w:rsidRPr="000373FE">
        <w:t xml:space="preserve">Euroopan parlamentin päätöslauselma </w:t>
      </w:r>
      <w:r w:rsidR="000F0DA4" w:rsidRPr="000373FE">
        <w:t>7</w:t>
      </w:r>
      <w:r w:rsidRPr="000373FE">
        <w:t xml:space="preserve">. </w:t>
      </w:r>
      <w:r w:rsidR="000F0DA4" w:rsidRPr="000373FE">
        <w:t>heinä</w:t>
      </w:r>
      <w:r w:rsidRPr="000373FE">
        <w:t>kuuta 2026 neuvoston kannasta esitykseen Euroopan unionin lisätalousarvioksi nro 1/2026 varainhoitovuodeksi 2026 – varainhoitovuoden 2025 ylijäämän ottaminen talousarvioon</w:t>
      </w:r>
      <w:bookmarkEnd w:id="5"/>
      <w:r w:rsidRPr="000373FE">
        <w:t xml:space="preserve"> </w:t>
      </w:r>
      <w:bookmarkStart w:id="6" w:name="References"/>
      <w:r w:rsidRPr="000373FE">
        <w:t>(09919/2026 – C10-0145/2026 – 2026/0090(BUD))</w:t>
      </w:r>
      <w:bookmarkEnd w:id="6"/>
    </w:p>
    <w:p w14:paraId="60F926A7" w14:textId="77777777" w:rsidR="00A70F17" w:rsidRPr="000373FE" w:rsidRDefault="00A70F17" w:rsidP="000F0DA4">
      <w:pPr>
        <w:pStyle w:val="EPComma"/>
        <w:widowControl/>
      </w:pPr>
      <w:bookmarkStart w:id="7" w:name="TextBodyBegin"/>
      <w:bookmarkEnd w:id="7"/>
      <w:r w:rsidRPr="000373FE">
        <w:rPr>
          <w:i/>
        </w:rPr>
        <w:t>Euroopan parlamentti</w:t>
      </w:r>
      <w:r w:rsidRPr="000373FE">
        <w:t>, joka</w:t>
      </w:r>
    </w:p>
    <w:p w14:paraId="514CB7F2" w14:textId="77777777" w:rsidR="00A70F17" w:rsidRPr="000373FE" w:rsidRDefault="00A70F17" w:rsidP="000F0DA4">
      <w:pPr>
        <w:pStyle w:val="NormalHanging12a"/>
        <w:widowControl/>
      </w:pPr>
      <w:r w:rsidRPr="000373FE">
        <w:t>–</w:t>
      </w:r>
      <w:r w:rsidRPr="000373FE">
        <w:tab/>
        <w:t>ottaa huomioon Euroopan unionin toiminnasta tehdyn sopimuksen 314 artiklan,</w:t>
      </w:r>
    </w:p>
    <w:p w14:paraId="0739B29B" w14:textId="77777777" w:rsidR="00A70F17" w:rsidRPr="000373FE" w:rsidRDefault="00A70F17" w:rsidP="000F0DA4">
      <w:pPr>
        <w:pStyle w:val="NormalHanging12a"/>
        <w:widowControl/>
      </w:pPr>
      <w:r w:rsidRPr="000373FE">
        <w:t>–</w:t>
      </w:r>
      <w:r w:rsidRPr="000373FE">
        <w:tab/>
        <w:t>ottaa huomioon Euroopan atomienergiayhteisön perustamissopimuksen 106 A artiklan,</w:t>
      </w:r>
    </w:p>
    <w:p w14:paraId="4B85A92B" w14:textId="77777777" w:rsidR="00A70F17" w:rsidRPr="000373FE" w:rsidRDefault="00A70F17" w:rsidP="000F0DA4">
      <w:pPr>
        <w:pStyle w:val="NormalHanging12a"/>
        <w:widowControl/>
      </w:pPr>
      <w:r w:rsidRPr="000373FE">
        <w:t>–</w:t>
      </w:r>
      <w:r w:rsidRPr="000373FE">
        <w:tab/>
        <w:t>ottaa huomioon unionin yleiseen talousarvioon sovellettavista varainhoitosäännöistä 23. syyskuuta 2024 annetun Euroopan parlamentin ja neuvoston asetuksen (EU, Euratom) 2024/2509</w:t>
      </w:r>
      <w:r w:rsidRPr="000373FE">
        <w:rPr>
          <w:rStyle w:val="FootnoteReference"/>
        </w:rPr>
        <w:footnoteReference w:id="1"/>
      </w:r>
      <w:r w:rsidRPr="000373FE">
        <w:t xml:space="preserve"> ja erityisesti sen 44 artiklan,</w:t>
      </w:r>
    </w:p>
    <w:p w14:paraId="61B7ADB0" w14:textId="77777777" w:rsidR="00A70F17" w:rsidRPr="000373FE" w:rsidRDefault="00A70F17" w:rsidP="000F0DA4">
      <w:pPr>
        <w:pStyle w:val="NormalHanging12a"/>
        <w:widowControl/>
      </w:pPr>
      <w:r w:rsidRPr="000373FE">
        <w:t>–</w:t>
      </w:r>
      <w:r w:rsidRPr="000373FE">
        <w:tab/>
        <w:t>ottaa huomioon 26. marraskuuta 2025 lopullisesti hyväksytyn Euroopan unionin yleisen talousarvion varainhoitovuodeksi 2026</w:t>
      </w:r>
      <w:r w:rsidRPr="000373FE">
        <w:rPr>
          <w:vertAlign w:val="superscript"/>
        </w:rPr>
        <w:footnoteReference w:id="2"/>
      </w:r>
      <w:r w:rsidRPr="000373FE">
        <w:t>,</w:t>
      </w:r>
    </w:p>
    <w:p w14:paraId="5E8F1553" w14:textId="77777777" w:rsidR="00A70F17" w:rsidRPr="000373FE" w:rsidRDefault="00A70F17" w:rsidP="000F0DA4">
      <w:pPr>
        <w:pStyle w:val="NormalHanging12a"/>
        <w:widowControl/>
      </w:pPr>
      <w:r w:rsidRPr="000373FE">
        <w:t>–</w:t>
      </w:r>
      <w:r w:rsidRPr="000373FE">
        <w:tab/>
        <w:t>ottaa huomioon vuosia 2021–2027 koskevan monivuotisen rahoituskehyksen vahvistamisesta 17. joulukuuta 2020 annetun neuvoston asetuksen (EU, Euratom) 2020/2093</w:t>
      </w:r>
      <w:r w:rsidRPr="000373FE">
        <w:rPr>
          <w:vertAlign w:val="superscript"/>
        </w:rPr>
        <w:footnoteReference w:id="3"/>
      </w:r>
      <w:r w:rsidRPr="000373FE">
        <w:t>,</w:t>
      </w:r>
    </w:p>
    <w:p w14:paraId="3231E992" w14:textId="77777777" w:rsidR="00A70F17" w:rsidRPr="000373FE" w:rsidRDefault="00A70F17" w:rsidP="000F0DA4">
      <w:pPr>
        <w:pStyle w:val="NormalHanging12a"/>
        <w:widowControl/>
      </w:pPr>
      <w:r w:rsidRPr="000373FE">
        <w:t>–</w:t>
      </w:r>
      <w:r w:rsidRPr="000373FE">
        <w:tab/>
        <w:t>ottaa huomioon vuosia 2021–2027 koskevan monivuotisen rahoituskehyksen vahvistamisesta annetun asetuksen (EU, Euratom) 2020/2093 muuttamisesta 29. helmikuuta 2024 annetun neuvoston asetuksen (EU, Euratom) 2024/765</w:t>
      </w:r>
      <w:r w:rsidRPr="000373FE">
        <w:rPr>
          <w:vertAlign w:val="superscript"/>
        </w:rPr>
        <w:footnoteReference w:id="4"/>
      </w:r>
      <w:r w:rsidRPr="000373FE">
        <w:t>,</w:t>
      </w:r>
    </w:p>
    <w:p w14:paraId="3FDA4667" w14:textId="77777777" w:rsidR="00A70F17" w:rsidRPr="000373FE" w:rsidRDefault="00A70F17" w:rsidP="000F0DA4">
      <w:pPr>
        <w:pStyle w:val="NormalHanging12a"/>
        <w:widowControl/>
      </w:pPr>
      <w:r w:rsidRPr="000373FE">
        <w:t>–</w:t>
      </w:r>
      <w:r w:rsidRPr="000373FE">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0373FE">
        <w:lastRenderedPageBreak/>
        <w:t>tehdyn Euroopan parlamentin, Euroopan unionin neuvoston ja Euroopan komission välisen toimielinten sopimuksen</w:t>
      </w:r>
      <w:r w:rsidRPr="000373FE">
        <w:rPr>
          <w:vertAlign w:val="superscript"/>
        </w:rPr>
        <w:footnoteReference w:id="5"/>
      </w:r>
      <w:r w:rsidRPr="000373FE">
        <w:t>,</w:t>
      </w:r>
    </w:p>
    <w:p w14:paraId="33CBB862" w14:textId="77777777" w:rsidR="00A70F17" w:rsidRPr="000373FE" w:rsidRDefault="00A70F17" w:rsidP="000F0DA4">
      <w:pPr>
        <w:pStyle w:val="NormalHanging12a"/>
        <w:widowControl/>
      </w:pPr>
      <w:r w:rsidRPr="000373FE">
        <w:t>–</w:t>
      </w:r>
      <w:r w:rsidRPr="000373FE">
        <w:tab/>
        <w:t>ottaa huomioon Euroopan unionin omien varojen järjestelmästä ja päätöksen 2014/335/EU, Euratom kumoamisesta 14. joulukuuta 2020 annetun neuvoston päätöksen (EU, Euratom) 2020/2053</w:t>
      </w:r>
      <w:r w:rsidRPr="000373FE">
        <w:rPr>
          <w:vertAlign w:val="superscript"/>
        </w:rPr>
        <w:footnoteReference w:id="6"/>
      </w:r>
      <w:r w:rsidRPr="000373FE">
        <w:t>,</w:t>
      </w:r>
    </w:p>
    <w:p w14:paraId="296D4EB6" w14:textId="77777777" w:rsidR="00A70F17" w:rsidRPr="000373FE" w:rsidRDefault="00A70F17" w:rsidP="000F0DA4">
      <w:pPr>
        <w:pStyle w:val="NormalHanging12a"/>
        <w:widowControl/>
      </w:pPr>
      <w:r w:rsidRPr="000373FE">
        <w:t>–</w:t>
      </w:r>
      <w:r w:rsidRPr="000373FE">
        <w:tab/>
        <w:t>ottaa huomioon 28. huhtikuuta 2026 antamansa päätöslauselman ehdotuksesta neuvoston asetukseksi vuosia 2028–2034 koskevan monivuotisen rahoituskehyksen vahvistamisesta</w:t>
      </w:r>
      <w:r w:rsidRPr="000373FE">
        <w:rPr>
          <w:rStyle w:val="FootnoteReference"/>
        </w:rPr>
        <w:footnoteReference w:id="7"/>
      </w:r>
      <w:r w:rsidRPr="000373FE">
        <w:t>,</w:t>
      </w:r>
    </w:p>
    <w:p w14:paraId="61715E0D" w14:textId="77777777" w:rsidR="00A70F17" w:rsidRPr="000373FE" w:rsidRDefault="00A70F17" w:rsidP="000F0DA4">
      <w:pPr>
        <w:pStyle w:val="NormalHanging12a"/>
        <w:widowControl/>
      </w:pPr>
      <w:bookmarkStart w:id="8" w:name="_Hlk229564682"/>
      <w:r w:rsidRPr="000373FE">
        <w:t>–</w:t>
      </w:r>
      <w:r w:rsidRPr="000373FE">
        <w:tab/>
        <w:t>ottaa huomioon komission 10. huhtikuuta 2026 antaman esityksen lisätalousarvioksi nro 1/2026 (COM(2026)0450),</w:t>
      </w:r>
      <w:bookmarkEnd w:id="8"/>
    </w:p>
    <w:p w14:paraId="553212EE" w14:textId="77777777" w:rsidR="00A70F17" w:rsidRPr="000373FE" w:rsidRDefault="00A70F17" w:rsidP="000F0DA4">
      <w:pPr>
        <w:pStyle w:val="NormalHanging12a"/>
        <w:widowControl/>
      </w:pPr>
      <w:r w:rsidRPr="000373FE">
        <w:t>–</w:t>
      </w:r>
      <w:r w:rsidRPr="000373FE">
        <w:tab/>
        <w:t>ottaa huomioon neuvoston 16. kesäkuuta 2026 vahvistaman ja 18. kesäkuuta 2026 parlamentille toimittaman kannan esitykseen lisätalousarvioksi nro 1/2026 (09919/2026),</w:t>
      </w:r>
    </w:p>
    <w:p w14:paraId="7D0D181D" w14:textId="77777777" w:rsidR="00A70F17" w:rsidRPr="000373FE" w:rsidRDefault="00A70F17" w:rsidP="000F0DA4">
      <w:pPr>
        <w:pStyle w:val="NormalHanging12a"/>
        <w:widowControl/>
      </w:pPr>
      <w:r w:rsidRPr="000373FE">
        <w:t>–</w:t>
      </w:r>
      <w:r w:rsidRPr="000373FE">
        <w:tab/>
        <w:t>ottaa huomioon työjärjestyksen 96 ja 98 artiklan,</w:t>
      </w:r>
    </w:p>
    <w:p w14:paraId="7A6300B3" w14:textId="77777777" w:rsidR="00A70F17" w:rsidRPr="000373FE" w:rsidRDefault="00A70F17" w:rsidP="000F0DA4">
      <w:pPr>
        <w:pStyle w:val="NormalHanging12a"/>
        <w:widowControl/>
      </w:pPr>
      <w:r w:rsidRPr="000373FE">
        <w:t>–</w:t>
      </w:r>
      <w:r w:rsidRPr="000373FE">
        <w:tab/>
        <w:t>ottaa huomioon budjettivaliokunnan mietinnön (A10-0180/2026),</w:t>
      </w:r>
    </w:p>
    <w:p w14:paraId="431ED015" w14:textId="77777777" w:rsidR="00A70F17" w:rsidRPr="000373FE" w:rsidRDefault="00A70F17" w:rsidP="000F0DA4">
      <w:pPr>
        <w:pStyle w:val="NormalHanging12a"/>
        <w:widowControl/>
      </w:pPr>
      <w:r w:rsidRPr="000373FE">
        <w:t>A.</w:t>
      </w:r>
      <w:r w:rsidRPr="000373FE">
        <w:tab/>
        <w:t>ottaa huomioon, että lisätalousarvioesityksen nro 1/2026 tarkoituksena on ottaa vuoden 2026 talousarvioon 2 095 miljoonan euron ylijäämä, joka on peräisin varainhoitovuoden 2025 talousarvion toteuttamisesta;</w:t>
      </w:r>
    </w:p>
    <w:p w14:paraId="1021959E" w14:textId="77777777" w:rsidR="00A70F17" w:rsidRPr="000373FE" w:rsidRDefault="00A70F17" w:rsidP="000F0DA4">
      <w:pPr>
        <w:pStyle w:val="NormalHanging12a"/>
        <w:widowControl/>
      </w:pPr>
      <w:r w:rsidRPr="000373FE">
        <w:t>B.</w:t>
      </w:r>
      <w:r w:rsidRPr="000373FE">
        <w:tab/>
        <w:t>ottaa huomioon, että ylijäämä muodostuu pääasiassa 1 994 miljoonan euron suuruisesta tulojen positiivisesta toteutumasta sekä 101 miljoonan euron suuruisesta määrärahojen ennakoitua vähäisemmästä käytöstä;</w:t>
      </w:r>
    </w:p>
    <w:p w14:paraId="737575A8" w14:textId="77777777" w:rsidR="00A70F17" w:rsidRPr="000373FE" w:rsidRDefault="00A70F17" w:rsidP="000F0DA4">
      <w:pPr>
        <w:pStyle w:val="NormalHanging12a"/>
        <w:widowControl/>
      </w:pPr>
      <w:r w:rsidRPr="000373FE">
        <w:t>C.</w:t>
      </w:r>
      <w:r w:rsidRPr="000373FE">
        <w:tab/>
        <w:t xml:space="preserve">ottaa huomioon, että tulopuolen ylijäämä johtuu pääasiassa </w:t>
      </w:r>
      <w:bookmarkStart w:id="9" w:name="_Hlk233197369"/>
      <w:r w:rsidRPr="000373FE">
        <w:t>odotettua suuremmista tullimaksuista (860 miljoonaa euroa)</w:t>
      </w:r>
      <w:bookmarkEnd w:id="9"/>
      <w:r w:rsidRPr="000373FE">
        <w:t xml:space="preserve">; ottaa huomioon, että toinen ylijäämän tärkeä syy on rahoitustuotoista, viivästyskoroista ja sakoista kertynyt 840 miljoonan euron määrä; </w:t>
      </w:r>
    </w:p>
    <w:p w14:paraId="7C2FB520" w14:textId="77777777" w:rsidR="00A70F17" w:rsidRPr="000373FE" w:rsidRDefault="00A70F17" w:rsidP="000F0DA4">
      <w:pPr>
        <w:pStyle w:val="NormalHanging12a"/>
        <w:widowControl/>
      </w:pPr>
      <w:r w:rsidRPr="000373FE">
        <w:t>D.</w:t>
      </w:r>
      <w:r w:rsidRPr="000373FE">
        <w:tab/>
        <w:t>ottaa huomioon, että menopuolella toimielimiltä jäi edelliseltä varainhoitovuodelta siirrettyjen määrärahojen peruuntumiset mukaan lukien käyttämättä yhteensä 111 miljoonaa euroa (0,04 prosenttia hyväksytyistä maksumäärärahoista);</w:t>
      </w:r>
    </w:p>
    <w:p w14:paraId="4D4479A5" w14:textId="77777777" w:rsidR="00A70F17" w:rsidRPr="000373FE" w:rsidRDefault="00A70F17" w:rsidP="000F0DA4">
      <w:pPr>
        <w:pStyle w:val="NormalHanging12a"/>
        <w:widowControl/>
      </w:pPr>
      <w:r w:rsidRPr="000373FE">
        <w:t>1.</w:t>
      </w:r>
      <w:r w:rsidRPr="000373FE">
        <w:tab/>
        <w:t>panee merkille komission antaman lisätalousarvioesityksen nro 1/2026, jonka tarkoituksena on sisällyttää talousarvioon vuoden 2025 ylijäämä eli 2 095 miljoonaa euroa varainhoitoasetuksen 18 artiklan 3 kohdan mukaisesti;</w:t>
      </w:r>
      <w:sdt>
        <w:sdtPr>
          <w:tag w:val="goog_rdk_0"/>
          <w:id w:val="1937094721"/>
        </w:sdtPr>
        <w:sdtEndPr/>
        <w:sdtContent/>
      </w:sdt>
    </w:p>
    <w:p w14:paraId="56FB93DE" w14:textId="77777777" w:rsidR="00A70F17" w:rsidRPr="000373FE" w:rsidRDefault="00A70F17" w:rsidP="000F0DA4">
      <w:pPr>
        <w:pStyle w:val="NormalHanging12a"/>
        <w:widowControl/>
      </w:pPr>
      <w:r w:rsidRPr="000373FE">
        <w:t>2.</w:t>
      </w:r>
      <w:r w:rsidRPr="000373FE">
        <w:tab/>
        <w:t xml:space="preserve">pitää myönteisenä, että vuoden 2025 ylijäämä johtuu pääasiassa osastoon 1 (omat varat, erityisesti tullimaksut) ja osastoon 4 (rahoitustuotot, viivästyskorot ja sakot) liittyvän vaihtelun kasvusta, kun taas menojen ylijäämä on edelleen hyvin vaatimaton, 101 miljoonaa euroa; </w:t>
      </w:r>
    </w:p>
    <w:p w14:paraId="0C649F31" w14:textId="77777777" w:rsidR="00A70F17" w:rsidRPr="000373FE" w:rsidRDefault="00A70F17" w:rsidP="000F0DA4">
      <w:pPr>
        <w:pStyle w:val="NormalHanging12a"/>
        <w:widowControl/>
      </w:pPr>
      <w:r w:rsidRPr="000373FE">
        <w:lastRenderedPageBreak/>
        <w:t>3.</w:t>
      </w:r>
      <w:r w:rsidRPr="000373FE">
        <w:tab/>
        <w:t xml:space="preserve">pitää valitettavana, että ylijäämän ottaminen talousarvioon supistaa vastaavalla määrällä vuoden 2026 talousarvion rahoittamiseen käytettävää jäsenvaltioiden BKTL-pohjaisen omien varojen maksuosuuden kokonaismäärää; korostaa, että rahoitustarpeet ovat edelleen suuret, etenkin EURI-välineen velanhoitokustannusten osalta, ja liikkumavara unionin talousarviossa on edelleen erittäin rajallinen, ja että samalla talousarviossa olisi säilytettävä riittävä joustavuus nykyisen monivuotisen rahoituskehyksen viimeisinä voimassaolovuosina, jotta unioni voi selviytyä odottamattomista tapahtumista; tähdentää, että unionin talousarvion joustavuus on yksi keskeisistä kysymyksistä, joita on käsiteltävä neuvotteluissa monivuotisesta rahoituskehyksestä vuosiksi 2028–2034; </w:t>
      </w:r>
    </w:p>
    <w:p w14:paraId="0B3BD1BA" w14:textId="77777777" w:rsidR="00A70F17" w:rsidRPr="000373FE" w:rsidRDefault="00A70F17" w:rsidP="000F0DA4">
      <w:pPr>
        <w:pStyle w:val="NormalHanging12a"/>
        <w:widowControl/>
      </w:pPr>
      <w:r w:rsidRPr="000373FE">
        <w:t>4.</w:t>
      </w:r>
      <w:r w:rsidRPr="000373FE">
        <w:tab/>
        <w:t>palauttaa mieliin pitkäaikaisen kantansa, jonka mukaan sakoista ja palkkioista saatavat satunnaistulot tai niitä vastaavat määrät olisi käytettävä unionin talousarvion lisätuloina eivätkä ne saisi johtaa siihen, että BKTL-maksuosuuksia supistetaan vastaavasti;</w:t>
      </w:r>
    </w:p>
    <w:p w14:paraId="10E98585" w14:textId="77777777" w:rsidR="00A70F17" w:rsidRPr="000373FE" w:rsidRDefault="00A70F17" w:rsidP="000F0DA4">
      <w:pPr>
        <w:pStyle w:val="NormalHanging12a"/>
        <w:widowControl/>
      </w:pPr>
      <w:r w:rsidRPr="000373FE">
        <w:t>5.</w:t>
      </w:r>
      <w:r w:rsidRPr="000373FE">
        <w:tab/>
        <w:t>panee merkille, että viiden edunsaajajäsenvaltion mukautettujen vuotuisten BKTL</w:t>
      </w:r>
      <w:r w:rsidRPr="000373FE">
        <w:noBreakHyphen/>
        <w:t xml:space="preserve">maksuosuuksien kiinteämääräisten vähennysten nettomääräksi on laskettu noin 5,8 miljardia euroa; korostaa, että nämä alennukset ovat inflaatiosidonnaisia ja että ne ovat siksi kasvaneet suhteessa enemmän kuin monivuotisen rahoituskehyksen enimmäismäärät, joita mukautetaan vuosittain kahden prosentin </w:t>
      </w:r>
      <w:proofErr w:type="spellStart"/>
      <w:r w:rsidRPr="000373FE">
        <w:t>deflaattorin</w:t>
      </w:r>
      <w:proofErr w:type="spellEnd"/>
      <w:r w:rsidRPr="000373FE">
        <w:t xml:space="preserve"> perusteella; korostaa, että tämä poikkeama lisää muiden jäsenvaltioiden taakkaa;</w:t>
      </w:r>
    </w:p>
    <w:p w14:paraId="69B3F497" w14:textId="1EB09735" w:rsidR="00A70F17" w:rsidRPr="000373FE" w:rsidRDefault="00A70F17" w:rsidP="000F0DA4">
      <w:pPr>
        <w:pStyle w:val="NormalHanging12a"/>
        <w:widowControl/>
      </w:pPr>
      <w:r w:rsidRPr="000373FE">
        <w:t>6.</w:t>
      </w:r>
      <w:r w:rsidRPr="000373FE">
        <w:tab/>
        <w:t>panee merkille momentin 425 negatiivisen tuloerän, jonka määrä on 54 miljoonaa euroa, ja suhtautuu myönteisesti tähän menetelmään, jossa talousarvioon otetaan kustannukset, jotka aiheutuvat sovintosopimuksen mukaisesti suoritetuista maksuista ja joihin sisältyy kumottujen tai alennettujen kilpailusakkojen tuomioistuimen asiaa koskevien tuomioiden mukaisesti tehtävään takaisinmaksuun liittyviä hyvitys- ja viivästyskorkoja; muistuttaa, että parlamentti vaati vuonna 2024 varainhoitoasetuksen uudelleenlaatimisesta neuvotellessaan tämän toimintamallin soveltamista, jotta vältetään lisämenojen syntyminen jo ylikuormitettuun otsakkeeseen 7; muistuttaa, että ratkaisun soveltaminen päättyy 31. joulukuuta 2027; kehottaa komissiota ehdottamaan seuraavaa monivuotista rahoituskehystä varten lopullista ratkaisua, jolla saavutetaan sama tavoite eli vältetään talousarvion menopuoleen mahdollisesti kohdistuvat vaikutukset;</w:t>
      </w:r>
    </w:p>
    <w:p w14:paraId="37BB2451" w14:textId="3CC9448A" w:rsidR="00A70F17" w:rsidRPr="000373FE" w:rsidRDefault="00A70F17" w:rsidP="000F0DA4">
      <w:pPr>
        <w:pStyle w:val="NormalHanging12a"/>
        <w:widowControl/>
      </w:pPr>
      <w:r w:rsidRPr="000373FE">
        <w:t>7.</w:t>
      </w:r>
      <w:r w:rsidRPr="000373FE">
        <w:tab/>
        <w:t xml:space="preserve">toistaa pitkäaikaisen kehotuksensa ottaa SEUT 310 artiklan mukaisesti unionin talousarvioon kestäviä, ennakoitavia ja häiriönsietokykyisiä tuloja, joiden olisi vastattava menopuolta sekä unionin strategisia painopisteitä ja yksilöityjä rahoitustarpeita; toistaa </w:t>
      </w:r>
      <w:r w:rsidR="00303B6F" w:rsidRPr="000373FE">
        <w:t xml:space="preserve">olevansa </w:t>
      </w:r>
      <w:r w:rsidRPr="000373FE">
        <w:t xml:space="preserve">lujasti sitoutunut uusien omien varojen käyttöönottoon, jotta voidaan paitsi maksaa takaisin </w:t>
      </w:r>
      <w:proofErr w:type="spellStart"/>
      <w:r w:rsidRPr="000373FE">
        <w:t>NextGenerationEU</w:t>
      </w:r>
      <w:proofErr w:type="spellEnd"/>
      <w:r w:rsidRPr="000373FE">
        <w:t>-välineen velka myös rahoittaa unionin entistä kunnianhimoisempia toimintapolitiikkoja; muistuttaa, että ilman uusia aitoja omia varoja taloudellinen rasite kohdistuu väistämättä jäsenvaltioihin, joiden BKTL-perusteiset maksuosuudet kasvavat; katsoo siksi, että vähintään 60 miljardin euron vuotuisten todellisten uusien tulovirtojen käyttöönotto on olennainen edellytys kunnianhimoiselle monivuotiselle rahoituskehykselle vuosiksi 2028–2034;</w:t>
      </w:r>
    </w:p>
    <w:p w14:paraId="216CFAA3" w14:textId="77777777" w:rsidR="00A70F17" w:rsidRPr="000373FE" w:rsidRDefault="00A70F17" w:rsidP="000F0DA4">
      <w:pPr>
        <w:pStyle w:val="NormalHanging12a"/>
        <w:widowControl/>
      </w:pPr>
      <w:r w:rsidRPr="000373FE">
        <w:t>8.</w:t>
      </w:r>
      <w:r w:rsidRPr="000373FE">
        <w:tab/>
        <w:t>hyväksyy neuvoston kannan esitykseen lisätalousarvioksi nro 1/2026;</w:t>
      </w:r>
    </w:p>
    <w:p w14:paraId="6CD8166E" w14:textId="77777777" w:rsidR="00A70F17" w:rsidRPr="000373FE" w:rsidRDefault="00A70F17" w:rsidP="000F0DA4">
      <w:pPr>
        <w:pStyle w:val="NormalHanging12a"/>
        <w:widowControl/>
      </w:pPr>
      <w:r w:rsidRPr="000373FE">
        <w:t>9.</w:t>
      </w:r>
      <w:r w:rsidRPr="000373FE">
        <w:tab/>
        <w:t xml:space="preserve">kehottaa puhemiestä toteamaan lisätalousarvion nro 1/2026 lopullisesti hyväksytyksi ja huolehtimaan sen julkaisemisesta </w:t>
      </w:r>
      <w:r w:rsidRPr="000373FE">
        <w:rPr>
          <w:i/>
        </w:rPr>
        <w:t>Euroopan unionin virallisessa lehdessä</w:t>
      </w:r>
      <w:r w:rsidRPr="000373FE">
        <w:t>;</w:t>
      </w:r>
    </w:p>
    <w:p w14:paraId="38E16449" w14:textId="07DD665D" w:rsidR="00F039F8" w:rsidRPr="00F039F8" w:rsidRDefault="00A70F17" w:rsidP="000F0DA4">
      <w:pPr>
        <w:pStyle w:val="NormalHanging12a"/>
        <w:widowControl/>
      </w:pPr>
      <w:r w:rsidRPr="000373FE">
        <w:t>10.</w:t>
      </w:r>
      <w:r w:rsidRPr="000373FE">
        <w:tab/>
        <w:t>kehottaa puhemiestä välittämään tämän päätöslauselman neuvostolle ja komissiolle, asianomaisille muille toimielimille ja elimille sekä kansallisille parlamenteille.</w:t>
      </w:r>
    </w:p>
    <w:sectPr w:rsidR="00F039F8" w:rsidRPr="00F039F8" w:rsidSect="00F039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5B4BC" w14:textId="77777777" w:rsidR="00C2183C" w:rsidRPr="00F039F8" w:rsidRDefault="00C2183C">
      <w:r w:rsidRPr="00F039F8">
        <w:separator/>
      </w:r>
    </w:p>
  </w:endnote>
  <w:endnote w:type="continuationSeparator" w:id="0">
    <w:p w14:paraId="5E2B8C62" w14:textId="77777777" w:rsidR="00C2183C" w:rsidRPr="00F039F8" w:rsidRDefault="00C2183C">
      <w:r w:rsidRPr="00F039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B7CD7" w14:textId="77777777" w:rsidR="00C2183C" w:rsidRPr="00F039F8" w:rsidRDefault="00C2183C">
      <w:r w:rsidRPr="00F039F8">
        <w:separator/>
      </w:r>
    </w:p>
  </w:footnote>
  <w:footnote w:type="continuationSeparator" w:id="0">
    <w:p w14:paraId="73F150D1" w14:textId="77777777" w:rsidR="00C2183C" w:rsidRPr="00F039F8" w:rsidRDefault="00C2183C">
      <w:r w:rsidRPr="00F039F8">
        <w:continuationSeparator/>
      </w:r>
    </w:p>
  </w:footnote>
  <w:footnote w:id="1">
    <w:p w14:paraId="251691A6" w14:textId="28F9EF33" w:rsidR="00A70F17" w:rsidRPr="00F039F8" w:rsidRDefault="00A70F17" w:rsidP="000F0DA4">
      <w:pPr>
        <w:pStyle w:val="FootnoteText"/>
        <w:keepLines w:val="0"/>
        <w:ind w:left="567" w:hanging="567"/>
        <w:rPr>
          <w:sz w:val="24"/>
          <w:lang w:val="fi-FI"/>
        </w:rPr>
      </w:pPr>
      <w:r w:rsidRPr="00F039F8">
        <w:rPr>
          <w:rStyle w:val="FootnoteReference"/>
          <w:sz w:val="24"/>
          <w:lang w:val="fi-FI"/>
        </w:rPr>
        <w:footnoteRef/>
      </w:r>
      <w:r w:rsidR="00F039F8" w:rsidRPr="00F039F8">
        <w:rPr>
          <w:sz w:val="24"/>
          <w:lang w:val="fi-FI"/>
        </w:rPr>
        <w:t xml:space="preserve"> </w:t>
      </w:r>
      <w:r w:rsidR="00F039F8" w:rsidRPr="00F039F8">
        <w:rPr>
          <w:sz w:val="24"/>
          <w:lang w:val="fi-FI"/>
        </w:rPr>
        <w:tab/>
      </w:r>
      <w:r w:rsidRPr="00F039F8">
        <w:rPr>
          <w:sz w:val="24"/>
          <w:lang w:val="fi-FI"/>
        </w:rPr>
        <w:t xml:space="preserve">EUVL L, 2024/2509, 26.9.2024, ELI: </w:t>
      </w:r>
      <w:hyperlink r:id="rId1" w:tooltip="http://data.europa.eu/eli/reg/2024/2509/oj" w:history="1">
        <w:r w:rsidRPr="00F039F8">
          <w:rPr>
            <w:rStyle w:val="Hyperlink"/>
            <w:sz w:val="24"/>
            <w:lang w:val="fi-FI"/>
          </w:rPr>
          <w:t>http://data.europa.eu/eli/reg/2024/2509/oj</w:t>
        </w:r>
      </w:hyperlink>
      <w:r w:rsidRPr="00F039F8">
        <w:rPr>
          <w:sz w:val="24"/>
          <w:lang w:val="fi-FI"/>
        </w:rPr>
        <w:t>.</w:t>
      </w:r>
    </w:p>
  </w:footnote>
  <w:footnote w:id="2">
    <w:p w14:paraId="6DDE5D1A" w14:textId="7A2D8BA7" w:rsidR="00A70F17" w:rsidRPr="00F039F8" w:rsidRDefault="00A70F17" w:rsidP="000F0DA4">
      <w:pPr>
        <w:pStyle w:val="FootnoteText"/>
        <w:keepLines w:val="0"/>
        <w:ind w:left="567" w:hanging="567"/>
        <w:rPr>
          <w:sz w:val="24"/>
          <w:lang w:val="fi-FI"/>
        </w:rPr>
      </w:pPr>
      <w:r w:rsidRPr="00F039F8">
        <w:rPr>
          <w:rStyle w:val="FootnoteReference"/>
          <w:sz w:val="24"/>
          <w:lang w:val="fi-FI"/>
        </w:rPr>
        <w:footnoteRef/>
      </w:r>
      <w:r w:rsidR="00F039F8" w:rsidRPr="00F039F8">
        <w:rPr>
          <w:sz w:val="24"/>
          <w:lang w:val="fi-FI"/>
        </w:rPr>
        <w:t xml:space="preserve"> </w:t>
      </w:r>
      <w:r w:rsidR="00F039F8" w:rsidRPr="00F039F8">
        <w:rPr>
          <w:sz w:val="24"/>
          <w:lang w:val="fi-FI"/>
        </w:rPr>
        <w:tab/>
      </w:r>
      <w:r w:rsidRPr="00F039F8">
        <w:rPr>
          <w:sz w:val="24"/>
          <w:lang w:val="fi-FI"/>
        </w:rPr>
        <w:t xml:space="preserve">EUVL L, 2026/72, 26.2.2026, ELI: </w:t>
      </w:r>
      <w:r>
        <w:fldChar w:fldCharType="begin"/>
      </w:r>
      <w:r w:rsidRPr="00CF1756">
        <w:rPr>
          <w:lang w:val="fi-FI"/>
        </w:rPr>
        <w:instrText>HYPERLINK "http://data.europa.eu/eli/budget/2026/72/oj"</w:instrText>
      </w:r>
      <w:r>
        <w:fldChar w:fldCharType="separate"/>
      </w:r>
      <w:r w:rsidRPr="00F039F8">
        <w:rPr>
          <w:rStyle w:val="Hyperlink"/>
          <w:sz w:val="24"/>
          <w:lang w:val="fi-FI"/>
        </w:rPr>
        <w:t>http://data.europa.eu/eli/budget/2026/72/oj</w:t>
      </w:r>
      <w:r>
        <w:fldChar w:fldCharType="end"/>
      </w:r>
      <w:r w:rsidRPr="00F039F8">
        <w:rPr>
          <w:sz w:val="24"/>
          <w:lang w:val="fi-FI"/>
        </w:rPr>
        <w:t>.</w:t>
      </w:r>
    </w:p>
  </w:footnote>
  <w:footnote w:id="3">
    <w:p w14:paraId="06A69972" w14:textId="5C976C89" w:rsidR="00A70F17" w:rsidRPr="00F039F8" w:rsidRDefault="00A70F17" w:rsidP="000F0DA4">
      <w:pPr>
        <w:pStyle w:val="FootnoteText"/>
        <w:keepLines w:val="0"/>
        <w:ind w:left="567" w:hanging="567"/>
        <w:rPr>
          <w:sz w:val="24"/>
          <w:lang w:val="fi-FI"/>
        </w:rPr>
      </w:pPr>
      <w:r w:rsidRPr="00F039F8">
        <w:rPr>
          <w:rStyle w:val="FootnoteReference"/>
          <w:sz w:val="24"/>
          <w:lang w:val="fi-FI"/>
        </w:rPr>
        <w:footnoteRef/>
      </w:r>
      <w:r w:rsidR="00F039F8" w:rsidRPr="00F039F8">
        <w:rPr>
          <w:sz w:val="24"/>
          <w:lang w:val="fi-FI"/>
        </w:rPr>
        <w:t xml:space="preserve"> </w:t>
      </w:r>
      <w:r w:rsidR="00F039F8" w:rsidRPr="00F039F8">
        <w:rPr>
          <w:sz w:val="24"/>
          <w:lang w:val="fi-FI"/>
        </w:rPr>
        <w:tab/>
      </w:r>
      <w:r w:rsidRPr="00F039F8">
        <w:rPr>
          <w:sz w:val="24"/>
          <w:lang w:val="fi-FI"/>
        </w:rPr>
        <w:t xml:space="preserve">EUVL L 433 I, 22.12.2020, s. 11, ELI: </w:t>
      </w:r>
      <w:r>
        <w:fldChar w:fldCharType="begin"/>
      </w:r>
      <w:r w:rsidRPr="00CF1756">
        <w:rPr>
          <w:lang w:val="fi-FI"/>
        </w:rPr>
        <w:instrText>HYPERLINK "http://data.europa.eu/eli/reg/2020/2093/oj"</w:instrText>
      </w:r>
      <w:r>
        <w:fldChar w:fldCharType="separate"/>
      </w:r>
      <w:r w:rsidRPr="00F039F8">
        <w:rPr>
          <w:rStyle w:val="Hyperlink"/>
          <w:sz w:val="24"/>
          <w:lang w:val="fi-FI"/>
        </w:rPr>
        <w:t>http://data.europa.eu/eli/reg/2020/2093/oj</w:t>
      </w:r>
      <w:r>
        <w:fldChar w:fldCharType="end"/>
      </w:r>
      <w:r w:rsidRPr="00F039F8">
        <w:rPr>
          <w:sz w:val="24"/>
          <w:lang w:val="fi-FI"/>
        </w:rPr>
        <w:t>.</w:t>
      </w:r>
    </w:p>
  </w:footnote>
  <w:footnote w:id="4">
    <w:p w14:paraId="40596C93" w14:textId="0085EA98" w:rsidR="00A70F17" w:rsidRPr="00F039F8" w:rsidRDefault="00A70F17" w:rsidP="000F0DA4">
      <w:pPr>
        <w:pStyle w:val="FootnoteText"/>
        <w:keepLines w:val="0"/>
        <w:ind w:left="567" w:hanging="567"/>
        <w:rPr>
          <w:sz w:val="24"/>
          <w:lang w:val="fi-FI"/>
        </w:rPr>
      </w:pPr>
      <w:r w:rsidRPr="00F039F8">
        <w:rPr>
          <w:rStyle w:val="FootnoteReference"/>
          <w:sz w:val="24"/>
          <w:lang w:val="fi-FI"/>
        </w:rPr>
        <w:footnoteRef/>
      </w:r>
      <w:r w:rsidR="00F039F8" w:rsidRPr="00F039F8">
        <w:rPr>
          <w:sz w:val="24"/>
          <w:lang w:val="fi-FI"/>
        </w:rPr>
        <w:t xml:space="preserve"> </w:t>
      </w:r>
      <w:r w:rsidR="00F039F8" w:rsidRPr="00F039F8">
        <w:rPr>
          <w:sz w:val="24"/>
          <w:lang w:val="fi-FI"/>
        </w:rPr>
        <w:tab/>
      </w:r>
      <w:r w:rsidRPr="00F039F8">
        <w:rPr>
          <w:sz w:val="24"/>
          <w:lang w:val="fi-FI"/>
        </w:rPr>
        <w:t xml:space="preserve">EUVL L, 2024/765, 29.2.2024, ELI: </w:t>
      </w:r>
      <w:r>
        <w:fldChar w:fldCharType="begin"/>
      </w:r>
      <w:r w:rsidRPr="00CF1756">
        <w:rPr>
          <w:lang w:val="fi-FI"/>
        </w:rPr>
        <w:instrText>HYPERLINK "http://data.europa.eu/eli/reg/2024/765/oj"</w:instrText>
      </w:r>
      <w:r>
        <w:fldChar w:fldCharType="separate"/>
      </w:r>
      <w:r w:rsidRPr="00F039F8">
        <w:rPr>
          <w:rStyle w:val="Hyperlink"/>
          <w:sz w:val="24"/>
          <w:lang w:val="fi-FI"/>
        </w:rPr>
        <w:t>http://data.europa.eu/eli/reg/2024/765/oj</w:t>
      </w:r>
      <w:r>
        <w:fldChar w:fldCharType="end"/>
      </w:r>
      <w:r w:rsidRPr="00F039F8">
        <w:rPr>
          <w:sz w:val="24"/>
          <w:lang w:val="fi-FI"/>
        </w:rPr>
        <w:t>.</w:t>
      </w:r>
    </w:p>
  </w:footnote>
  <w:footnote w:id="5">
    <w:p w14:paraId="41A72C27" w14:textId="151F4C18" w:rsidR="00A70F17" w:rsidRPr="00F039F8" w:rsidRDefault="00A70F17" w:rsidP="000F0DA4">
      <w:pPr>
        <w:pStyle w:val="FootnoteText"/>
        <w:keepLines w:val="0"/>
        <w:ind w:left="567" w:hanging="567"/>
        <w:rPr>
          <w:sz w:val="24"/>
          <w:lang w:val="fi-FI"/>
        </w:rPr>
      </w:pPr>
      <w:r w:rsidRPr="00F039F8">
        <w:rPr>
          <w:rStyle w:val="FootnoteReference"/>
          <w:sz w:val="24"/>
          <w:lang w:val="fi-FI"/>
        </w:rPr>
        <w:footnoteRef/>
      </w:r>
      <w:r w:rsidR="00F039F8" w:rsidRPr="00F039F8">
        <w:rPr>
          <w:sz w:val="24"/>
          <w:lang w:val="fi-FI"/>
        </w:rPr>
        <w:t xml:space="preserve"> </w:t>
      </w:r>
      <w:r w:rsidR="00F039F8" w:rsidRPr="00F039F8">
        <w:rPr>
          <w:sz w:val="24"/>
          <w:lang w:val="fi-FI"/>
        </w:rPr>
        <w:tab/>
      </w:r>
      <w:r w:rsidRPr="00F039F8">
        <w:rPr>
          <w:sz w:val="24"/>
          <w:lang w:val="fi-FI"/>
        </w:rPr>
        <w:t xml:space="preserve">EUVL L 433 I, 22.12.2020, s. 28, ELI: </w:t>
      </w:r>
      <w:r>
        <w:fldChar w:fldCharType="begin"/>
      </w:r>
      <w:r w:rsidRPr="00CF1756">
        <w:rPr>
          <w:lang w:val="fi-FI"/>
        </w:rPr>
        <w:instrText>HYPERLINK "http://data.europa.eu/eli/agree_interinstit/2020/1222/oj"</w:instrText>
      </w:r>
      <w:r>
        <w:fldChar w:fldCharType="separate"/>
      </w:r>
      <w:r w:rsidRPr="00F039F8">
        <w:rPr>
          <w:rStyle w:val="Hyperlink"/>
          <w:sz w:val="24"/>
          <w:lang w:val="fi-FI"/>
        </w:rPr>
        <w:t>http://data.europa.eu/eli/agree_interinstit/2020/1222/oj</w:t>
      </w:r>
      <w:r>
        <w:fldChar w:fldCharType="end"/>
      </w:r>
    </w:p>
  </w:footnote>
  <w:footnote w:id="6">
    <w:p w14:paraId="4555AB76" w14:textId="41D5324E" w:rsidR="00A70F17" w:rsidRPr="00F039F8" w:rsidRDefault="00A70F17" w:rsidP="000F0DA4">
      <w:pPr>
        <w:pStyle w:val="FootnoteText"/>
        <w:keepLines w:val="0"/>
        <w:ind w:left="567" w:hanging="567"/>
        <w:rPr>
          <w:sz w:val="24"/>
          <w:lang w:val="fi-FI"/>
        </w:rPr>
      </w:pPr>
      <w:r w:rsidRPr="00F039F8">
        <w:rPr>
          <w:rStyle w:val="FootnoteReference"/>
          <w:sz w:val="24"/>
          <w:lang w:val="fi-FI"/>
        </w:rPr>
        <w:footnoteRef/>
      </w:r>
      <w:r w:rsidR="00F039F8" w:rsidRPr="00F039F8">
        <w:rPr>
          <w:sz w:val="24"/>
          <w:lang w:val="fi-FI"/>
        </w:rPr>
        <w:t xml:space="preserve"> </w:t>
      </w:r>
      <w:r w:rsidR="00F039F8" w:rsidRPr="00F039F8">
        <w:rPr>
          <w:sz w:val="24"/>
          <w:lang w:val="fi-FI"/>
        </w:rPr>
        <w:tab/>
      </w:r>
      <w:r w:rsidRPr="00F039F8">
        <w:rPr>
          <w:sz w:val="24"/>
          <w:lang w:val="fi-FI"/>
        </w:rPr>
        <w:t xml:space="preserve">EUVL L 424, 15.12.2020, s. 1, ELI: </w:t>
      </w:r>
      <w:r>
        <w:fldChar w:fldCharType="begin"/>
      </w:r>
      <w:r w:rsidRPr="00CF1756">
        <w:rPr>
          <w:lang w:val="fi-FI"/>
        </w:rPr>
        <w:instrText>HYPERLINK "http://data.europa.eu/eli/dec/2020/2053/oj"</w:instrText>
      </w:r>
      <w:r>
        <w:fldChar w:fldCharType="separate"/>
      </w:r>
      <w:r w:rsidRPr="00F039F8">
        <w:rPr>
          <w:rStyle w:val="Hyperlink"/>
          <w:sz w:val="24"/>
          <w:lang w:val="fi-FI"/>
        </w:rPr>
        <w:t>http://data.europa.eu/eli/dec/2020/2053/oj</w:t>
      </w:r>
      <w:r>
        <w:fldChar w:fldCharType="end"/>
      </w:r>
      <w:r w:rsidRPr="00F039F8">
        <w:rPr>
          <w:sz w:val="24"/>
          <w:lang w:val="fi-FI"/>
        </w:rPr>
        <w:t>.</w:t>
      </w:r>
    </w:p>
  </w:footnote>
  <w:footnote w:id="7">
    <w:p w14:paraId="029F98CD" w14:textId="79834E24" w:rsidR="00A70F17" w:rsidRPr="00F039F8" w:rsidRDefault="00A70F17" w:rsidP="000F0DA4">
      <w:pPr>
        <w:pStyle w:val="FootnoteText"/>
        <w:keepLines w:val="0"/>
        <w:ind w:left="567" w:hanging="567"/>
        <w:rPr>
          <w:sz w:val="24"/>
          <w:lang w:val="fi-FI"/>
        </w:rPr>
      </w:pPr>
      <w:r w:rsidRPr="00F039F8">
        <w:rPr>
          <w:rStyle w:val="FootnoteReference"/>
          <w:sz w:val="24"/>
          <w:lang w:val="fi-FI"/>
        </w:rPr>
        <w:footnoteRef/>
      </w:r>
      <w:r w:rsidR="00F039F8" w:rsidRPr="00F039F8">
        <w:rPr>
          <w:sz w:val="24"/>
          <w:lang w:val="fi-FI"/>
        </w:rPr>
        <w:t xml:space="preserve"> </w:t>
      </w:r>
      <w:r w:rsidR="00F039F8" w:rsidRPr="00F039F8">
        <w:rPr>
          <w:sz w:val="24"/>
          <w:lang w:val="fi-FI"/>
        </w:rPr>
        <w:tab/>
      </w:r>
      <w:r w:rsidRPr="00F039F8">
        <w:rPr>
          <w:sz w:val="24"/>
          <w:lang w:val="fi-FI"/>
        </w:rPr>
        <w:t xml:space="preserve">Hyväksytyt tekstit, </w:t>
      </w:r>
      <w:hyperlink r:id="rId2" w:history="1">
        <w:r w:rsidRPr="00F039F8">
          <w:rPr>
            <w:rStyle w:val="Hyperlink"/>
            <w:sz w:val="24"/>
            <w:lang w:val="fi-FI"/>
          </w:rPr>
          <w:t>P10_TA(2026)0111</w:t>
        </w:r>
      </w:hyperlink>
      <w:r w:rsidRPr="00F039F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9915629">
    <w:abstractNumId w:val="9"/>
  </w:num>
  <w:num w:numId="2" w16cid:durableId="892934807">
    <w:abstractNumId w:val="9"/>
  </w:num>
  <w:num w:numId="3" w16cid:durableId="1270968885">
    <w:abstractNumId w:val="7"/>
  </w:num>
  <w:num w:numId="4" w16cid:durableId="295837224">
    <w:abstractNumId w:val="7"/>
  </w:num>
  <w:num w:numId="5" w16cid:durableId="1480728073">
    <w:abstractNumId w:val="6"/>
  </w:num>
  <w:num w:numId="6" w16cid:durableId="1195927500">
    <w:abstractNumId w:val="6"/>
  </w:num>
  <w:num w:numId="7" w16cid:durableId="878007045">
    <w:abstractNumId w:val="5"/>
  </w:num>
  <w:num w:numId="8" w16cid:durableId="916861482">
    <w:abstractNumId w:val="5"/>
  </w:num>
  <w:num w:numId="9" w16cid:durableId="1354114187">
    <w:abstractNumId w:val="4"/>
  </w:num>
  <w:num w:numId="10" w16cid:durableId="232399941">
    <w:abstractNumId w:val="4"/>
  </w:num>
  <w:num w:numId="11" w16cid:durableId="347876933">
    <w:abstractNumId w:val="8"/>
  </w:num>
  <w:num w:numId="12" w16cid:durableId="1430539670">
    <w:abstractNumId w:val="8"/>
  </w:num>
  <w:num w:numId="13" w16cid:durableId="268511330">
    <w:abstractNumId w:val="3"/>
  </w:num>
  <w:num w:numId="14" w16cid:durableId="517737484">
    <w:abstractNumId w:val="3"/>
  </w:num>
  <w:num w:numId="15" w16cid:durableId="1281641986">
    <w:abstractNumId w:val="2"/>
  </w:num>
  <w:num w:numId="16" w16cid:durableId="1218735680">
    <w:abstractNumId w:val="2"/>
  </w:num>
  <w:num w:numId="17" w16cid:durableId="1636983954">
    <w:abstractNumId w:val="1"/>
  </w:num>
  <w:num w:numId="18" w16cid:durableId="53705461">
    <w:abstractNumId w:val="1"/>
  </w:num>
  <w:num w:numId="19" w16cid:durableId="481703214">
    <w:abstractNumId w:val="0"/>
  </w:num>
  <w:num w:numId="20" w16cid:durableId="1389379790">
    <w:abstractNumId w:val="0"/>
  </w:num>
  <w:num w:numId="21" w16cid:durableId="896285977">
    <w:abstractNumId w:val="9"/>
  </w:num>
  <w:num w:numId="22" w16cid:durableId="1083182757">
    <w:abstractNumId w:val="7"/>
  </w:num>
  <w:num w:numId="23" w16cid:durableId="1939095779">
    <w:abstractNumId w:val="6"/>
  </w:num>
  <w:num w:numId="24" w16cid:durableId="1907260759">
    <w:abstractNumId w:val="5"/>
  </w:num>
  <w:num w:numId="25" w16cid:durableId="1099330999">
    <w:abstractNumId w:val="4"/>
  </w:num>
  <w:num w:numId="26" w16cid:durableId="96799717">
    <w:abstractNumId w:val="8"/>
  </w:num>
  <w:num w:numId="27" w16cid:durableId="564414775">
    <w:abstractNumId w:val="3"/>
  </w:num>
  <w:num w:numId="28" w16cid:durableId="1846165399">
    <w:abstractNumId w:val="2"/>
  </w:num>
  <w:num w:numId="29" w16cid:durableId="1227186701">
    <w:abstractNumId w:val="1"/>
  </w:num>
  <w:num w:numId="30" w16cid:durableId="1106581019">
    <w:abstractNumId w:val="0"/>
  </w:num>
  <w:num w:numId="31" w16cid:durableId="374087188">
    <w:abstractNumId w:val="9"/>
  </w:num>
  <w:num w:numId="32" w16cid:durableId="1612126119">
    <w:abstractNumId w:val="7"/>
  </w:num>
  <w:num w:numId="33" w16cid:durableId="1920554428">
    <w:abstractNumId w:val="6"/>
  </w:num>
  <w:num w:numId="34" w16cid:durableId="1219394485">
    <w:abstractNumId w:val="5"/>
  </w:num>
  <w:num w:numId="35" w16cid:durableId="211507751">
    <w:abstractNumId w:val="4"/>
  </w:num>
  <w:num w:numId="36" w16cid:durableId="229076256">
    <w:abstractNumId w:val="8"/>
  </w:num>
  <w:num w:numId="37" w16cid:durableId="1622111193">
    <w:abstractNumId w:val="3"/>
  </w:num>
  <w:num w:numId="38" w16cid:durableId="1834367042">
    <w:abstractNumId w:val="2"/>
  </w:num>
  <w:num w:numId="39" w16cid:durableId="1916621234">
    <w:abstractNumId w:val="1"/>
  </w:num>
  <w:num w:numId="40" w16cid:durableId="1042707848">
    <w:abstractNumId w:val="0"/>
  </w:num>
  <w:num w:numId="41" w16cid:durableId="1735350682">
    <w:abstractNumId w:val="10"/>
  </w:num>
  <w:num w:numId="42" w16cid:durableId="2092116541">
    <w:abstractNumId w:val="10"/>
  </w:num>
  <w:num w:numId="43" w16cid:durableId="313919926">
    <w:abstractNumId w:val="10"/>
  </w:num>
  <w:num w:numId="44" w16cid:durableId="1865172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FI"/>
    <w:docVar w:name="dvnumam" w:val="0"/>
    <w:docVar w:name="dvpe" w:val="787.947"/>
    <w:docVar w:name="dvrapporteur" w:val="Esittelijä: "/>
    <w:docVar w:name="dvtitre" w:val="Euroopan parlamentin lainsäädäntöpäätöslauselma xx. xxxkuuta 2026 neuvoston kannasta esitykseen Euroopan unionin lisätalousarvioksi nro 1/2026 varainhoitovuodeksi 2026 – varainhoitovuoden 2025 ylijäämän ottaminen talousarvioon(09919/2026 – C10-0145/2026 – 2026/0090(BUD))"/>
  </w:docVars>
  <w:rsids>
    <w:rsidRoot w:val="00C2183C"/>
    <w:rsid w:val="00002272"/>
    <w:rsid w:val="000373FE"/>
    <w:rsid w:val="00064002"/>
    <w:rsid w:val="000677B9"/>
    <w:rsid w:val="000831BA"/>
    <w:rsid w:val="000A42CC"/>
    <w:rsid w:val="000D69FE"/>
    <w:rsid w:val="000E7DD9"/>
    <w:rsid w:val="000F0DA4"/>
    <w:rsid w:val="0010095E"/>
    <w:rsid w:val="00125B37"/>
    <w:rsid w:val="00187494"/>
    <w:rsid w:val="001F32AE"/>
    <w:rsid w:val="002767FF"/>
    <w:rsid w:val="002B18FE"/>
    <w:rsid w:val="002B5493"/>
    <w:rsid w:val="00303B6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F17"/>
    <w:rsid w:val="00A778C7"/>
    <w:rsid w:val="00AB441E"/>
    <w:rsid w:val="00AB6293"/>
    <w:rsid w:val="00AE0928"/>
    <w:rsid w:val="00AF3B82"/>
    <w:rsid w:val="00B12E95"/>
    <w:rsid w:val="00B22876"/>
    <w:rsid w:val="00B558F0"/>
    <w:rsid w:val="00BD48FE"/>
    <w:rsid w:val="00BD7BD8"/>
    <w:rsid w:val="00BE6ADC"/>
    <w:rsid w:val="00C05BFE"/>
    <w:rsid w:val="00C2183C"/>
    <w:rsid w:val="00C23CD4"/>
    <w:rsid w:val="00C61C0C"/>
    <w:rsid w:val="00C941CB"/>
    <w:rsid w:val="00CC2357"/>
    <w:rsid w:val="00CC5189"/>
    <w:rsid w:val="00CF071A"/>
    <w:rsid w:val="00CF1756"/>
    <w:rsid w:val="00D058B8"/>
    <w:rsid w:val="00D56C11"/>
    <w:rsid w:val="00D834A0"/>
    <w:rsid w:val="00D872DF"/>
    <w:rsid w:val="00D91E21"/>
    <w:rsid w:val="00DA7FCD"/>
    <w:rsid w:val="00E365E1"/>
    <w:rsid w:val="00E820A4"/>
    <w:rsid w:val="00EB006A"/>
    <w:rsid w:val="00EB4772"/>
    <w:rsid w:val="00ED169E"/>
    <w:rsid w:val="00ED4235"/>
    <w:rsid w:val="00F039F8"/>
    <w:rsid w:val="00F04346"/>
    <w:rsid w:val="00F075DC"/>
    <w:rsid w:val="00F149E9"/>
    <w:rsid w:val="00F373AD"/>
    <w:rsid w:val="00F5134D"/>
    <w:rsid w:val="00F72D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AC72B"/>
  <w15:chartTrackingRefBased/>
  <w15:docId w15:val="{DB4B2CFC-3C33-48D5-AE3D-D6595D05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0F17"/>
    <w:pPr>
      <w:spacing w:before="480" w:after="240"/>
    </w:pPr>
  </w:style>
  <w:style w:type="paragraph" w:customStyle="1" w:styleId="NormalHanging12a">
    <w:name w:val="NormalHanging12a"/>
    <w:basedOn w:val="Normal"/>
    <w:rsid w:val="00A70F17"/>
    <w:pPr>
      <w:spacing w:after="240"/>
      <w:ind w:left="567" w:hanging="567"/>
    </w:pPr>
  </w:style>
  <w:style w:type="character" w:styleId="Hyperlink">
    <w:name w:val="Hyperlink"/>
    <w:basedOn w:val="DefaultParagraphFont"/>
    <w:rsid w:val="00A70F17"/>
    <w:rPr>
      <w:color w:val="0563C1" w:themeColor="hyperlink"/>
      <w:u w:val="single"/>
    </w:rPr>
  </w:style>
  <w:style w:type="paragraph" w:styleId="Revision">
    <w:name w:val="Revision"/>
    <w:hidden/>
    <w:uiPriority w:val="99"/>
    <w:semiHidden/>
    <w:rsid w:val="000F0DA4"/>
    <w:rPr>
      <w:sz w:val="24"/>
      <w:lang w:val="fi-FI"/>
    </w:rPr>
  </w:style>
  <w:style w:type="character" w:styleId="CommentReference">
    <w:name w:val="annotation reference"/>
    <w:basedOn w:val="DefaultParagraphFont"/>
    <w:rsid w:val="000F0DA4"/>
    <w:rPr>
      <w:sz w:val="16"/>
      <w:szCs w:val="16"/>
    </w:rPr>
  </w:style>
  <w:style w:type="paragraph" w:styleId="CommentText">
    <w:name w:val="annotation text"/>
    <w:basedOn w:val="Normal"/>
    <w:link w:val="CommentTextChar"/>
    <w:rsid w:val="000F0DA4"/>
    <w:rPr>
      <w:sz w:val="20"/>
    </w:rPr>
  </w:style>
  <w:style w:type="character" w:customStyle="1" w:styleId="CommentTextChar">
    <w:name w:val="Comment Text Char"/>
    <w:basedOn w:val="DefaultParagraphFont"/>
    <w:link w:val="CommentText"/>
    <w:rsid w:val="000F0DA4"/>
    <w:rPr>
      <w:lang w:val="fi-FI"/>
    </w:rPr>
  </w:style>
  <w:style w:type="paragraph" w:styleId="CommentSubject">
    <w:name w:val="annotation subject"/>
    <w:basedOn w:val="CommentText"/>
    <w:next w:val="CommentText"/>
    <w:link w:val="CommentSubjectChar"/>
    <w:rsid w:val="000F0DA4"/>
    <w:rPr>
      <w:b/>
      <w:bCs/>
    </w:rPr>
  </w:style>
  <w:style w:type="character" w:customStyle="1" w:styleId="CommentSubjectChar">
    <w:name w:val="Comment Subject Char"/>
    <w:basedOn w:val="CommentTextChar"/>
    <w:link w:val="CommentSubject"/>
    <w:rsid w:val="000F0DA4"/>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doceo/document/TA-10-2026-0111_FI.html"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803</Words>
  <Characters>6827</Characters>
  <Application>Microsoft Office Word</Application>
  <DocSecurity>0</DocSecurity>
  <Lines>103</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2026-07-07T11:44:00Z</dcterms:created>
  <dcterms:modified xsi:type="dcterms:W3CDTF">2026-07-07T11:44:00Z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A10-0180/2026</vt:lpwstr>
  </property>
  <property fmtid="{D5CDD505-2E9C-101B-9397-08002B2CF9AE}" pid="4" name="&lt;Type&gt;">
    <vt:lpwstr>RR</vt:lpwstr>
  </property>
</Properties>
</file>