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0450" w14:paraId="51FED5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30444B" w14:textId="77777777" w:rsidR="00751A4A" w:rsidRPr="00EA0450" w:rsidRDefault="00783E69" w:rsidP="0010095E">
            <w:pPr>
              <w:pStyle w:val="EPName"/>
            </w:pPr>
            <w:r w:rsidRPr="00EA0450">
              <w:t>Európai Parlament</w:t>
            </w:r>
          </w:p>
          <w:p w14:paraId="38B8CB03" w14:textId="77777777" w:rsidR="00751A4A" w:rsidRPr="00EA04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0450">
              <w:t>2024</w:t>
            </w:r>
            <w:r w:rsidR="00817416" w:rsidRPr="00EA0450">
              <w:t>-202</w:t>
            </w:r>
            <w:r w:rsidRPr="00EA0450">
              <w:t>9</w:t>
            </w:r>
          </w:p>
        </w:tc>
        <w:tc>
          <w:tcPr>
            <w:tcW w:w="2268" w:type="dxa"/>
            <w:shd w:val="clear" w:color="auto" w:fill="auto"/>
          </w:tcPr>
          <w:p w14:paraId="2450FCCC" w14:textId="77777777" w:rsidR="00751A4A" w:rsidRPr="00EA0450" w:rsidRDefault="00187494" w:rsidP="0010095E">
            <w:pPr>
              <w:pStyle w:val="EPLogo"/>
            </w:pPr>
            <w:r w:rsidRPr="00EA0450">
              <w:rPr>
                <w:noProof/>
                <w:lang w:eastAsia="ja-JP"/>
              </w:rPr>
              <w:drawing>
                <wp:inline distT="0" distB="0" distL="0" distR="0" wp14:anchorId="7252ECE1" wp14:editId="72566A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4812D4" w14:textId="77777777" w:rsidR="00D058B8" w:rsidRPr="00EA0450" w:rsidRDefault="00D058B8" w:rsidP="004C5D52">
      <w:pPr>
        <w:pStyle w:val="LineTop"/>
      </w:pPr>
    </w:p>
    <w:p w14:paraId="40071E4A" w14:textId="77777777" w:rsidR="00680577" w:rsidRPr="00EA0450" w:rsidRDefault="00783E69" w:rsidP="00680577">
      <w:pPr>
        <w:pStyle w:val="EPBodyTA1"/>
      </w:pPr>
      <w:r w:rsidRPr="00EA0450">
        <w:t>ELFOGADOTT SZÖVEGEK</w:t>
      </w:r>
    </w:p>
    <w:p w14:paraId="6C21DD77" w14:textId="77777777" w:rsidR="00D058B8" w:rsidRPr="00EA0450" w:rsidRDefault="00D058B8" w:rsidP="00D058B8">
      <w:pPr>
        <w:pStyle w:val="LineBottom"/>
      </w:pPr>
    </w:p>
    <w:p w14:paraId="6A39FD3D" w14:textId="5835561F" w:rsidR="00783E69" w:rsidRPr="00EA0450" w:rsidRDefault="00783E69" w:rsidP="00783E69">
      <w:pPr>
        <w:pStyle w:val="ATHeading1"/>
      </w:pPr>
      <w:bookmarkStart w:id="0" w:name="TANumber"/>
      <w:r w:rsidRPr="00EA0450">
        <w:t>P10_</w:t>
      </w:r>
      <w:proofErr w:type="gramStart"/>
      <w:r w:rsidRPr="00EA0450">
        <w:t>TA(</w:t>
      </w:r>
      <w:proofErr w:type="gramEnd"/>
      <w:r w:rsidRPr="00EA0450">
        <w:t>2026)0</w:t>
      </w:r>
      <w:r w:rsidR="00EA0450">
        <w:t>242</w:t>
      </w:r>
      <w:bookmarkEnd w:id="0"/>
    </w:p>
    <w:p w14:paraId="4DB4F349" w14:textId="77777777" w:rsidR="00783E69" w:rsidRPr="00EA0450" w:rsidRDefault="00783E69" w:rsidP="00783E69">
      <w:pPr>
        <w:pStyle w:val="ATHeading2"/>
      </w:pPr>
      <w:bookmarkStart w:id="1" w:name="title"/>
      <w:r w:rsidRPr="00EA0450">
        <w:t>1/2026. sz. költségvetésmódosítás-tervezet: a 2025. évi pénzügyi év többletének beállítása a költségvetésbe</w:t>
      </w:r>
      <w:bookmarkEnd w:id="1"/>
    </w:p>
    <w:p w14:paraId="31E62777" w14:textId="77777777" w:rsidR="00783E69" w:rsidRPr="00EA0450" w:rsidRDefault="00783E69" w:rsidP="00783E69">
      <w:pPr>
        <w:rPr>
          <w:i/>
          <w:vanish/>
        </w:rPr>
      </w:pPr>
      <w:r w:rsidRPr="00EA0450">
        <w:rPr>
          <w:i/>
        </w:rPr>
        <w:fldChar w:fldCharType="begin"/>
      </w:r>
      <w:r w:rsidRPr="00EA0450">
        <w:rPr>
          <w:i/>
        </w:rPr>
        <w:instrText xml:space="preserve"> TC"(</w:instrText>
      </w:r>
      <w:bookmarkStart w:id="2" w:name="DocNumber"/>
      <w:r w:rsidRPr="00EA0450">
        <w:rPr>
          <w:i/>
        </w:rPr>
        <w:instrText>A10-0180/2026</w:instrText>
      </w:r>
      <w:bookmarkEnd w:id="2"/>
      <w:r w:rsidRPr="00EA0450">
        <w:rPr>
          <w:i/>
        </w:rPr>
        <w:instrText xml:space="preserve"> - Előadó: Andrzej </w:instrText>
      </w:r>
      <w:proofErr w:type="spellStart"/>
      <w:r w:rsidRPr="00EA0450">
        <w:rPr>
          <w:i/>
        </w:rPr>
        <w:instrText>Halicki</w:instrText>
      </w:r>
      <w:proofErr w:type="spellEnd"/>
      <w:r w:rsidRPr="00EA0450">
        <w:rPr>
          <w:i/>
        </w:rPr>
        <w:instrText xml:space="preserve">)"\l3 \n&gt; \* MERGEFORMAT </w:instrText>
      </w:r>
      <w:r w:rsidRPr="00EA0450">
        <w:rPr>
          <w:i/>
        </w:rPr>
        <w:fldChar w:fldCharType="end"/>
      </w:r>
    </w:p>
    <w:p w14:paraId="6584C1F1" w14:textId="77777777" w:rsidR="00783E69" w:rsidRPr="00EA0450" w:rsidRDefault="00783E69" w:rsidP="00783E69">
      <w:pPr>
        <w:rPr>
          <w:vanish/>
        </w:rPr>
      </w:pPr>
      <w:bookmarkStart w:id="3" w:name="Commission"/>
      <w:r w:rsidRPr="00EA0450">
        <w:rPr>
          <w:vanish/>
        </w:rPr>
        <w:t>Költségvetési Bizottság</w:t>
      </w:r>
      <w:bookmarkEnd w:id="3"/>
    </w:p>
    <w:p w14:paraId="31111FDB" w14:textId="77777777" w:rsidR="00783E69" w:rsidRPr="00EA0450" w:rsidRDefault="00783E69" w:rsidP="00783E69">
      <w:pPr>
        <w:rPr>
          <w:vanish/>
        </w:rPr>
      </w:pPr>
      <w:bookmarkStart w:id="4" w:name="PE"/>
      <w:r w:rsidRPr="00EA0450">
        <w:rPr>
          <w:vanish/>
        </w:rPr>
        <w:t>PE787.947</w:t>
      </w:r>
      <w:bookmarkEnd w:id="4"/>
    </w:p>
    <w:p w14:paraId="78FFDE36" w14:textId="77777777" w:rsidR="00783E69" w:rsidRPr="00EA0450" w:rsidRDefault="00783E69" w:rsidP="00783E69">
      <w:pPr>
        <w:pStyle w:val="ATHeading3"/>
      </w:pPr>
      <w:bookmarkStart w:id="5" w:name="Sujet"/>
      <w:r w:rsidRPr="00EA0450">
        <w:t>Az Európai Parlament 2026. július 7-i állásfoglalása az Európai Unió 2026. évi pénzügyi évre vonatkozó, 1/2026. számú költségvetés-módosítási tervezetéről – a 2025. évi pénzügyi év többletének a költségvetésbe történő beállítása – szóló tanácsi álláspontról</w:t>
      </w:r>
      <w:bookmarkEnd w:id="5"/>
      <w:r w:rsidRPr="00EA0450">
        <w:t xml:space="preserve"> </w:t>
      </w:r>
      <w:bookmarkStart w:id="6" w:name="References"/>
      <w:r w:rsidRPr="00EA0450">
        <w:t>(09919/2026 – C10-0145/2026 – 2026/0090(BUD))</w:t>
      </w:r>
      <w:bookmarkEnd w:id="6"/>
    </w:p>
    <w:p w14:paraId="487B4088" w14:textId="77777777" w:rsidR="00502FB7" w:rsidRPr="00EA0450" w:rsidRDefault="00502FB7" w:rsidP="00502FB7">
      <w:pPr>
        <w:pStyle w:val="EPComma"/>
      </w:pPr>
      <w:bookmarkStart w:id="7" w:name="TextBodyBegin"/>
      <w:bookmarkEnd w:id="7"/>
      <w:r w:rsidRPr="00EA0450">
        <w:rPr>
          <w:i/>
          <w:iCs/>
        </w:rPr>
        <w:t>Az Európai Parlament</w:t>
      </w:r>
      <w:r w:rsidRPr="00EA0450">
        <w:t>,</w:t>
      </w:r>
    </w:p>
    <w:p w14:paraId="3B67782C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>tekintettel az Európai Unió működéséről szóló szerződés 314. cikkére,</w:t>
      </w:r>
    </w:p>
    <w:p w14:paraId="0B7A16DD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>tekintettel az Európai Atomenergia-közösséget létrehozó szerződés 106a. cikkére,</w:t>
      </w:r>
    </w:p>
    <w:p w14:paraId="65CBDED2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>tekintettel az Unió általános költségvetésére alkalmazandó pénzügyi szabályokról szóló, 2024. szeptember 23-i (EU, Euratom) 2024/2509 európai parlamenti és tanácsi rendeletre</w:t>
      </w:r>
      <w:r w:rsidRPr="00EA0450">
        <w:rPr>
          <w:rStyle w:val="FootnoteReference"/>
        </w:rPr>
        <w:footnoteReference w:id="1"/>
      </w:r>
      <w:r w:rsidRPr="00EA0450">
        <w:t xml:space="preserve"> és különösen annak 44. cikkére,</w:t>
      </w:r>
    </w:p>
    <w:p w14:paraId="59300384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>tekintettel az Európai Unió 2026. évi pénzügyi évre szóló általános költségvetésére, amelyet 2025. november 26-án fogadtak el véglegesen</w:t>
      </w:r>
      <w:r w:rsidRPr="00EA0450">
        <w:rPr>
          <w:vertAlign w:val="superscript"/>
        </w:rPr>
        <w:footnoteReference w:id="2"/>
      </w:r>
      <w:r w:rsidRPr="00EA0450">
        <w:t xml:space="preserve">, </w:t>
      </w:r>
    </w:p>
    <w:p w14:paraId="2203C801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>tekintettel a 2021–2027-es időszakra vonatkozó többéves pénzügyi keretről szóló, 2020. december 17-i (EU, Euratom) 2020/2093 tanácsi rendeletre</w:t>
      </w:r>
      <w:r w:rsidRPr="00EA0450">
        <w:rPr>
          <w:vertAlign w:val="superscript"/>
        </w:rPr>
        <w:footnoteReference w:id="3"/>
      </w:r>
      <w:r w:rsidRPr="00EA0450">
        <w:t xml:space="preserve">, </w:t>
      </w:r>
    </w:p>
    <w:p w14:paraId="061C9B2B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>tekintettel a 2021–2027-es időszakra vonatkozó többéves pénzügyi keretről szóló (EU, Euratom) 2020/2093 rendelet módosításáról szóló (EU, Euratom) 2024/765 tanácsi rendeletre</w:t>
      </w:r>
      <w:r w:rsidRPr="00EA0450">
        <w:rPr>
          <w:vertAlign w:val="superscript"/>
        </w:rPr>
        <w:footnoteReference w:id="4"/>
      </w:r>
      <w:r w:rsidRPr="00EA0450">
        <w:t>,</w:t>
      </w:r>
    </w:p>
    <w:p w14:paraId="12797B11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 xml:space="preserve"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</w:t>
      </w:r>
      <w:r w:rsidRPr="00EA0450">
        <w:lastRenderedPageBreak/>
        <w:t>saját források bevezetésére irányuló ütemtervről szóló, 2020. december 16-i intézményközi megállapodásra</w:t>
      </w:r>
      <w:r w:rsidRPr="00EA0450">
        <w:rPr>
          <w:vertAlign w:val="superscript"/>
        </w:rPr>
        <w:footnoteReference w:id="5"/>
      </w:r>
      <w:r w:rsidRPr="00EA0450">
        <w:t>,</w:t>
      </w:r>
    </w:p>
    <w:p w14:paraId="597308BA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>tekintettel az Európai Unió saját forrásainak rendszeréről és a 2014/335/EU, Euratom határozat hatályon kívül helyezéséről szóló, 2020. december 14-i (EU, Euratom) 2020/2053 tanácsi határozatra</w:t>
      </w:r>
      <w:r w:rsidRPr="00EA0450">
        <w:rPr>
          <w:vertAlign w:val="superscript"/>
        </w:rPr>
        <w:footnoteReference w:id="6"/>
      </w:r>
      <w:r w:rsidRPr="00EA0450">
        <w:t xml:space="preserve">, </w:t>
      </w:r>
    </w:p>
    <w:p w14:paraId="2D22A156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>tekintettel a 2028–2034 közötti időszakra vonatkozó többéves pénzügyi keretről szóló tanácsi rendeletre irányuló javaslatról szóló, 2026. április 28-i állásfoglalására</w:t>
      </w:r>
      <w:r w:rsidRPr="00EA0450">
        <w:rPr>
          <w:rStyle w:val="FootnoteReference"/>
        </w:rPr>
        <w:footnoteReference w:id="7"/>
      </w:r>
      <w:r w:rsidRPr="00EA0450">
        <w:t xml:space="preserve">, </w:t>
      </w:r>
    </w:p>
    <w:p w14:paraId="24942AF3" w14:textId="77777777" w:rsidR="00502FB7" w:rsidRPr="00EA0450" w:rsidRDefault="00502FB7" w:rsidP="00400929">
      <w:pPr>
        <w:pStyle w:val="NormalHanging12a"/>
        <w:widowControl/>
      </w:pPr>
      <w:bookmarkStart w:id="8" w:name="_Hlk229564682"/>
      <w:r w:rsidRPr="00EA0450">
        <w:t>–</w:t>
      </w:r>
      <w:r w:rsidRPr="00EA0450">
        <w:tab/>
        <w:t>tekintettel a Bizottság által 2026. április 10-én elfogadott, 1/2026. számú költségvetés-módosítási tervezetre (</w:t>
      </w:r>
      <w:proofErr w:type="gramStart"/>
      <w:r w:rsidRPr="00EA0450">
        <w:t>COM(</w:t>
      </w:r>
      <w:proofErr w:type="gramEnd"/>
      <w:r w:rsidRPr="00EA0450">
        <w:t>2026)0450),</w:t>
      </w:r>
      <w:bookmarkEnd w:id="8"/>
    </w:p>
    <w:p w14:paraId="6340636C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>tekintettel a Tanács által 2026. június 16-án elfogadott és az Európai Parlamentnek 2026. június 18-án továbbított, az 1/2026. számú költségvetés-módosítási tervezetről szóló álláspontra (09919/2026),</w:t>
      </w:r>
    </w:p>
    <w:p w14:paraId="38331A73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>tekintettel eljárási szabályzata 96. és 98. cikkére,</w:t>
      </w:r>
    </w:p>
    <w:p w14:paraId="1B8A7D0E" w14:textId="77777777" w:rsidR="00502FB7" w:rsidRPr="00EA0450" w:rsidRDefault="00502FB7" w:rsidP="00400929">
      <w:pPr>
        <w:pStyle w:val="NormalHanging12a"/>
        <w:widowControl/>
      </w:pPr>
      <w:r w:rsidRPr="00EA0450">
        <w:t>–</w:t>
      </w:r>
      <w:r w:rsidRPr="00EA0450">
        <w:tab/>
        <w:t>tekintettel a Költségvetési Bizottság jelentésére (A10-0180/2026),</w:t>
      </w:r>
    </w:p>
    <w:p w14:paraId="2AEC3C4F" w14:textId="77777777" w:rsidR="00502FB7" w:rsidRPr="00EA0450" w:rsidRDefault="00502FB7" w:rsidP="00400929">
      <w:pPr>
        <w:pStyle w:val="NormalHanging12a"/>
        <w:widowControl/>
      </w:pPr>
      <w:r w:rsidRPr="00EA0450">
        <w:t>A.</w:t>
      </w:r>
      <w:r w:rsidRPr="00EA0450">
        <w:tab/>
        <w:t>mivel az 1/2026. számú költségvetés-módosítási tervezet célja a 2025. évi pénzügyi év végrehajtásából származó, 2 095 millió EUR összegű többletnek a 2026. évi költségvetésbe történő beállítása;</w:t>
      </w:r>
    </w:p>
    <w:p w14:paraId="43D25B58" w14:textId="77777777" w:rsidR="00502FB7" w:rsidRPr="00EA0450" w:rsidRDefault="00502FB7" w:rsidP="00400929">
      <w:pPr>
        <w:pStyle w:val="NormalHanging12a"/>
        <w:widowControl/>
      </w:pPr>
      <w:r w:rsidRPr="00EA0450">
        <w:t>B.</w:t>
      </w:r>
      <w:r w:rsidRPr="00EA0450">
        <w:tab/>
        <w:t xml:space="preserve">mivel az említett többlet fő összetevői egy 1 994 millió EUR összegű, a bevételi oldalon jelentkező pozitív bevételi kimutatás, valamint a kiadási oldalon egy 101 millió EUR összegű </w:t>
      </w:r>
      <w:proofErr w:type="spellStart"/>
      <w:r w:rsidRPr="00EA0450">
        <w:t>alulköltés</w:t>
      </w:r>
      <w:proofErr w:type="spellEnd"/>
      <w:r w:rsidRPr="00EA0450">
        <w:t>;</w:t>
      </w:r>
    </w:p>
    <w:p w14:paraId="78072518" w14:textId="228E4FB2" w:rsidR="00502FB7" w:rsidRPr="00EA0450" w:rsidRDefault="00502FB7" w:rsidP="00400929">
      <w:pPr>
        <w:pStyle w:val="NormalHanging12a"/>
        <w:widowControl/>
      </w:pPr>
      <w:r w:rsidRPr="00EA0450">
        <w:t>C.</w:t>
      </w:r>
      <w:r w:rsidRPr="00EA0450">
        <w:tab/>
        <w:t xml:space="preserve">mivel a bevételi oldalon </w:t>
      </w:r>
      <w:bookmarkStart w:id="9" w:name="_Hlk233197369"/>
      <w:r w:rsidRPr="00EA0450">
        <w:t xml:space="preserve">a többlet túlnyomórészt a vámok vártnál magasabb, 860 millió </w:t>
      </w:r>
      <w:r w:rsidR="00DA3669" w:rsidRPr="00EA0450">
        <w:t xml:space="preserve">EUR </w:t>
      </w:r>
      <w:r w:rsidRPr="00EA0450">
        <w:t>összegéből adódik</w:t>
      </w:r>
      <w:bookmarkEnd w:id="9"/>
      <w:r w:rsidRPr="00EA0450">
        <w:t xml:space="preserve">; mivel a többlet volumenéhez hozzájáruló második fő tényező a pénzügyi bevételek, késedelmi kamatok és pénzbírságok 840 millió </w:t>
      </w:r>
      <w:r w:rsidR="00DA3669" w:rsidRPr="00EA0450">
        <w:t xml:space="preserve">EUR </w:t>
      </w:r>
      <w:r w:rsidRPr="00EA0450">
        <w:t xml:space="preserve">összege; </w:t>
      </w:r>
    </w:p>
    <w:p w14:paraId="4526F9A9" w14:textId="77777777" w:rsidR="00502FB7" w:rsidRPr="00EA0450" w:rsidRDefault="00502FB7" w:rsidP="00400929">
      <w:pPr>
        <w:pStyle w:val="NormalHanging12a"/>
        <w:widowControl/>
      </w:pPr>
      <w:r w:rsidRPr="00EA0450">
        <w:t>D.</w:t>
      </w:r>
      <w:r w:rsidRPr="00EA0450">
        <w:tab/>
        <w:t xml:space="preserve">mivel a kiadási oldalon az összes intézmény kifizetéseinek </w:t>
      </w:r>
      <w:proofErr w:type="spellStart"/>
      <w:r w:rsidRPr="00EA0450">
        <w:t>alulteljesítése</w:t>
      </w:r>
      <w:proofErr w:type="spellEnd"/>
      <w:r w:rsidRPr="00EA0450">
        <w:t>, beleértve az átvitt előirányzatok törlését is, összesen 111 millió EUR összeget tett ki (ami az engedélyezett kifizetési előirányzatok 0,04%-</w:t>
      </w:r>
      <w:proofErr w:type="spellStart"/>
      <w:r w:rsidRPr="00EA0450">
        <w:t>ának</w:t>
      </w:r>
      <w:proofErr w:type="spellEnd"/>
      <w:r w:rsidRPr="00EA0450">
        <w:t xml:space="preserve"> felel meg);</w:t>
      </w:r>
    </w:p>
    <w:p w14:paraId="0344B0A0" w14:textId="77777777" w:rsidR="00502FB7" w:rsidRPr="00EA0450" w:rsidRDefault="00502FB7" w:rsidP="00400929">
      <w:pPr>
        <w:pStyle w:val="NormalHanging12a"/>
        <w:widowControl/>
      </w:pPr>
      <w:r w:rsidRPr="00EA0450">
        <w:t>1.</w:t>
      </w:r>
      <w:r w:rsidRPr="00EA0450">
        <w:tab/>
        <w:t>tudomásul veszi az 1/2026. számú költségvetés-módosítási tervezetet a Bizottság által benyújtott formában, amely tervezet a 2025. évi 2 095 millió EUR összegű többlet költségvetésbe történő beállítását célozza, a költségvetési rendelet 18. cikkének (3) bekezdésével összhangban;</w:t>
      </w:r>
      <w:sdt>
        <w:sdtPr>
          <w:tag w:val="goog_rdk_0"/>
          <w:id w:val="1937094721"/>
        </w:sdtPr>
        <w:sdtEndPr/>
        <w:sdtContent/>
      </w:sdt>
    </w:p>
    <w:p w14:paraId="7D3890A2" w14:textId="77777777" w:rsidR="00502FB7" w:rsidRPr="00EA0450" w:rsidRDefault="00502FB7" w:rsidP="00400929">
      <w:pPr>
        <w:pStyle w:val="NormalHanging12a"/>
        <w:widowControl/>
      </w:pPr>
      <w:r w:rsidRPr="00EA0450">
        <w:t>2.</w:t>
      </w:r>
      <w:r w:rsidRPr="00EA0450">
        <w:tab/>
        <w:t xml:space="preserve">üdvözli, hogy a 2025. évi többletet elsősorban az 1. címen (Saját források, különösen vámok) és a 4. címen (Pénzügyi bevételek, késedelmi kamatok és pénzbírságok) belüli növekedés okozza, míg a kiadási többlet továbbra is igen szerény, 101 millió EUR; </w:t>
      </w:r>
    </w:p>
    <w:p w14:paraId="7E11A4FD" w14:textId="77777777" w:rsidR="00502FB7" w:rsidRPr="00EA0450" w:rsidRDefault="00502FB7" w:rsidP="00400929">
      <w:pPr>
        <w:pStyle w:val="NormalHanging12a"/>
        <w:widowControl/>
      </w:pPr>
      <w:r w:rsidRPr="00EA0450">
        <w:lastRenderedPageBreak/>
        <w:t>3.</w:t>
      </w:r>
      <w:r w:rsidRPr="00EA0450">
        <w:tab/>
        <w:t xml:space="preserve">sajnálja, hogy a többlet költségvetésbe történő beállítása hasonló nagyságrendű összeggel csökkenti a tagállamok GNI-alapú, a 2026. évi költségvetés finanszírozásához saját források formájában történő hozzájárulását; hangsúlyozza, hogy egy olyan időszakban, amikor a finanszírozási igények továbbra is magasak, különösen az EURI adósságszolgálati költségei tekintetében, és az uniós költségvetésen belüli mozgástér továbbra is rendkívül korlátozott, a költségvetésnek megfelelő szintű rugalmassággal kell rendelkeznie a jelenlegi többéves pénzügyi keret utolsó éveiben ahhoz, hogy az Unió megbirkózhasson az előre nem látható eseményekkel; hangsúlyozza, hogy az uniós költségvetés rugalmassága az egyik olyan kulcsfontosságú kérdés, amellyel foglalkozni kell a 2028–2034 közötti többéves pénzügyi keretről folytatott tárgyalások során; </w:t>
      </w:r>
    </w:p>
    <w:p w14:paraId="05F384B6" w14:textId="77777777" w:rsidR="00502FB7" w:rsidRPr="00EA0450" w:rsidRDefault="00502FB7" w:rsidP="00400929">
      <w:pPr>
        <w:pStyle w:val="NormalHanging12a"/>
        <w:widowControl/>
      </w:pPr>
      <w:r w:rsidRPr="00EA0450">
        <w:t>4.</w:t>
      </w:r>
      <w:r w:rsidRPr="00EA0450">
        <w:tab/>
        <w:t>emlékeztet arra a régóta képviselt álláspontjára, amely szerint a pénzbírságokból és a díjakból vagy az azokkal egyenértékű összegekből származó rendkívüli bevételeket az uniós költségvetés kiegészítő bevételeként kell felhasználni, és azok nem vezethetnek a GNI-alapú hozzájárulások ennek megfelelő csökkenéséhez;</w:t>
      </w:r>
    </w:p>
    <w:p w14:paraId="6A36E4E6" w14:textId="77777777" w:rsidR="00502FB7" w:rsidRPr="00EA0450" w:rsidRDefault="00502FB7" w:rsidP="00400929">
      <w:pPr>
        <w:pStyle w:val="NormalHanging12a"/>
        <w:widowControl/>
      </w:pPr>
      <w:r w:rsidRPr="00EA0450">
        <w:t>5.</w:t>
      </w:r>
      <w:r w:rsidRPr="00EA0450">
        <w:tab/>
        <w:t xml:space="preserve">tudomásul veszi az öt kedvezményezett tagállam esetében a kiigazított éves GNI-alapú egyösszegű csökkentések kiszámítását, amelyek körülbelül nettó 5,8 milliárd EUR-t tesznek ki; kiemeli, hogy ezek a visszatérítések inflációhoz kötöttek, és ezért nagyobb mértékben emelkedtek, mint a többéves pénzügyi keret felső határai, amelyeket évente igazítanak ki a 2 %-os </w:t>
      </w:r>
      <w:proofErr w:type="spellStart"/>
      <w:r w:rsidRPr="00EA0450">
        <w:t>deflátor</w:t>
      </w:r>
      <w:proofErr w:type="spellEnd"/>
      <w:r w:rsidRPr="00EA0450">
        <w:t xml:space="preserve"> alapján; hangsúlyozza, hogy ez az anomália növeli a többi tagállam terheit;</w:t>
      </w:r>
    </w:p>
    <w:p w14:paraId="56F840E4" w14:textId="77777777" w:rsidR="00502FB7" w:rsidRPr="00EA0450" w:rsidRDefault="00502FB7" w:rsidP="00400929">
      <w:pPr>
        <w:pStyle w:val="NormalHanging12a"/>
        <w:widowControl/>
      </w:pPr>
      <w:r w:rsidRPr="00EA0450">
        <w:t>6.</w:t>
      </w:r>
      <w:r w:rsidRPr="00EA0450">
        <w:tab/>
        <w:t xml:space="preserve">tudomásul veszi a 425. cikk szerinti, 54 millió EUR összegű negatív bevételi tételt, és üdvözli ezt a módszert, amely szerint a költségvetésbe beállításra kerülnek azok a költségek, amelyek egyezségi megállapodás szerinti kifizetésekből származnak és magukban foglalják a Bíróság vonatkozó ítéleteivel összhangban </w:t>
      </w:r>
      <w:proofErr w:type="spellStart"/>
      <w:r w:rsidRPr="00EA0450">
        <w:t>törölt</w:t>
      </w:r>
      <w:proofErr w:type="spellEnd"/>
      <w:r w:rsidRPr="00EA0450">
        <w:t xml:space="preserve"> vagy csökkentett versenyjogi bírságok visszafizetéséhez kapcsolódó kompenzációs kamatokat és késedelmi kamatok kompenzációját; emlékeztet arra, hogy a Parlament a költségvetési rendelet 2024. évi átdolgozásáról folytatott tárgyalások során ragaszkodott e megközelítés alkalmazásához, elkerülendő, hogy az eleve túlterhelt 7. fejezetben további kiadási előirányzatok keletkezzenek; emlékeztet arra, hogy ez a megoldás 2027. december 31-én véget ér; felkéri a Bizottságot, hogy javasoljon olyan végleges megoldást a következő többéves pénzügyi keretre vonatkozóan, amely ugyanezt a célkitűzést éri el, azaz elkerüli a költségvetés kiadási oldalára gyakorolt hatást;</w:t>
      </w:r>
    </w:p>
    <w:p w14:paraId="0CDE55E7" w14:textId="00F7B5D8" w:rsidR="00502FB7" w:rsidRPr="00EA0450" w:rsidRDefault="00502FB7" w:rsidP="00400929">
      <w:pPr>
        <w:pStyle w:val="NormalHanging12a"/>
        <w:widowControl/>
      </w:pPr>
      <w:r w:rsidRPr="00EA0450">
        <w:t>7.</w:t>
      </w:r>
      <w:r w:rsidRPr="00EA0450">
        <w:tab/>
        <w:t xml:space="preserve">megismétli azon, régóta hangoztatott felhívását, amely szerint az EUMSZ 310. cikke értelmében az uniós költségvetésben fenntartható, kiszámítható és </w:t>
      </w:r>
      <w:proofErr w:type="spellStart"/>
      <w:r w:rsidRPr="00EA0450">
        <w:t>reziliens</w:t>
      </w:r>
      <w:proofErr w:type="spellEnd"/>
      <w:r w:rsidRPr="00EA0450">
        <w:t xml:space="preserve"> bevételeknek kell szerepelniük, amelyek megfelelnek a kiadási oldalnak, valamint az Unió stratégiai prioritásainak és azonosított finanszírozási igényeinek; megerősíti az új saját források bevezetése iránti szilárd elkötelezettségét, nemcsak az NGEU adósságtörlesztése, hanem az Unió fokozott szakpolitikai törekvéseinek finanszírozása érdekében is; emlékeztet arra, hogy új, valódi saját források nélkül a megnövekedett GNI-alapú hozzájárulások miatt a pénzügyi teher elkerülhetetlenül a tagállamokra hárul; ezért úgy véli, hogy egy ambiciózus 2028–2034 közötti többéves pénzügyi kerethez feltétlenül szükség van évente legalább 60 milliárd EUR összegű új, valódi bevételi forrás bevezetésére;</w:t>
      </w:r>
    </w:p>
    <w:p w14:paraId="4892480C" w14:textId="77777777" w:rsidR="00502FB7" w:rsidRPr="00EA0450" w:rsidRDefault="00502FB7" w:rsidP="00400929">
      <w:pPr>
        <w:pStyle w:val="NormalHanging12a"/>
        <w:widowControl/>
      </w:pPr>
      <w:r w:rsidRPr="00EA0450">
        <w:t>8.</w:t>
      </w:r>
      <w:r w:rsidRPr="00EA0450">
        <w:tab/>
        <w:t>jóváhagyja az 1/2026. számú költségvetés-módosítási tervezetről szóló tanácsi álláspontot;</w:t>
      </w:r>
    </w:p>
    <w:p w14:paraId="2EE2D8FD" w14:textId="77777777" w:rsidR="00502FB7" w:rsidRPr="00EA0450" w:rsidRDefault="00502FB7" w:rsidP="00400929">
      <w:pPr>
        <w:pStyle w:val="NormalHanging12a"/>
        <w:widowControl/>
      </w:pPr>
      <w:r w:rsidRPr="00EA0450">
        <w:lastRenderedPageBreak/>
        <w:t>9.</w:t>
      </w:r>
      <w:r w:rsidRPr="00EA0450">
        <w:tab/>
        <w:t xml:space="preserve">utasítja elnökét annak megállapítására, hogy az 1/2026. számú költségvetés-módosítást véglegesen elfogadták, valamint arra, hogy gondoskodjon annak közzétételéről az </w:t>
      </w:r>
      <w:r w:rsidRPr="00EA0450">
        <w:rPr>
          <w:i/>
          <w:iCs/>
        </w:rPr>
        <w:t>Európai Unió Hivatalos Lapjában</w:t>
      </w:r>
      <w:r w:rsidRPr="00EA0450">
        <w:t>;</w:t>
      </w:r>
    </w:p>
    <w:p w14:paraId="2320A78A" w14:textId="0BEDE6E3" w:rsidR="00E365E1" w:rsidRPr="001C5639" w:rsidRDefault="00502FB7" w:rsidP="00400929">
      <w:pPr>
        <w:widowControl/>
        <w:spacing w:after="240"/>
        <w:ind w:left="567" w:hanging="567"/>
      </w:pPr>
      <w:r w:rsidRPr="00EA0450">
        <w:t>10.</w:t>
      </w:r>
      <w:r w:rsidRPr="00EA0450">
        <w:tab/>
        <w:t>utasítja elnökét, hogy továbbítsa ezt az állásfoglalást a Tanácsnak és a Bizottságnak, továbbá a többi érintett intézménynek és szervnek, valamint a nemzeti parlamenteknek.</w:t>
      </w:r>
    </w:p>
    <w:sectPr w:rsidR="00E365E1" w:rsidRPr="001C5639" w:rsidSect="001C56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3821C" w14:textId="77777777" w:rsidR="00783E69" w:rsidRPr="001C5639" w:rsidRDefault="00783E69">
      <w:r w:rsidRPr="001C5639">
        <w:separator/>
      </w:r>
    </w:p>
  </w:endnote>
  <w:endnote w:type="continuationSeparator" w:id="0">
    <w:p w14:paraId="0791680C" w14:textId="77777777" w:rsidR="00783E69" w:rsidRPr="001C5639" w:rsidRDefault="00783E69">
      <w:r w:rsidRPr="001C56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BF639" w14:textId="77777777" w:rsidR="00064002" w:rsidRPr="001C56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E0FA4" w14:textId="77777777" w:rsidR="00064002" w:rsidRPr="001C56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230E" w14:textId="77777777" w:rsidR="00064002" w:rsidRPr="001C56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5179A" w14:textId="77777777" w:rsidR="00783E69" w:rsidRPr="001C5639" w:rsidRDefault="00783E69">
      <w:r w:rsidRPr="001C5639">
        <w:separator/>
      </w:r>
    </w:p>
  </w:footnote>
  <w:footnote w:type="continuationSeparator" w:id="0">
    <w:p w14:paraId="0BDC35AA" w14:textId="77777777" w:rsidR="00783E69" w:rsidRPr="001C5639" w:rsidRDefault="00783E69">
      <w:r w:rsidRPr="001C5639">
        <w:continuationSeparator/>
      </w:r>
    </w:p>
  </w:footnote>
  <w:footnote w:id="1">
    <w:p w14:paraId="76CCAA2B" w14:textId="68DA7F40" w:rsidR="00502FB7" w:rsidRPr="001C5639" w:rsidRDefault="00502FB7" w:rsidP="001C5639">
      <w:pPr>
        <w:pStyle w:val="FootnoteText"/>
        <w:ind w:left="567" w:hanging="567"/>
        <w:rPr>
          <w:sz w:val="24"/>
          <w:lang w:val="hu-HU"/>
        </w:rPr>
      </w:pPr>
      <w:r w:rsidRPr="001C5639">
        <w:rPr>
          <w:rStyle w:val="FootnoteReference"/>
          <w:sz w:val="24"/>
          <w:lang w:val="hu-HU"/>
        </w:rPr>
        <w:footnoteRef/>
      </w:r>
      <w:r w:rsidR="001C5639" w:rsidRPr="001C5639">
        <w:rPr>
          <w:sz w:val="24"/>
          <w:lang w:val="hu-HU"/>
        </w:rPr>
        <w:t xml:space="preserve"> </w:t>
      </w:r>
      <w:r w:rsidR="001C5639" w:rsidRPr="001C5639">
        <w:rPr>
          <w:sz w:val="24"/>
          <w:lang w:val="hu-HU"/>
        </w:rPr>
        <w:tab/>
      </w:r>
      <w:r w:rsidRPr="001C5639">
        <w:rPr>
          <w:sz w:val="24"/>
          <w:lang w:val="hu-HU"/>
        </w:rPr>
        <w:t xml:space="preserve">HL L, 2024/2509, 2024.9.26., ELI: </w:t>
      </w:r>
      <w:hyperlink r:id="rId1" w:tooltip="http://data.europa.eu/eli/reg/2024/2509/oj" w:history="1">
        <w:r w:rsidRPr="001C5639">
          <w:rPr>
            <w:rStyle w:val="Hyperlink"/>
            <w:sz w:val="24"/>
            <w:lang w:val="hu-HU"/>
          </w:rPr>
          <w:t>http://data.europa.eu/eli/reg/2024/2509/oj</w:t>
        </w:r>
      </w:hyperlink>
      <w:r w:rsidRPr="001C5639">
        <w:rPr>
          <w:sz w:val="24"/>
          <w:lang w:val="hu-HU"/>
        </w:rPr>
        <w:t>.</w:t>
      </w:r>
    </w:p>
  </w:footnote>
  <w:footnote w:id="2">
    <w:p w14:paraId="24A937CC" w14:textId="2F2ADB8A" w:rsidR="00502FB7" w:rsidRPr="001C5639" w:rsidRDefault="00502FB7" w:rsidP="001C5639">
      <w:pPr>
        <w:pStyle w:val="FootnoteText"/>
        <w:ind w:left="567" w:hanging="567"/>
        <w:rPr>
          <w:sz w:val="24"/>
          <w:lang w:val="hu-HU"/>
        </w:rPr>
      </w:pPr>
      <w:r w:rsidRPr="001C5639">
        <w:rPr>
          <w:rStyle w:val="FootnoteReference"/>
          <w:sz w:val="24"/>
          <w:lang w:val="hu-HU"/>
        </w:rPr>
        <w:footnoteRef/>
      </w:r>
      <w:r w:rsidR="001C5639" w:rsidRPr="001C5639">
        <w:rPr>
          <w:sz w:val="24"/>
          <w:lang w:val="hu-HU"/>
        </w:rPr>
        <w:t xml:space="preserve"> </w:t>
      </w:r>
      <w:r w:rsidR="001C5639" w:rsidRPr="001C5639">
        <w:rPr>
          <w:sz w:val="24"/>
          <w:lang w:val="hu-HU"/>
        </w:rPr>
        <w:tab/>
      </w:r>
      <w:r w:rsidRPr="001C5639">
        <w:rPr>
          <w:sz w:val="24"/>
          <w:lang w:val="hu-HU"/>
        </w:rPr>
        <w:t xml:space="preserve">HL L, 2026/72, 2026.2.26., ELI: </w:t>
      </w:r>
      <w:hyperlink r:id="rId2" w:history="1">
        <w:r w:rsidRPr="001C5639">
          <w:rPr>
            <w:rStyle w:val="Hyperlink"/>
            <w:sz w:val="24"/>
            <w:lang w:val="hu-HU"/>
          </w:rPr>
          <w:t>http://data.europa.eu/eli/budget/2026/72/oj</w:t>
        </w:r>
      </w:hyperlink>
      <w:r w:rsidRPr="001C5639">
        <w:rPr>
          <w:sz w:val="24"/>
          <w:lang w:val="hu-HU"/>
        </w:rPr>
        <w:t>.</w:t>
      </w:r>
    </w:p>
  </w:footnote>
  <w:footnote w:id="3">
    <w:p w14:paraId="0ACE5079" w14:textId="01F2DDCE" w:rsidR="00502FB7" w:rsidRPr="001C5639" w:rsidRDefault="00502FB7" w:rsidP="001C5639">
      <w:pPr>
        <w:pStyle w:val="FootnoteText"/>
        <w:ind w:left="567" w:hanging="567"/>
        <w:rPr>
          <w:sz w:val="24"/>
          <w:lang w:val="hu-HU"/>
        </w:rPr>
      </w:pPr>
      <w:r w:rsidRPr="001C5639">
        <w:rPr>
          <w:rStyle w:val="FootnoteReference"/>
          <w:sz w:val="24"/>
          <w:lang w:val="hu-HU"/>
        </w:rPr>
        <w:footnoteRef/>
      </w:r>
      <w:r w:rsidR="001C5639" w:rsidRPr="001C5639">
        <w:rPr>
          <w:sz w:val="24"/>
          <w:lang w:val="hu-HU"/>
        </w:rPr>
        <w:t xml:space="preserve"> </w:t>
      </w:r>
      <w:r w:rsidR="001C5639" w:rsidRPr="001C5639">
        <w:rPr>
          <w:sz w:val="24"/>
          <w:lang w:val="hu-HU"/>
        </w:rPr>
        <w:tab/>
      </w:r>
      <w:r w:rsidRPr="001C5639">
        <w:rPr>
          <w:sz w:val="24"/>
          <w:lang w:val="hu-HU"/>
        </w:rPr>
        <w:t xml:space="preserve">HL L 433. I, 2020.12.22., 11. o., ELI: </w:t>
      </w:r>
      <w:hyperlink r:id="rId3" w:history="1">
        <w:r w:rsidRPr="001C5639">
          <w:rPr>
            <w:rStyle w:val="Hyperlink"/>
            <w:sz w:val="24"/>
            <w:lang w:val="hu-HU"/>
          </w:rPr>
          <w:t>http://data.europa.eu/eli/reg/2020/2093/oj</w:t>
        </w:r>
      </w:hyperlink>
      <w:r w:rsidRPr="001C5639">
        <w:rPr>
          <w:sz w:val="24"/>
          <w:lang w:val="hu-HU"/>
        </w:rPr>
        <w:t>.</w:t>
      </w:r>
    </w:p>
  </w:footnote>
  <w:footnote w:id="4">
    <w:p w14:paraId="27F1F0C0" w14:textId="29C1DA1E" w:rsidR="00502FB7" w:rsidRPr="001C5639" w:rsidRDefault="00502FB7" w:rsidP="001C5639">
      <w:pPr>
        <w:pStyle w:val="FootnoteText"/>
        <w:ind w:left="567" w:hanging="567"/>
        <w:rPr>
          <w:sz w:val="24"/>
          <w:lang w:val="hu-HU"/>
        </w:rPr>
      </w:pPr>
      <w:r w:rsidRPr="001C5639">
        <w:rPr>
          <w:rStyle w:val="FootnoteReference"/>
          <w:sz w:val="24"/>
          <w:lang w:val="hu-HU"/>
        </w:rPr>
        <w:footnoteRef/>
      </w:r>
      <w:r w:rsidR="001C5639" w:rsidRPr="001C5639">
        <w:rPr>
          <w:sz w:val="24"/>
          <w:lang w:val="hu-HU"/>
        </w:rPr>
        <w:t xml:space="preserve"> </w:t>
      </w:r>
      <w:r w:rsidR="001C5639" w:rsidRPr="001C5639">
        <w:rPr>
          <w:sz w:val="24"/>
          <w:lang w:val="hu-HU"/>
        </w:rPr>
        <w:tab/>
      </w:r>
      <w:r w:rsidRPr="001C5639">
        <w:rPr>
          <w:sz w:val="24"/>
          <w:lang w:val="hu-HU"/>
        </w:rPr>
        <w:t xml:space="preserve">HL L, 2024/765, 2024.2.29., ELI: </w:t>
      </w:r>
      <w:hyperlink r:id="rId4" w:history="1">
        <w:r w:rsidRPr="001C5639">
          <w:rPr>
            <w:rStyle w:val="Hyperlink"/>
            <w:sz w:val="24"/>
            <w:lang w:val="hu-HU"/>
          </w:rPr>
          <w:t>http://data.europa.eu/eli/reg/2024/765/oj</w:t>
        </w:r>
      </w:hyperlink>
      <w:r w:rsidRPr="001C5639">
        <w:rPr>
          <w:sz w:val="24"/>
          <w:lang w:val="hu-HU"/>
        </w:rPr>
        <w:t>.</w:t>
      </w:r>
    </w:p>
  </w:footnote>
  <w:footnote w:id="5">
    <w:p w14:paraId="07ADB179" w14:textId="69578C3A" w:rsidR="00502FB7" w:rsidRPr="001C5639" w:rsidRDefault="00502FB7" w:rsidP="001C5639">
      <w:pPr>
        <w:pStyle w:val="FootnoteText"/>
        <w:ind w:left="567" w:hanging="567"/>
        <w:rPr>
          <w:sz w:val="24"/>
          <w:lang w:val="hu-HU"/>
        </w:rPr>
      </w:pPr>
      <w:r w:rsidRPr="001C5639">
        <w:rPr>
          <w:rStyle w:val="FootnoteReference"/>
          <w:sz w:val="24"/>
          <w:lang w:val="hu-HU"/>
        </w:rPr>
        <w:footnoteRef/>
      </w:r>
      <w:r w:rsidR="001C5639" w:rsidRPr="001C5639">
        <w:rPr>
          <w:sz w:val="24"/>
          <w:lang w:val="hu-HU"/>
        </w:rPr>
        <w:t xml:space="preserve"> </w:t>
      </w:r>
      <w:r w:rsidR="001C5639" w:rsidRPr="001C5639">
        <w:rPr>
          <w:sz w:val="24"/>
          <w:lang w:val="hu-HU"/>
        </w:rPr>
        <w:tab/>
      </w:r>
      <w:r w:rsidRPr="001C5639">
        <w:rPr>
          <w:sz w:val="24"/>
          <w:lang w:val="hu-HU"/>
        </w:rPr>
        <w:t xml:space="preserve">HL L 433. I, 2020.12.22., 28. o., ELI: </w:t>
      </w:r>
      <w:hyperlink r:id="rId5" w:history="1">
        <w:r w:rsidRPr="001C5639">
          <w:rPr>
            <w:rStyle w:val="Hyperlink"/>
            <w:sz w:val="24"/>
            <w:lang w:val="hu-HU"/>
          </w:rPr>
          <w:t>http://data.europa.eu/eli/agree_interinstit/2020/1222/oj</w:t>
        </w:r>
      </w:hyperlink>
      <w:r w:rsidR="00400929">
        <w:rPr>
          <w:sz w:val="24"/>
          <w:lang w:val="hu-HU"/>
        </w:rPr>
        <w:t>.</w:t>
      </w:r>
    </w:p>
  </w:footnote>
  <w:footnote w:id="6">
    <w:p w14:paraId="2D7E1985" w14:textId="7B803DB2" w:rsidR="00502FB7" w:rsidRPr="001C5639" w:rsidRDefault="00502FB7" w:rsidP="001C5639">
      <w:pPr>
        <w:pStyle w:val="FootnoteText"/>
        <w:ind w:left="567" w:hanging="567"/>
        <w:rPr>
          <w:sz w:val="24"/>
          <w:lang w:val="hu-HU"/>
        </w:rPr>
      </w:pPr>
      <w:r w:rsidRPr="001C5639">
        <w:rPr>
          <w:rStyle w:val="FootnoteReference"/>
          <w:sz w:val="24"/>
          <w:lang w:val="hu-HU"/>
        </w:rPr>
        <w:footnoteRef/>
      </w:r>
      <w:r w:rsidR="001C5639" w:rsidRPr="001C5639">
        <w:rPr>
          <w:sz w:val="24"/>
          <w:lang w:val="hu-HU"/>
        </w:rPr>
        <w:t xml:space="preserve"> </w:t>
      </w:r>
      <w:r w:rsidR="001C5639" w:rsidRPr="001C5639">
        <w:rPr>
          <w:sz w:val="24"/>
          <w:lang w:val="hu-HU"/>
        </w:rPr>
        <w:tab/>
      </w:r>
      <w:r w:rsidRPr="001C5639">
        <w:rPr>
          <w:sz w:val="24"/>
          <w:lang w:val="hu-HU"/>
        </w:rPr>
        <w:t xml:space="preserve">HL L 424., 2020.12.15., 1. o., ELI: </w:t>
      </w:r>
      <w:hyperlink r:id="rId6" w:history="1">
        <w:r w:rsidRPr="001C5639">
          <w:rPr>
            <w:rStyle w:val="Hyperlink"/>
            <w:sz w:val="24"/>
            <w:lang w:val="hu-HU"/>
          </w:rPr>
          <w:t>http://data.europa.eu/eli/dec/2020/2053/oj</w:t>
        </w:r>
      </w:hyperlink>
      <w:r w:rsidRPr="001C5639">
        <w:rPr>
          <w:sz w:val="24"/>
          <w:lang w:val="hu-HU"/>
        </w:rPr>
        <w:t>.</w:t>
      </w:r>
    </w:p>
  </w:footnote>
  <w:footnote w:id="7">
    <w:p w14:paraId="59A5BD62" w14:textId="7512B285" w:rsidR="00502FB7" w:rsidRPr="001C5639" w:rsidRDefault="00502FB7" w:rsidP="001C5639">
      <w:pPr>
        <w:pStyle w:val="FootnoteText"/>
        <w:ind w:left="567" w:hanging="567"/>
        <w:rPr>
          <w:sz w:val="24"/>
          <w:lang w:val="hu-HU"/>
        </w:rPr>
      </w:pPr>
      <w:r w:rsidRPr="001C5639">
        <w:rPr>
          <w:rStyle w:val="FootnoteReference"/>
          <w:sz w:val="24"/>
          <w:lang w:val="hu-HU"/>
        </w:rPr>
        <w:footnoteRef/>
      </w:r>
      <w:r w:rsidR="001C5639" w:rsidRPr="001C5639">
        <w:rPr>
          <w:sz w:val="24"/>
          <w:lang w:val="hu-HU"/>
        </w:rPr>
        <w:t xml:space="preserve"> </w:t>
      </w:r>
      <w:r w:rsidR="001C5639" w:rsidRPr="001C5639">
        <w:rPr>
          <w:sz w:val="24"/>
          <w:lang w:val="hu-HU"/>
        </w:rPr>
        <w:tab/>
      </w:r>
      <w:r w:rsidRPr="001C5639">
        <w:rPr>
          <w:sz w:val="24"/>
          <w:lang w:val="hu-HU"/>
        </w:rPr>
        <w:t xml:space="preserve">Elfogadott szövegek, </w:t>
      </w:r>
      <w:r w:rsidRPr="00400929">
        <w:rPr>
          <w:sz w:val="24"/>
          <w:lang w:val="hu-HU"/>
        </w:rPr>
        <w:t>P10_</w:t>
      </w:r>
      <w:proofErr w:type="gramStart"/>
      <w:r w:rsidRPr="00400929">
        <w:rPr>
          <w:sz w:val="24"/>
          <w:lang w:val="hu-HU"/>
        </w:rPr>
        <w:t>TA(</w:t>
      </w:r>
      <w:proofErr w:type="gramEnd"/>
      <w:r w:rsidRPr="00400929">
        <w:rPr>
          <w:sz w:val="24"/>
          <w:lang w:val="hu-HU"/>
        </w:rPr>
        <w:t>2026)0111</w:t>
      </w:r>
      <w:r w:rsidRPr="001C5639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DE1E" w14:textId="77777777" w:rsidR="00064002" w:rsidRPr="001C56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44C67" w14:textId="77777777" w:rsidR="00064002" w:rsidRPr="001C56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ADC3A" w14:textId="77777777" w:rsidR="00064002" w:rsidRPr="001C56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9517951">
    <w:abstractNumId w:val="9"/>
  </w:num>
  <w:num w:numId="2" w16cid:durableId="482740702">
    <w:abstractNumId w:val="9"/>
  </w:num>
  <w:num w:numId="3" w16cid:durableId="452287684">
    <w:abstractNumId w:val="7"/>
  </w:num>
  <w:num w:numId="4" w16cid:durableId="602305100">
    <w:abstractNumId w:val="7"/>
  </w:num>
  <w:num w:numId="5" w16cid:durableId="608701119">
    <w:abstractNumId w:val="6"/>
  </w:num>
  <w:num w:numId="6" w16cid:durableId="2081977033">
    <w:abstractNumId w:val="6"/>
  </w:num>
  <w:num w:numId="7" w16cid:durableId="1008950295">
    <w:abstractNumId w:val="5"/>
  </w:num>
  <w:num w:numId="8" w16cid:durableId="1543906359">
    <w:abstractNumId w:val="5"/>
  </w:num>
  <w:num w:numId="9" w16cid:durableId="2061052721">
    <w:abstractNumId w:val="4"/>
  </w:num>
  <w:num w:numId="10" w16cid:durableId="1151368658">
    <w:abstractNumId w:val="4"/>
  </w:num>
  <w:num w:numId="11" w16cid:durableId="1775707892">
    <w:abstractNumId w:val="8"/>
  </w:num>
  <w:num w:numId="12" w16cid:durableId="104429125">
    <w:abstractNumId w:val="8"/>
  </w:num>
  <w:num w:numId="13" w16cid:durableId="1491407802">
    <w:abstractNumId w:val="3"/>
  </w:num>
  <w:num w:numId="14" w16cid:durableId="685592459">
    <w:abstractNumId w:val="3"/>
  </w:num>
  <w:num w:numId="15" w16cid:durableId="1458907860">
    <w:abstractNumId w:val="2"/>
  </w:num>
  <w:num w:numId="16" w16cid:durableId="1630672275">
    <w:abstractNumId w:val="2"/>
  </w:num>
  <w:num w:numId="17" w16cid:durableId="28577749">
    <w:abstractNumId w:val="1"/>
  </w:num>
  <w:num w:numId="18" w16cid:durableId="1353073785">
    <w:abstractNumId w:val="1"/>
  </w:num>
  <w:num w:numId="19" w16cid:durableId="21250707">
    <w:abstractNumId w:val="0"/>
  </w:num>
  <w:num w:numId="20" w16cid:durableId="17321839">
    <w:abstractNumId w:val="0"/>
  </w:num>
  <w:num w:numId="21" w16cid:durableId="1452554351">
    <w:abstractNumId w:val="9"/>
  </w:num>
  <w:num w:numId="22" w16cid:durableId="1117529971">
    <w:abstractNumId w:val="7"/>
  </w:num>
  <w:num w:numId="23" w16cid:durableId="1085539116">
    <w:abstractNumId w:val="6"/>
  </w:num>
  <w:num w:numId="24" w16cid:durableId="1786382729">
    <w:abstractNumId w:val="5"/>
  </w:num>
  <w:num w:numId="25" w16cid:durableId="1218668830">
    <w:abstractNumId w:val="4"/>
  </w:num>
  <w:num w:numId="26" w16cid:durableId="738404940">
    <w:abstractNumId w:val="8"/>
  </w:num>
  <w:num w:numId="27" w16cid:durableId="1709796902">
    <w:abstractNumId w:val="3"/>
  </w:num>
  <w:num w:numId="28" w16cid:durableId="131101066">
    <w:abstractNumId w:val="2"/>
  </w:num>
  <w:num w:numId="29" w16cid:durableId="1985161840">
    <w:abstractNumId w:val="1"/>
  </w:num>
  <w:num w:numId="30" w16cid:durableId="371465042">
    <w:abstractNumId w:val="0"/>
  </w:num>
  <w:num w:numId="31" w16cid:durableId="691998019">
    <w:abstractNumId w:val="9"/>
  </w:num>
  <w:num w:numId="32" w16cid:durableId="2053141838">
    <w:abstractNumId w:val="7"/>
  </w:num>
  <w:num w:numId="33" w16cid:durableId="329793531">
    <w:abstractNumId w:val="6"/>
  </w:num>
  <w:num w:numId="34" w16cid:durableId="1757357815">
    <w:abstractNumId w:val="5"/>
  </w:num>
  <w:num w:numId="35" w16cid:durableId="1942489197">
    <w:abstractNumId w:val="4"/>
  </w:num>
  <w:num w:numId="36" w16cid:durableId="466513603">
    <w:abstractNumId w:val="8"/>
  </w:num>
  <w:num w:numId="37" w16cid:durableId="445582012">
    <w:abstractNumId w:val="3"/>
  </w:num>
  <w:num w:numId="38" w16cid:durableId="1021585003">
    <w:abstractNumId w:val="2"/>
  </w:num>
  <w:num w:numId="39" w16cid:durableId="1627783586">
    <w:abstractNumId w:val="1"/>
  </w:num>
  <w:num w:numId="40" w16cid:durableId="1759138473">
    <w:abstractNumId w:val="0"/>
  </w:num>
  <w:num w:numId="41" w16cid:durableId="1311596953">
    <w:abstractNumId w:val="10"/>
  </w:num>
  <w:num w:numId="42" w16cid:durableId="1937858232">
    <w:abstractNumId w:val="10"/>
  </w:num>
  <w:num w:numId="43" w16cid:durableId="1404257883">
    <w:abstractNumId w:val="10"/>
  </w:num>
  <w:num w:numId="44" w16cid:durableId="13936249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6"/>
    <w:docVar w:name="dvlangue" w:val="HU"/>
    <w:docVar w:name="dvnumam" w:val="0"/>
    <w:docVar w:name="dvpe" w:val="787.947"/>
    <w:docVar w:name="dvrapporteur" w:val="Előadó: "/>
    <w:docVar w:name="dvtitre" w:val="Az Európai Parlament 2026. július 7-i állásfoglalása az Európai Unió 2026. évi pénzügyi évre vonatkozó, 1/2026. számú költségvetés-módosítási tervezetéről – a 2025. évi pénzügyi év többletének a költségvetésbe történő beállítása – szóló tanácsi álláspontról(09919/2026 – C10-0145/2026 – 2026/0090(BUD))"/>
  </w:docVars>
  <w:rsids>
    <w:rsidRoot w:val="00783E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639"/>
    <w:rsid w:val="001F32AE"/>
    <w:rsid w:val="002767FF"/>
    <w:rsid w:val="002B18FE"/>
    <w:rsid w:val="002B5493"/>
    <w:rsid w:val="00343214"/>
    <w:rsid w:val="00361C00"/>
    <w:rsid w:val="00395FA1"/>
    <w:rsid w:val="003E15D4"/>
    <w:rsid w:val="00400929"/>
    <w:rsid w:val="00411CCE"/>
    <w:rsid w:val="0041666E"/>
    <w:rsid w:val="00421060"/>
    <w:rsid w:val="00471C19"/>
    <w:rsid w:val="004867E3"/>
    <w:rsid w:val="00494A28"/>
    <w:rsid w:val="004C0004"/>
    <w:rsid w:val="004C5D52"/>
    <w:rsid w:val="00502FB7"/>
    <w:rsid w:val="0050519A"/>
    <w:rsid w:val="005072A1"/>
    <w:rsid w:val="00514517"/>
    <w:rsid w:val="00545827"/>
    <w:rsid w:val="00560270"/>
    <w:rsid w:val="005C2568"/>
    <w:rsid w:val="005F1B17"/>
    <w:rsid w:val="006037C0"/>
    <w:rsid w:val="00625B5D"/>
    <w:rsid w:val="006631B6"/>
    <w:rsid w:val="00680577"/>
    <w:rsid w:val="0068356C"/>
    <w:rsid w:val="006F74FA"/>
    <w:rsid w:val="00731ADD"/>
    <w:rsid w:val="00734777"/>
    <w:rsid w:val="00747932"/>
    <w:rsid w:val="00751A4A"/>
    <w:rsid w:val="00756632"/>
    <w:rsid w:val="00762C74"/>
    <w:rsid w:val="00783E6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669"/>
    <w:rsid w:val="00DA7FCD"/>
    <w:rsid w:val="00E365E1"/>
    <w:rsid w:val="00E820A4"/>
    <w:rsid w:val="00EA045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DEE3D"/>
  <w15:chartTrackingRefBased/>
  <w15:docId w15:val="{8948DE3A-740C-46AC-A66B-D13B7481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,Footnote number,Footnote symbol,Footnote Reference Number,Footnote reference number,Times 10 Point,Exposant 3 Point,Voetnootverwijzing,fr,o,Footnotemark,FR,Footnotemark1,Footnotemark2,FR1,Footnotemark3,FR2,Footnotemark4,FR3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2FB7"/>
    <w:pPr>
      <w:spacing w:before="480" w:after="240"/>
    </w:pPr>
  </w:style>
  <w:style w:type="paragraph" w:customStyle="1" w:styleId="NormalHanging12a">
    <w:name w:val="NormalHanging12a"/>
    <w:basedOn w:val="Normal"/>
    <w:rsid w:val="00502FB7"/>
    <w:pPr>
      <w:spacing w:after="240"/>
      <w:ind w:left="567" w:hanging="567"/>
    </w:pPr>
  </w:style>
  <w:style w:type="character" w:styleId="Hyperlink">
    <w:name w:val="Hyperlink"/>
    <w:basedOn w:val="DefaultParagraphFont"/>
    <w:rsid w:val="00502FB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00929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6/72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986</Words>
  <Characters>7005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2026-07-07T11:41:00Z</dcterms:created>
  <dcterms:modified xsi:type="dcterms:W3CDTF">2026-07-07T11:41:00Z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A10-0180/2026</vt:lpwstr>
  </property>
  <property fmtid="{D5CDD505-2E9C-101B-9397-08002B2CF9AE}" pid="4" name="&lt;Type&gt;">
    <vt:lpwstr>RR</vt:lpwstr>
  </property>
</Properties>
</file>