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5826" w14:paraId="0E8D95B1" w14:textId="77777777" w:rsidTr="0010095E">
        <w:trPr>
          <w:trHeight w:hRule="exact" w:val="1418"/>
        </w:trPr>
        <w:tc>
          <w:tcPr>
            <w:tcW w:w="6804" w:type="dxa"/>
            <w:shd w:val="clear" w:color="auto" w:fill="auto"/>
            <w:vAlign w:val="center"/>
          </w:tcPr>
          <w:p w14:paraId="1D1DEC91" w14:textId="77777777" w:rsidR="00751A4A" w:rsidRPr="005D5826" w:rsidRDefault="00FC0D08" w:rsidP="0010095E">
            <w:pPr>
              <w:pStyle w:val="EPName"/>
            </w:pPr>
            <w:r w:rsidRPr="005D5826">
              <w:t>Europos Parlamentas</w:t>
            </w:r>
          </w:p>
          <w:p w14:paraId="2009370B" w14:textId="77777777" w:rsidR="00751A4A" w:rsidRPr="005D5826" w:rsidRDefault="005F1B17" w:rsidP="005F1B17">
            <w:pPr>
              <w:pStyle w:val="EPTerm"/>
              <w:rPr>
                <w:rStyle w:val="HideTWBExt"/>
                <w:noProof w:val="0"/>
                <w:vanish w:val="0"/>
                <w:color w:val="auto"/>
              </w:rPr>
            </w:pPr>
            <w:r w:rsidRPr="005D5826">
              <w:t>2024</w:t>
            </w:r>
            <w:r w:rsidR="00817416" w:rsidRPr="005D5826">
              <w:t>-202</w:t>
            </w:r>
            <w:r w:rsidRPr="005D5826">
              <w:t>9</w:t>
            </w:r>
          </w:p>
        </w:tc>
        <w:tc>
          <w:tcPr>
            <w:tcW w:w="2268" w:type="dxa"/>
            <w:shd w:val="clear" w:color="auto" w:fill="auto"/>
          </w:tcPr>
          <w:p w14:paraId="1C915599" w14:textId="77777777" w:rsidR="00751A4A" w:rsidRPr="005D5826" w:rsidRDefault="00187494" w:rsidP="0010095E">
            <w:pPr>
              <w:pStyle w:val="EPLogo"/>
            </w:pPr>
            <w:r w:rsidRPr="005D5826">
              <w:rPr>
                <w:noProof/>
                <w:lang w:eastAsia="ja-JP"/>
              </w:rPr>
              <w:drawing>
                <wp:inline distT="0" distB="0" distL="0" distR="0" wp14:anchorId="512A200B" wp14:editId="581C36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B4693C" w14:textId="77777777" w:rsidR="00D058B8" w:rsidRPr="005D5826" w:rsidRDefault="00D058B8" w:rsidP="004C5D52">
      <w:pPr>
        <w:pStyle w:val="LineTop"/>
      </w:pPr>
    </w:p>
    <w:p w14:paraId="6C361D01" w14:textId="77777777" w:rsidR="00680577" w:rsidRPr="005D5826" w:rsidRDefault="00FC0D08" w:rsidP="00680577">
      <w:pPr>
        <w:pStyle w:val="EPBodyTA1"/>
      </w:pPr>
      <w:r w:rsidRPr="005D5826">
        <w:t>PRIIMTI TEKSTAI</w:t>
      </w:r>
    </w:p>
    <w:p w14:paraId="73039304" w14:textId="77777777" w:rsidR="00D058B8" w:rsidRPr="005D5826" w:rsidRDefault="00D058B8" w:rsidP="00D058B8">
      <w:pPr>
        <w:pStyle w:val="LineBottom"/>
      </w:pPr>
    </w:p>
    <w:p w14:paraId="6B2BF0C5" w14:textId="601F8F72" w:rsidR="00FC0D08" w:rsidRPr="005D5826" w:rsidRDefault="00FC0D08" w:rsidP="00FC0D08">
      <w:pPr>
        <w:pStyle w:val="ATHeading1"/>
      </w:pPr>
      <w:bookmarkStart w:id="0" w:name="TANumber"/>
      <w:r w:rsidRPr="005D5826">
        <w:t>P10_TA(2026)0</w:t>
      </w:r>
      <w:r w:rsidR="0005643F">
        <w:t>242</w:t>
      </w:r>
      <w:bookmarkEnd w:id="0"/>
    </w:p>
    <w:p w14:paraId="0FC09A33" w14:textId="713E2D72" w:rsidR="00FC0D08" w:rsidRPr="005D5826" w:rsidRDefault="00FC0D08" w:rsidP="00FC0D08">
      <w:pPr>
        <w:pStyle w:val="ATHeading2"/>
      </w:pPr>
      <w:bookmarkStart w:id="1" w:name="title"/>
      <w:r w:rsidRPr="005D5826">
        <w:t>Taisomojo biudžeto Nr. 1/2026 projektas</w:t>
      </w:r>
      <w:r w:rsidR="004027FD">
        <w:t xml:space="preserve">. </w:t>
      </w:r>
      <w:r w:rsidRPr="005D5826">
        <w:t>2025 finansinių metų pertekliaus įtraukimas</w:t>
      </w:r>
      <w:bookmarkEnd w:id="1"/>
    </w:p>
    <w:p w14:paraId="6AE847E7" w14:textId="77777777" w:rsidR="00FC0D08" w:rsidRPr="005D5826" w:rsidRDefault="00FC0D08" w:rsidP="00FC0D08">
      <w:pPr>
        <w:rPr>
          <w:i/>
          <w:vanish/>
        </w:rPr>
      </w:pPr>
      <w:r w:rsidRPr="005D5826">
        <w:rPr>
          <w:i/>
        </w:rPr>
        <w:fldChar w:fldCharType="begin"/>
      </w:r>
      <w:r w:rsidRPr="005D5826">
        <w:rPr>
          <w:i/>
        </w:rPr>
        <w:instrText xml:space="preserve"> TC"(</w:instrText>
      </w:r>
      <w:bookmarkStart w:id="2" w:name="DocNumber"/>
      <w:r w:rsidRPr="005D5826">
        <w:rPr>
          <w:i/>
        </w:rPr>
        <w:instrText>A10-0180/2026</w:instrText>
      </w:r>
      <w:bookmarkEnd w:id="2"/>
      <w:r w:rsidRPr="005D5826">
        <w:rPr>
          <w:i/>
        </w:rPr>
        <w:instrText xml:space="preserve"> - Pranešėjas: Andrzej Halicki)"\l3 \n&gt; \* MERGEFORMAT </w:instrText>
      </w:r>
      <w:r w:rsidRPr="005D5826">
        <w:rPr>
          <w:i/>
        </w:rPr>
        <w:fldChar w:fldCharType="end"/>
      </w:r>
    </w:p>
    <w:p w14:paraId="6C1B5DA7" w14:textId="77777777" w:rsidR="00FC0D08" w:rsidRPr="005D5826" w:rsidRDefault="00FC0D08" w:rsidP="00FC0D08">
      <w:pPr>
        <w:rPr>
          <w:vanish/>
        </w:rPr>
      </w:pPr>
      <w:bookmarkStart w:id="3" w:name="Commission"/>
      <w:r w:rsidRPr="005D5826">
        <w:rPr>
          <w:vanish/>
        </w:rPr>
        <w:t>Biudžeto komitetas</w:t>
      </w:r>
      <w:bookmarkEnd w:id="3"/>
    </w:p>
    <w:p w14:paraId="70E4CFDE" w14:textId="77777777" w:rsidR="00FC0D08" w:rsidRPr="005D5826" w:rsidRDefault="00FC0D08" w:rsidP="00FC0D08">
      <w:pPr>
        <w:rPr>
          <w:vanish/>
        </w:rPr>
      </w:pPr>
      <w:bookmarkStart w:id="4" w:name="PE"/>
      <w:r w:rsidRPr="005D5826">
        <w:rPr>
          <w:vanish/>
        </w:rPr>
        <w:t>PE787.947</w:t>
      </w:r>
      <w:bookmarkEnd w:id="4"/>
    </w:p>
    <w:p w14:paraId="595745E8" w14:textId="19F18D23" w:rsidR="00FC0D08" w:rsidRPr="005D5826" w:rsidRDefault="00FC0D08" w:rsidP="0005643F">
      <w:pPr>
        <w:pStyle w:val="ATHeading3"/>
      </w:pPr>
      <w:bookmarkStart w:id="5" w:name="Sujet"/>
      <w:r w:rsidRPr="005D5826">
        <w:t xml:space="preserve">2026 m. </w:t>
      </w:r>
      <w:r w:rsidR="00740ED7">
        <w:t>liepos</w:t>
      </w:r>
      <w:r w:rsidR="00740ED7" w:rsidRPr="005D5826">
        <w:t xml:space="preserve"> </w:t>
      </w:r>
      <w:r w:rsidR="00740ED7">
        <w:t>7</w:t>
      </w:r>
      <w:r w:rsidR="00740ED7" w:rsidRPr="005D5826">
        <w:t xml:space="preserve"> </w:t>
      </w:r>
      <w:r w:rsidRPr="005D5826">
        <w:t>d. Europos Parlamento rezoliucija dėl Tarybos pozicijos dėl 2026 finansinių metų Europos Sąjungos taisomojo biudžeto Nr. 1/2026 projekto dėl 2025 finansinių metų pertekliaus įtraukimo</w:t>
      </w:r>
      <w:bookmarkEnd w:id="5"/>
      <w:r w:rsidRPr="005D5826">
        <w:t xml:space="preserve"> </w:t>
      </w:r>
      <w:bookmarkStart w:id="6" w:name="References"/>
      <w:r w:rsidRPr="005D5826">
        <w:t>(09919/2026 – C10-0145/2026 – 2026/0090(BUD))</w:t>
      </w:r>
      <w:bookmarkEnd w:id="6"/>
    </w:p>
    <w:p w14:paraId="3476B28F" w14:textId="77777777" w:rsidR="00CA4AD2" w:rsidRPr="005D5826" w:rsidRDefault="00CA4AD2" w:rsidP="00CA4AD2">
      <w:pPr>
        <w:pStyle w:val="EPComma"/>
      </w:pPr>
      <w:bookmarkStart w:id="7" w:name="TextBodyBegin"/>
      <w:bookmarkEnd w:id="7"/>
      <w:r w:rsidRPr="005D5826">
        <w:rPr>
          <w:i/>
        </w:rPr>
        <w:t>Europos Parlamentas</w:t>
      </w:r>
      <w:r w:rsidRPr="005D5826">
        <w:t>,</w:t>
      </w:r>
    </w:p>
    <w:p w14:paraId="48ACFAA2" w14:textId="77777777" w:rsidR="00CA4AD2" w:rsidRPr="005D5826" w:rsidRDefault="00CA4AD2" w:rsidP="00CA4AD2">
      <w:pPr>
        <w:pStyle w:val="NormalHanging12a"/>
      </w:pPr>
      <w:r w:rsidRPr="005D5826">
        <w:t>–</w:t>
      </w:r>
      <w:r w:rsidRPr="005D5826">
        <w:tab/>
        <w:t>atsižvelgdamas į Sutarties dėl Europos Sąjungos veikimo 314 straipsnį,</w:t>
      </w:r>
    </w:p>
    <w:p w14:paraId="2F17EBCC" w14:textId="77777777" w:rsidR="00CA4AD2" w:rsidRPr="005D5826" w:rsidRDefault="00CA4AD2" w:rsidP="00CA4AD2">
      <w:pPr>
        <w:pStyle w:val="NormalHanging12a"/>
      </w:pPr>
      <w:r w:rsidRPr="005D5826">
        <w:t>–</w:t>
      </w:r>
      <w:r w:rsidRPr="005D5826">
        <w:tab/>
        <w:t>atsižvelgdamas į Europos atominės energijos bendrijos steigimo sutarties 106a straipsnį,</w:t>
      </w:r>
    </w:p>
    <w:p w14:paraId="43BDCDDF" w14:textId="77777777" w:rsidR="00CA4AD2" w:rsidRPr="005D5826" w:rsidRDefault="00CA4AD2" w:rsidP="00CA4AD2">
      <w:pPr>
        <w:pStyle w:val="NormalHanging12a"/>
      </w:pPr>
      <w:r w:rsidRPr="005D5826">
        <w:t>–</w:t>
      </w:r>
      <w:r w:rsidRPr="005D5826">
        <w:tab/>
        <w:t>atsižvelgdamas į 2024 m. rugsėjo 23 d. Europos Parlamento ir Tarybos reglamentą (ES, Euratomas) 2024/2509 dėl Sąjungos bendrajam biudžetui taikomų finansinių taisyklių</w:t>
      </w:r>
      <w:r w:rsidRPr="005D5826">
        <w:rPr>
          <w:rStyle w:val="FootnoteReference"/>
        </w:rPr>
        <w:footnoteReference w:id="1"/>
      </w:r>
      <w:r w:rsidRPr="005D5826">
        <w:t>, ypač į jo 44 straipsnį,</w:t>
      </w:r>
    </w:p>
    <w:p w14:paraId="638FB8E7" w14:textId="77777777" w:rsidR="00CA4AD2" w:rsidRPr="005D5826" w:rsidRDefault="00CA4AD2" w:rsidP="00CA4AD2">
      <w:pPr>
        <w:pStyle w:val="NormalHanging12a"/>
      </w:pPr>
      <w:r w:rsidRPr="005D5826">
        <w:t>–</w:t>
      </w:r>
      <w:r w:rsidRPr="005D5826">
        <w:tab/>
        <w:t>atsižvelgdamas į Europos Sąjungos 2026 finansinių metų bendrąjį biudžetą, galutinai priimtą 2025 m. lapkričio 26 d.</w:t>
      </w:r>
      <w:r w:rsidRPr="005D5826">
        <w:rPr>
          <w:vertAlign w:val="superscript"/>
        </w:rPr>
        <w:footnoteReference w:id="2"/>
      </w:r>
      <w:r w:rsidRPr="005D5826">
        <w:t xml:space="preserve">, </w:t>
      </w:r>
    </w:p>
    <w:p w14:paraId="1BB56E68" w14:textId="77777777" w:rsidR="00CA4AD2" w:rsidRPr="005D5826" w:rsidRDefault="00CA4AD2" w:rsidP="00CA4AD2">
      <w:pPr>
        <w:pStyle w:val="NormalHanging12a"/>
      </w:pPr>
      <w:r w:rsidRPr="005D5826">
        <w:t>–</w:t>
      </w:r>
      <w:r w:rsidRPr="005D5826">
        <w:tab/>
        <w:t>atsižvelgdamas į 2020 m. gruodžio 17 d. Tarybos reglamentą (ES, Euratomas) 2020/2093, kuriuo nustatoma 2021–2027 m. daugiametė finansinė programa</w:t>
      </w:r>
      <w:r w:rsidRPr="005D5826">
        <w:rPr>
          <w:vertAlign w:val="superscript"/>
        </w:rPr>
        <w:footnoteReference w:id="3"/>
      </w:r>
      <w:r w:rsidRPr="005D5826">
        <w:t xml:space="preserve">, </w:t>
      </w:r>
    </w:p>
    <w:p w14:paraId="1A594242" w14:textId="77777777" w:rsidR="00CA4AD2" w:rsidRPr="005D5826" w:rsidRDefault="00CA4AD2" w:rsidP="00CA4AD2">
      <w:pPr>
        <w:pStyle w:val="NormalHanging12a"/>
      </w:pPr>
      <w:r w:rsidRPr="005D5826">
        <w:t>–</w:t>
      </w:r>
      <w:r w:rsidRPr="005D5826">
        <w:tab/>
        <w:t>atsižvelgdamas į Tarybos reglamentą (ES, Euratomas) 2024/765, kuriuo iš dalies keičiamas Reglamentas (ES, Euratomas) 2020/2093, kuriuo nustatoma 2021–2027 m. daugiametė finansinė programa</w:t>
      </w:r>
      <w:r w:rsidRPr="005D5826">
        <w:rPr>
          <w:vertAlign w:val="superscript"/>
        </w:rPr>
        <w:footnoteReference w:id="4"/>
      </w:r>
      <w:r w:rsidRPr="005D5826">
        <w:t>,</w:t>
      </w:r>
    </w:p>
    <w:p w14:paraId="6D4F9379" w14:textId="77777777" w:rsidR="00CA4AD2" w:rsidRPr="005D5826" w:rsidRDefault="00CA4AD2" w:rsidP="00CA4AD2">
      <w:pPr>
        <w:pStyle w:val="NormalHanging12a"/>
      </w:pPr>
      <w:r w:rsidRPr="005D5826">
        <w:t>–</w:t>
      </w:r>
      <w:r w:rsidRPr="005D5826">
        <w:tab/>
        <w:t xml:space="preserve">atsižvelgdamas į 2020 m. gruodžio 16 d. Europos Parlamento, Europos Sąjungos Tarybos ir Europos Komisijos tarpinstitucinį susitarimą dėl biudžetinės drausmės, bendradarbiavimo biudžeto klausimais ir patikimo finansų valdymo, taip pat dėl naujų </w:t>
      </w:r>
      <w:r w:rsidRPr="005D5826">
        <w:lastRenderedPageBreak/>
        <w:t>nuosavų išteklių, įskaitant veiksmų gaires dėl naujų nuosavų išteklių nustatymo</w:t>
      </w:r>
      <w:r w:rsidRPr="005D5826">
        <w:rPr>
          <w:vertAlign w:val="superscript"/>
        </w:rPr>
        <w:footnoteReference w:id="5"/>
      </w:r>
      <w:r w:rsidRPr="005D5826">
        <w:t>,</w:t>
      </w:r>
    </w:p>
    <w:p w14:paraId="20D97D53" w14:textId="77777777" w:rsidR="00CA4AD2" w:rsidRPr="005D5826" w:rsidRDefault="00CA4AD2" w:rsidP="00CA4AD2">
      <w:pPr>
        <w:pStyle w:val="NormalHanging12a"/>
      </w:pPr>
      <w:r w:rsidRPr="005D5826">
        <w:t>–</w:t>
      </w:r>
      <w:r w:rsidRPr="005D5826">
        <w:tab/>
        <w:t>atsižvelgdamas į 2020 m. gruodžio 14 d. Tarybos sprendimą (ES, Euratomas) 2020/2053 dėl Europos Sąjungos nuosavų išteklių sistemos, kuriuo panaikinamas Sprendimas 2014/335/ES, Euratomas</w:t>
      </w:r>
      <w:r w:rsidRPr="005D5826">
        <w:rPr>
          <w:vertAlign w:val="superscript"/>
        </w:rPr>
        <w:footnoteReference w:id="6"/>
      </w:r>
      <w:r w:rsidRPr="005D5826">
        <w:t xml:space="preserve">, </w:t>
      </w:r>
    </w:p>
    <w:p w14:paraId="52A99013" w14:textId="77777777" w:rsidR="00CA4AD2" w:rsidRPr="005D5826" w:rsidRDefault="00CA4AD2" w:rsidP="00CA4AD2">
      <w:pPr>
        <w:pStyle w:val="NormalHanging12a"/>
      </w:pPr>
      <w:r w:rsidRPr="005D5826">
        <w:t>–</w:t>
      </w:r>
      <w:r w:rsidRPr="005D5826">
        <w:tab/>
        <w:t>atsižvelgdamas į savo 2026 m. balandžio 28 d. rezoliuciją dėl pasiūlymo dėl Tarybos reglamento, kuriuo nustatoma 2028–2034 m. daugiametė finansinė programa</w:t>
      </w:r>
      <w:r w:rsidRPr="005D5826">
        <w:rPr>
          <w:rStyle w:val="FootnoteReference"/>
        </w:rPr>
        <w:footnoteReference w:id="7"/>
      </w:r>
      <w:r w:rsidRPr="005D5826">
        <w:t xml:space="preserve">, </w:t>
      </w:r>
    </w:p>
    <w:p w14:paraId="4E090836" w14:textId="77777777" w:rsidR="00CA4AD2" w:rsidRPr="005D5826" w:rsidRDefault="00CA4AD2" w:rsidP="00CA4AD2">
      <w:pPr>
        <w:pStyle w:val="NormalHanging12a"/>
      </w:pPr>
      <w:bookmarkStart w:id="8" w:name="_Hlk229564682"/>
      <w:r w:rsidRPr="005D5826">
        <w:t>–</w:t>
      </w:r>
      <w:r w:rsidRPr="005D5826">
        <w:tab/>
        <w:t>atsižvelgdamas į Taisomojo biudžeto Nr. 1/2026 projektą, kurį Komisija priėmė 2026 m. balandžio 10 d. (COM(2026)0450),</w:t>
      </w:r>
      <w:bookmarkEnd w:id="8"/>
    </w:p>
    <w:p w14:paraId="4B8CDB41" w14:textId="77777777" w:rsidR="00CA4AD2" w:rsidRPr="005D5826" w:rsidRDefault="00CA4AD2" w:rsidP="00CA4AD2">
      <w:pPr>
        <w:pStyle w:val="NormalHanging12a"/>
      </w:pPr>
      <w:r w:rsidRPr="005D5826">
        <w:t>–</w:t>
      </w:r>
      <w:r w:rsidRPr="005D5826">
        <w:tab/>
        <w:t>atsižvelgdamas į 2026 m. birželio 16 d. priimtą ir 2026 m. birželio 18 d. Europos Parlamentui perduotą Tarybos poziciją dėl Taisomojo biudžeto Nr. 1/2026 projekto (09919/2026),</w:t>
      </w:r>
    </w:p>
    <w:p w14:paraId="75C42C12" w14:textId="77777777" w:rsidR="00CA4AD2" w:rsidRPr="005D5826" w:rsidRDefault="00CA4AD2" w:rsidP="00CA4AD2">
      <w:pPr>
        <w:pStyle w:val="NormalHanging12a"/>
      </w:pPr>
      <w:r w:rsidRPr="005D5826">
        <w:t>–</w:t>
      </w:r>
      <w:r w:rsidRPr="005D5826">
        <w:tab/>
        <w:t>atsižvelgdamas į Darbo tvarkos taisyklių 96 ir 98 straipsnius,</w:t>
      </w:r>
    </w:p>
    <w:p w14:paraId="01DB981E" w14:textId="77777777" w:rsidR="00CA4AD2" w:rsidRPr="005D5826" w:rsidRDefault="00CA4AD2" w:rsidP="00CA4AD2">
      <w:pPr>
        <w:pStyle w:val="NormalHanging12a"/>
      </w:pPr>
      <w:r w:rsidRPr="005D5826">
        <w:t>–</w:t>
      </w:r>
      <w:r w:rsidRPr="005D5826">
        <w:tab/>
        <w:t>atsižvelgdamas į Biudžeto komiteto pranešimą (A10-0180/2026),</w:t>
      </w:r>
    </w:p>
    <w:p w14:paraId="606767D3" w14:textId="77777777" w:rsidR="00CA4AD2" w:rsidRPr="005D5826" w:rsidRDefault="00CA4AD2" w:rsidP="00CA4AD2">
      <w:pPr>
        <w:pStyle w:val="NormalHanging12a"/>
      </w:pPr>
      <w:r w:rsidRPr="005D5826">
        <w:t>A.</w:t>
      </w:r>
      <w:r w:rsidRPr="005D5826">
        <w:tab/>
        <w:t>kadangi Taisomojo biudžeto Nr. 1/2026 projekto tikslas – į 2026 m. biudžetą įtraukti perteklių, susidariusį vykdant 2025 finansinių metų biudžetą ir siekiantį 2 095 mln. EUR;</w:t>
      </w:r>
    </w:p>
    <w:p w14:paraId="7A06FAF1" w14:textId="77777777" w:rsidR="00CA4AD2" w:rsidRPr="005D5826" w:rsidRDefault="00CA4AD2" w:rsidP="00CA4AD2">
      <w:pPr>
        <w:pStyle w:val="NormalHanging12a"/>
      </w:pPr>
      <w:r w:rsidRPr="005D5826">
        <w:t>B.</w:t>
      </w:r>
      <w:r w:rsidRPr="005D5826">
        <w:tab/>
        <w:t>kadangi pagrindiniai šio pertekliaus komponentai yra teigiamas 1 994 mln. EUR rezultatas pajamų dalyje ir nepanaudota 101 mln. EUR suma;</w:t>
      </w:r>
    </w:p>
    <w:p w14:paraId="78D5F8F7" w14:textId="77777777" w:rsidR="00CA4AD2" w:rsidRPr="005D5826" w:rsidRDefault="00CA4AD2" w:rsidP="00CA4AD2">
      <w:pPr>
        <w:pStyle w:val="NormalHanging12a"/>
      </w:pPr>
      <w:r w:rsidRPr="005D5826">
        <w:t>C.</w:t>
      </w:r>
      <w:r w:rsidRPr="005D5826">
        <w:tab/>
        <w:t xml:space="preserve">kadangi pajamų srityje perteklių daugiausia lemia </w:t>
      </w:r>
      <w:bookmarkStart w:id="9" w:name="_Hlk233197369"/>
      <w:r w:rsidRPr="005D5826">
        <w:t>didesnė, nei tikėtasi, muitų suma (860 mln. EUR)</w:t>
      </w:r>
      <w:bookmarkEnd w:id="9"/>
      <w:r w:rsidRPr="005D5826">
        <w:t xml:space="preserve">; kadangi pajamų srityje antras svarbus pertekliaus dydį lemiantis veiksnys yra 840 mln. EUR finansinių pajamų, delspinigių ir baudų; </w:t>
      </w:r>
    </w:p>
    <w:p w14:paraId="43BD2107" w14:textId="77777777" w:rsidR="00CA4AD2" w:rsidRPr="005D5826" w:rsidRDefault="00CA4AD2" w:rsidP="00CA4AD2">
      <w:pPr>
        <w:pStyle w:val="NormalHanging12a"/>
      </w:pPr>
      <w:r w:rsidRPr="005D5826">
        <w:t>D.</w:t>
      </w:r>
      <w:r w:rsidRPr="005D5826">
        <w:tab/>
        <w:t>kadangi, kalbant apie išlaidas, nepanaudota visų institucijų mokėjimų asignavimų suma, įskaitant į kitą laikotarpį perkeltus ir panaikintus asignavimus, iš viso sudarė 111 mln. EUR (t. y. 0,04 proc. patvirtintų mokėjimų asignavimų);</w:t>
      </w:r>
    </w:p>
    <w:p w14:paraId="49A8E8C7" w14:textId="77777777" w:rsidR="00CA4AD2" w:rsidRPr="005D5826" w:rsidRDefault="00CA4AD2" w:rsidP="00CA4AD2">
      <w:pPr>
        <w:pStyle w:val="NormalHanging12a"/>
      </w:pPr>
      <w:r w:rsidRPr="005D5826">
        <w:t>1.</w:t>
      </w:r>
      <w:r w:rsidRPr="005D5826">
        <w:tab/>
        <w:t>atkreipia dėmesį į Komisijos pateiktą Taisomojo biudžeto Nr. 1/2026 projektą, kuris skirtas tam, kad, vadovaujantis Finansinio reglamento 18 straipsnio 3 dalimi, į biudžetą būtų įtrauktas 2025 m. susidaręs 2 095 mln. EUR perteklius;</w:t>
      </w:r>
      <w:sdt>
        <w:sdtPr>
          <w:tag w:val="goog_rdk_0"/>
          <w:id w:val="1937094721"/>
        </w:sdtPr>
        <w:sdtEndPr/>
        <w:sdtContent/>
      </w:sdt>
    </w:p>
    <w:p w14:paraId="6FF6EEF6" w14:textId="77777777" w:rsidR="00CA4AD2" w:rsidRPr="005D5826" w:rsidRDefault="00CA4AD2" w:rsidP="00CA4AD2">
      <w:pPr>
        <w:pStyle w:val="NormalHanging12a"/>
      </w:pPr>
      <w:r w:rsidRPr="005D5826">
        <w:t>2.</w:t>
      </w:r>
      <w:r w:rsidRPr="005D5826">
        <w:tab/>
        <w:t xml:space="preserve">palankiai vertina tai, kad 2025 m. perteklių visų pirma lėmė padidėjusios 1 antraštinės dalies (Nuosavi ištekliai, visų pirma muitai) ir 4 antraštinės dalies (Finansinės pajamos, delspinigiai ir baudos) kintamosios pajamos, kai tuo tarpu išlaidų dalyje perteklius tebėra labai nedidelis – 101 mln. EUR; </w:t>
      </w:r>
    </w:p>
    <w:p w14:paraId="6F3A36F2" w14:textId="77777777" w:rsidR="00CA4AD2" w:rsidRPr="005D5826" w:rsidRDefault="00CA4AD2" w:rsidP="00CA4AD2">
      <w:pPr>
        <w:pStyle w:val="NormalHanging12a"/>
      </w:pPr>
      <w:r w:rsidRPr="005D5826">
        <w:t>3.</w:t>
      </w:r>
      <w:r w:rsidRPr="005D5826">
        <w:tab/>
        <w:t xml:space="preserve">apgailestauja dėl to, kad į biudžetą įtraukus perteklių atitinkama suma sumažinamas bendras valstybių narių BNP pagrįstų nuosavų išteklių įnašas į 2026 m. biudžeto finansavimą tokio paties dydžio suma; pabrėžia, kad laikotarpiu, kai finansavimo </w:t>
      </w:r>
      <w:r w:rsidRPr="005D5826">
        <w:lastRenderedPageBreak/>
        <w:t xml:space="preserve">poreikiai, visų pirma susiję su EURI skolos tvarkymo išlaidomis, išlieka dideli ir veiksmų laisvė Sąjungos biudžete tebėra labai ribota, turėtų būti išlaikytas pakankamas biudžeto lankstumas paskutiniais dabartinės DFP metais, kad Sąjunga galėtų susidoroti su nenumatytais įvykiais; atkreipia dėmesį į tai, kad Sąjungos biudžeto lankstumas yra vienas iš pagrindinių klausimų, kurį reikia spręsti derybose dėl 2028–2034 m. daugiametės finansinės programos; </w:t>
      </w:r>
    </w:p>
    <w:p w14:paraId="275ACB31" w14:textId="77777777" w:rsidR="00CA4AD2" w:rsidRPr="005D5826" w:rsidRDefault="00CA4AD2" w:rsidP="00CA4AD2">
      <w:pPr>
        <w:pStyle w:val="NormalHanging12a"/>
      </w:pPr>
      <w:r w:rsidRPr="005D5826">
        <w:t>4.</w:t>
      </w:r>
      <w:r w:rsidRPr="005D5826">
        <w:tab/>
        <w:t>primena savo ilgalaikę poziciją, kad neplanuotos pajamos iš baudų ir mokesčių arba lygiavertės jų sumos turėtų būti naudojamos kaip papildomos Sąjungos biudžeto pajamos ir dėl jų neturėtų atitinkamai sumažėti BNP pagrįsti įnašai;</w:t>
      </w:r>
    </w:p>
    <w:p w14:paraId="6131D238" w14:textId="77777777" w:rsidR="00CA4AD2" w:rsidRPr="005D5826" w:rsidRDefault="00CA4AD2" w:rsidP="00CA4AD2">
      <w:pPr>
        <w:pStyle w:val="NormalHanging12a"/>
      </w:pPr>
      <w:r w:rsidRPr="005D5826">
        <w:t>5.</w:t>
      </w:r>
      <w:r w:rsidRPr="005D5826">
        <w:tab/>
        <w:t>atkreipia dėmesį į apskaičiuotą pakoreguotą penkioms valstybėms narėms taikomą BNP pagrįstų įnašų bendrą sumažinimą, kuris sudaro apie 5,8 mlrd. EUR grynąja verte; atkreipia dėmesį į tai, kad šis sumažinimas yra susijęs su infliacija ir todėl didėjo greičiau nei DFP viršutinės ribos, o jos kasmet koreguojamos remiantis 2 proc. defliatoriumi; pabrėžia, kad dėl šio neatitikimo kitoms valstybėms narėms tenka didesnė našta;</w:t>
      </w:r>
    </w:p>
    <w:p w14:paraId="4F5A89C1" w14:textId="77777777" w:rsidR="00CA4AD2" w:rsidRPr="005D5826" w:rsidRDefault="00CA4AD2" w:rsidP="00CA4AD2">
      <w:pPr>
        <w:pStyle w:val="NormalHanging12a"/>
      </w:pPr>
      <w:r w:rsidRPr="005D5826">
        <w:t>6.</w:t>
      </w:r>
      <w:r w:rsidRPr="005D5826">
        <w:tab/>
        <w:t>atkreipia dėmesį į 425 straipsnio neigiamų pajamų punktą, kurio suma siekia 54 mln. EUR, ir palankiai vertina šį metodą, pagal kurį į biudžetą įtraukiamos išlaidos, atsirandančios dėl mokėjimų, atliktų pagal susitarimą dėl atsiskaitymo, įskaitant kompensacines palūkanas ir delspinigių kompensaciją, atsižvelgiant į panaikintų arba sumažintų baudų už konkurencijos pažeidimus grąžinimą vadovaujantis atitinkamais Teisingumo Teismo sprendimais; primena, kad Parlamentas, derėdamasis dėl Finansinio reglamento išdėstymo nauja redakcija (2024 m.), primygtinai reikalavo taikyti šį požiūrį, kad būtų išvengta papildomų išlaidų asignavimų pagal ir taip pernelyg išeikvotą 7 išlaidų kategoriją; primena, kad šis sprendimas nustoja galioti 2027 m. gruodžio 31 d.; ragina Komisiją pasiūlyti galutinį sprendimą dėl kitos DFP, kuriuo būtų pasiektas tas pats tikslas – išvengti bet kokio poveikio biudžeto išlaidoms;</w:t>
      </w:r>
    </w:p>
    <w:p w14:paraId="5F63A207" w14:textId="2BD85719" w:rsidR="00CA4AD2" w:rsidRPr="005D5826" w:rsidRDefault="00CA4AD2" w:rsidP="00CA4AD2">
      <w:pPr>
        <w:pStyle w:val="NormalHanging12a"/>
      </w:pPr>
      <w:r w:rsidRPr="005D5826">
        <w:t>7.</w:t>
      </w:r>
      <w:r w:rsidRPr="005D5826">
        <w:tab/>
        <w:t xml:space="preserve">pakartoja savo seniai išsakytą raginimą, kad labai svarbu pagal SESV 310 straipsnį užtikrinti tvarias, nuspėjamas ir atsparias ES biudžeto pajamas, kurios turėtų atitikti išlaidas ir strateginius prioritetus bei nustatytus Sąjungos finansavimo poreikius; dar kartą patvirtina </w:t>
      </w:r>
      <w:r w:rsidR="00740ED7">
        <w:t>savo</w:t>
      </w:r>
      <w:r w:rsidR="00740ED7" w:rsidRPr="005D5826">
        <w:t xml:space="preserve"> </w:t>
      </w:r>
      <w:r w:rsidRPr="005D5826">
        <w:t>įsipareigojimą nustatyti naujus nuosavus išteklius ne tik NGEU skolai grąžinti, bet ir didesniems Sąjungos politikos užmojams finansuoti; primena, kad be naujų tikrų nuosavų išteklių finansinė našta neišvengiamai teks valstybėms narėms, nes padidės BNP pagrįsti įnašai; todėl mano, kad tikrų naujų ir bent 60 mlrd. EUR per metus siekiančių pajamų srautų nustatymas yra esminė plataus užmojo 2028–2034 m. DFP sąlyga;</w:t>
      </w:r>
    </w:p>
    <w:p w14:paraId="0C4BDC7C" w14:textId="77777777" w:rsidR="00CA4AD2" w:rsidRPr="005D5826" w:rsidRDefault="00CA4AD2" w:rsidP="00CA4AD2">
      <w:pPr>
        <w:pStyle w:val="NormalHanging12a"/>
      </w:pPr>
      <w:r w:rsidRPr="005D5826">
        <w:t>8.</w:t>
      </w:r>
      <w:r w:rsidRPr="005D5826">
        <w:tab/>
        <w:t>patvirtina Tarybos poziciją dėl Taisomojo biudžeto Nr. 1/2026 projekto;</w:t>
      </w:r>
    </w:p>
    <w:p w14:paraId="555630C6" w14:textId="77777777" w:rsidR="00CA4AD2" w:rsidRPr="005D5826" w:rsidRDefault="00CA4AD2" w:rsidP="00CA4AD2">
      <w:pPr>
        <w:pStyle w:val="NormalHanging12a"/>
      </w:pPr>
      <w:r w:rsidRPr="005D5826">
        <w:t>9.</w:t>
      </w:r>
      <w:r w:rsidRPr="005D5826">
        <w:tab/>
        <w:t xml:space="preserve">paveda Pirmininkei paskelbti, kad Taisomasis biudžetas Nr. 1/2026 yra galutinai priimtas ir pasirūpinti, kad jis būtų paskelbtas </w:t>
      </w:r>
      <w:r w:rsidRPr="005D5826">
        <w:rPr>
          <w:i/>
        </w:rPr>
        <w:t>Europos Sąjungos oficialiajame leidinyje</w:t>
      </w:r>
      <w:r w:rsidRPr="005D5826">
        <w:t>;</w:t>
      </w:r>
    </w:p>
    <w:p w14:paraId="1FB776DA" w14:textId="6B428E3B" w:rsidR="00E365E1" w:rsidRPr="005D5826" w:rsidRDefault="00CA4AD2" w:rsidP="0005643F">
      <w:pPr>
        <w:ind w:left="567" w:hanging="567"/>
      </w:pPr>
      <w:r w:rsidRPr="005D5826">
        <w:t>10.</w:t>
      </w:r>
      <w:r w:rsidRPr="005D5826">
        <w:tab/>
        <w:t>paveda Pirmininkei perduoti šią rezoliuciją Tarybai, Komisijai, kitoms atitinkamoms institucijoms ir įstaigoms ir nacionaliniams parlamentams.</w:t>
      </w:r>
    </w:p>
    <w:sectPr w:rsidR="00E365E1" w:rsidRPr="005D5826" w:rsidSect="005D58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D72F1" w14:textId="77777777" w:rsidR="00FC0D08" w:rsidRPr="005D5826" w:rsidRDefault="00FC0D08">
      <w:r w:rsidRPr="005D5826">
        <w:separator/>
      </w:r>
    </w:p>
  </w:endnote>
  <w:endnote w:type="continuationSeparator" w:id="0">
    <w:p w14:paraId="63F156C0" w14:textId="77777777" w:rsidR="00FC0D08" w:rsidRPr="005D5826" w:rsidRDefault="00FC0D08">
      <w:r w:rsidRPr="005D58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556F" w14:textId="77777777" w:rsidR="00064002" w:rsidRPr="005D58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A9CF" w14:textId="77777777" w:rsidR="00064002" w:rsidRPr="005D58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35B2" w14:textId="77777777" w:rsidR="00064002" w:rsidRPr="005D58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BDEC5" w14:textId="77777777" w:rsidR="00FC0D08" w:rsidRPr="005D5826" w:rsidRDefault="00FC0D08">
      <w:r w:rsidRPr="005D5826">
        <w:separator/>
      </w:r>
    </w:p>
  </w:footnote>
  <w:footnote w:type="continuationSeparator" w:id="0">
    <w:p w14:paraId="2E384F37" w14:textId="77777777" w:rsidR="00FC0D08" w:rsidRPr="005D5826" w:rsidRDefault="00FC0D08">
      <w:r w:rsidRPr="005D5826">
        <w:continuationSeparator/>
      </w:r>
    </w:p>
  </w:footnote>
  <w:footnote w:id="1">
    <w:p w14:paraId="3F84098D" w14:textId="32D0622E" w:rsidR="00CA4AD2" w:rsidRPr="005D5826" w:rsidRDefault="00CA4AD2" w:rsidP="005D5826">
      <w:pPr>
        <w:pStyle w:val="FootnoteText"/>
        <w:ind w:left="567" w:hanging="567"/>
        <w:rPr>
          <w:sz w:val="24"/>
          <w:lang w:val="lt-LT"/>
        </w:rPr>
      </w:pPr>
      <w:r w:rsidRPr="005D5826">
        <w:rPr>
          <w:rStyle w:val="FootnoteReference"/>
          <w:sz w:val="24"/>
          <w:lang w:val="lt-LT"/>
        </w:rPr>
        <w:footnoteRef/>
      </w:r>
      <w:r w:rsidR="005D5826" w:rsidRPr="005D5826">
        <w:rPr>
          <w:sz w:val="24"/>
          <w:lang w:val="lt-LT"/>
        </w:rPr>
        <w:t xml:space="preserve"> </w:t>
      </w:r>
      <w:r w:rsidR="005D5826" w:rsidRPr="005D5826">
        <w:rPr>
          <w:sz w:val="24"/>
          <w:lang w:val="lt-LT"/>
        </w:rPr>
        <w:tab/>
      </w:r>
      <w:r w:rsidRPr="005D5826">
        <w:rPr>
          <w:sz w:val="24"/>
          <w:lang w:val="lt-LT"/>
        </w:rPr>
        <w:t xml:space="preserve">OL L, 2024/2509, 2024 9 26, ELI: </w:t>
      </w:r>
      <w:hyperlink r:id="rId1" w:tooltip="http://data.europa.eu/eli/reg/2024/2509/oj" w:history="1">
        <w:r w:rsidRPr="005D5826">
          <w:rPr>
            <w:rStyle w:val="Hyperlink"/>
            <w:sz w:val="24"/>
            <w:lang w:val="lt-LT"/>
          </w:rPr>
          <w:t>http://data.europa.eu/eli/reg/2024/2509/oj</w:t>
        </w:r>
      </w:hyperlink>
      <w:r w:rsidRPr="005D5826">
        <w:rPr>
          <w:sz w:val="24"/>
          <w:lang w:val="lt-LT"/>
        </w:rPr>
        <w:t>.</w:t>
      </w:r>
    </w:p>
  </w:footnote>
  <w:footnote w:id="2">
    <w:p w14:paraId="476F4814" w14:textId="39DAFD85" w:rsidR="00CA4AD2" w:rsidRPr="005D5826" w:rsidRDefault="00CA4AD2" w:rsidP="005D5826">
      <w:pPr>
        <w:pStyle w:val="FootnoteText"/>
        <w:ind w:left="567" w:hanging="567"/>
        <w:rPr>
          <w:sz w:val="24"/>
          <w:lang w:val="lt-LT"/>
        </w:rPr>
      </w:pPr>
      <w:r w:rsidRPr="005D5826">
        <w:rPr>
          <w:rStyle w:val="FootnoteReference"/>
          <w:sz w:val="24"/>
          <w:lang w:val="lt-LT"/>
        </w:rPr>
        <w:footnoteRef/>
      </w:r>
      <w:r w:rsidR="005D5826" w:rsidRPr="005D5826">
        <w:rPr>
          <w:sz w:val="24"/>
          <w:lang w:val="lt-LT"/>
        </w:rPr>
        <w:t xml:space="preserve"> </w:t>
      </w:r>
      <w:r w:rsidR="005D5826" w:rsidRPr="005D5826">
        <w:rPr>
          <w:sz w:val="24"/>
          <w:lang w:val="lt-LT"/>
        </w:rPr>
        <w:tab/>
      </w:r>
      <w:r w:rsidRPr="005D5826">
        <w:rPr>
          <w:sz w:val="24"/>
          <w:lang w:val="lt-LT"/>
        </w:rPr>
        <w:t xml:space="preserve">OL L, 2026/72, 2026 2 26, ELI: </w:t>
      </w:r>
      <w:hyperlink r:id="rId2" w:history="1">
        <w:r w:rsidRPr="005D5826">
          <w:rPr>
            <w:rStyle w:val="Hyperlink"/>
            <w:sz w:val="24"/>
            <w:lang w:val="lt-LT"/>
          </w:rPr>
          <w:t>http://data.europa.eu/eli/budget/2026/72/oj</w:t>
        </w:r>
      </w:hyperlink>
      <w:r w:rsidRPr="005D5826">
        <w:rPr>
          <w:sz w:val="24"/>
          <w:lang w:val="lt-LT"/>
        </w:rPr>
        <w:t>.</w:t>
      </w:r>
    </w:p>
  </w:footnote>
  <w:footnote w:id="3">
    <w:p w14:paraId="132D09A6" w14:textId="2D4BC0E6" w:rsidR="00CA4AD2" w:rsidRPr="005D5826" w:rsidRDefault="00CA4AD2" w:rsidP="005D5826">
      <w:pPr>
        <w:pStyle w:val="FootnoteText"/>
        <w:ind w:left="567" w:hanging="567"/>
        <w:rPr>
          <w:sz w:val="24"/>
          <w:lang w:val="lt-LT"/>
        </w:rPr>
      </w:pPr>
      <w:r w:rsidRPr="005D5826">
        <w:rPr>
          <w:rStyle w:val="FootnoteReference"/>
          <w:sz w:val="24"/>
          <w:lang w:val="lt-LT"/>
        </w:rPr>
        <w:footnoteRef/>
      </w:r>
      <w:r w:rsidR="005D5826" w:rsidRPr="005D5826">
        <w:rPr>
          <w:sz w:val="24"/>
          <w:lang w:val="lt-LT"/>
        </w:rPr>
        <w:t xml:space="preserve"> </w:t>
      </w:r>
      <w:r w:rsidR="005D5826" w:rsidRPr="005D5826">
        <w:rPr>
          <w:sz w:val="24"/>
          <w:lang w:val="lt-LT"/>
        </w:rPr>
        <w:tab/>
      </w:r>
      <w:r w:rsidRPr="005D5826">
        <w:rPr>
          <w:sz w:val="24"/>
          <w:lang w:val="lt-LT"/>
        </w:rPr>
        <w:t xml:space="preserve">OL L 433 I, 2020 12 22, p. 11, ELI: </w:t>
      </w:r>
      <w:hyperlink r:id="rId3" w:history="1">
        <w:r w:rsidRPr="005D5826">
          <w:rPr>
            <w:rStyle w:val="Hyperlink"/>
            <w:sz w:val="24"/>
            <w:lang w:val="lt-LT"/>
          </w:rPr>
          <w:t>http://data.europa.eu/eli/reg/2020/2093/oj</w:t>
        </w:r>
      </w:hyperlink>
      <w:r w:rsidRPr="005D5826">
        <w:rPr>
          <w:sz w:val="24"/>
          <w:lang w:val="lt-LT"/>
        </w:rPr>
        <w:t>.</w:t>
      </w:r>
    </w:p>
  </w:footnote>
  <w:footnote w:id="4">
    <w:p w14:paraId="41D7EBBD" w14:textId="3C75796B" w:rsidR="00CA4AD2" w:rsidRPr="005D5826" w:rsidRDefault="00CA4AD2" w:rsidP="005D5826">
      <w:pPr>
        <w:pStyle w:val="FootnoteText"/>
        <w:ind w:left="567" w:hanging="567"/>
        <w:rPr>
          <w:sz w:val="24"/>
          <w:lang w:val="lt-LT"/>
        </w:rPr>
      </w:pPr>
      <w:r w:rsidRPr="005D5826">
        <w:rPr>
          <w:rStyle w:val="FootnoteReference"/>
          <w:sz w:val="24"/>
          <w:lang w:val="lt-LT"/>
        </w:rPr>
        <w:footnoteRef/>
      </w:r>
      <w:r w:rsidR="005D5826" w:rsidRPr="005D5826">
        <w:rPr>
          <w:sz w:val="24"/>
          <w:lang w:val="lt-LT"/>
        </w:rPr>
        <w:t xml:space="preserve"> </w:t>
      </w:r>
      <w:r w:rsidR="005D5826" w:rsidRPr="005D5826">
        <w:rPr>
          <w:sz w:val="24"/>
          <w:lang w:val="lt-LT"/>
        </w:rPr>
        <w:tab/>
      </w:r>
      <w:r w:rsidRPr="005D5826">
        <w:rPr>
          <w:sz w:val="24"/>
          <w:lang w:val="lt-LT"/>
        </w:rPr>
        <w:t xml:space="preserve">OL L, 2024/765, 2024 2 29, ELI: </w:t>
      </w:r>
      <w:hyperlink r:id="rId4" w:history="1">
        <w:r w:rsidRPr="005D5826">
          <w:rPr>
            <w:rStyle w:val="Hyperlink"/>
            <w:sz w:val="24"/>
            <w:lang w:val="lt-LT"/>
          </w:rPr>
          <w:t>http://data.europa.eu/eli/reg/2024/765/oj</w:t>
        </w:r>
      </w:hyperlink>
      <w:r w:rsidRPr="005D5826">
        <w:rPr>
          <w:sz w:val="24"/>
          <w:lang w:val="lt-LT"/>
        </w:rPr>
        <w:t>.</w:t>
      </w:r>
    </w:p>
  </w:footnote>
  <w:footnote w:id="5">
    <w:p w14:paraId="137B819D" w14:textId="379534DC" w:rsidR="00CA4AD2" w:rsidRPr="005D5826" w:rsidRDefault="00CA4AD2" w:rsidP="005D5826">
      <w:pPr>
        <w:pStyle w:val="FootnoteText"/>
        <w:ind w:left="567" w:hanging="567"/>
        <w:rPr>
          <w:sz w:val="24"/>
          <w:lang w:val="lt-LT"/>
        </w:rPr>
      </w:pPr>
      <w:r w:rsidRPr="005D5826">
        <w:rPr>
          <w:rStyle w:val="FootnoteReference"/>
          <w:sz w:val="24"/>
          <w:lang w:val="lt-LT"/>
        </w:rPr>
        <w:footnoteRef/>
      </w:r>
      <w:r w:rsidR="005D5826" w:rsidRPr="005D5826">
        <w:rPr>
          <w:sz w:val="24"/>
          <w:lang w:val="lt-LT"/>
        </w:rPr>
        <w:t xml:space="preserve"> </w:t>
      </w:r>
      <w:r w:rsidR="005D5826" w:rsidRPr="005D5826">
        <w:rPr>
          <w:sz w:val="24"/>
          <w:lang w:val="lt-LT"/>
        </w:rPr>
        <w:tab/>
      </w:r>
      <w:r w:rsidRPr="005D5826">
        <w:rPr>
          <w:sz w:val="24"/>
          <w:lang w:val="lt-LT"/>
        </w:rPr>
        <w:t xml:space="preserve">OL L 433 I, 2020 12 22, p. 28, ELI: </w:t>
      </w:r>
      <w:hyperlink r:id="rId5" w:history="1">
        <w:r w:rsidRPr="005D5826">
          <w:rPr>
            <w:rStyle w:val="Hyperlink"/>
            <w:sz w:val="24"/>
            <w:lang w:val="lt-LT"/>
          </w:rPr>
          <w:t>http://data.europa.eu/eli/agree_interinstit/2020/1222/oj</w:t>
        </w:r>
      </w:hyperlink>
      <w:r w:rsidRPr="005D5826">
        <w:rPr>
          <w:sz w:val="24"/>
          <w:lang w:val="lt-LT"/>
        </w:rPr>
        <w:t>.</w:t>
      </w:r>
    </w:p>
  </w:footnote>
  <w:footnote w:id="6">
    <w:p w14:paraId="0428103F" w14:textId="5DAFB5E9" w:rsidR="00CA4AD2" w:rsidRPr="005D5826" w:rsidRDefault="00CA4AD2" w:rsidP="005D5826">
      <w:pPr>
        <w:pStyle w:val="FootnoteText"/>
        <w:ind w:left="567" w:hanging="567"/>
        <w:rPr>
          <w:sz w:val="24"/>
          <w:lang w:val="lt-LT"/>
        </w:rPr>
      </w:pPr>
      <w:r w:rsidRPr="005D5826">
        <w:rPr>
          <w:rStyle w:val="FootnoteReference"/>
          <w:sz w:val="24"/>
          <w:lang w:val="lt-LT"/>
        </w:rPr>
        <w:footnoteRef/>
      </w:r>
      <w:r w:rsidR="005D5826" w:rsidRPr="005D5826">
        <w:rPr>
          <w:sz w:val="24"/>
          <w:lang w:val="lt-LT"/>
        </w:rPr>
        <w:t xml:space="preserve"> </w:t>
      </w:r>
      <w:r w:rsidR="005D5826" w:rsidRPr="005D5826">
        <w:rPr>
          <w:sz w:val="24"/>
          <w:lang w:val="lt-LT"/>
        </w:rPr>
        <w:tab/>
      </w:r>
      <w:r w:rsidRPr="005D5826">
        <w:rPr>
          <w:sz w:val="24"/>
          <w:lang w:val="lt-LT"/>
        </w:rPr>
        <w:t xml:space="preserve">OL L 424, 2020 12 15, p. 1, ELI: </w:t>
      </w:r>
      <w:hyperlink r:id="rId6" w:history="1">
        <w:r w:rsidRPr="005D5826">
          <w:rPr>
            <w:rStyle w:val="Hyperlink"/>
            <w:sz w:val="24"/>
            <w:lang w:val="lt-LT"/>
          </w:rPr>
          <w:t>http://data.europa.eu/eli/dec/2020/2053/oj</w:t>
        </w:r>
      </w:hyperlink>
      <w:r w:rsidRPr="005D5826">
        <w:rPr>
          <w:sz w:val="24"/>
          <w:lang w:val="lt-LT"/>
        </w:rPr>
        <w:t>.</w:t>
      </w:r>
    </w:p>
  </w:footnote>
  <w:footnote w:id="7">
    <w:p w14:paraId="1003FACF" w14:textId="6A23FE4C" w:rsidR="00CA4AD2" w:rsidRPr="005D5826" w:rsidRDefault="00CA4AD2" w:rsidP="005D5826">
      <w:pPr>
        <w:pStyle w:val="FootnoteText"/>
        <w:ind w:left="567" w:hanging="567"/>
        <w:rPr>
          <w:sz w:val="24"/>
          <w:lang w:val="lt-LT"/>
        </w:rPr>
      </w:pPr>
      <w:r w:rsidRPr="005D5826">
        <w:rPr>
          <w:rStyle w:val="FootnoteReference"/>
          <w:sz w:val="24"/>
          <w:lang w:val="lt-LT"/>
        </w:rPr>
        <w:footnoteRef/>
      </w:r>
      <w:r w:rsidR="005D5826" w:rsidRPr="005D5826">
        <w:rPr>
          <w:sz w:val="24"/>
          <w:lang w:val="lt-LT"/>
        </w:rPr>
        <w:t xml:space="preserve"> </w:t>
      </w:r>
      <w:r w:rsidR="005D5826" w:rsidRPr="005D5826">
        <w:rPr>
          <w:sz w:val="24"/>
          <w:lang w:val="lt-LT"/>
        </w:rPr>
        <w:tab/>
      </w:r>
      <w:r w:rsidRPr="005D5826">
        <w:rPr>
          <w:sz w:val="24"/>
          <w:lang w:val="lt-LT"/>
        </w:rPr>
        <w:t xml:space="preserve">Priimti tekstai, </w:t>
      </w:r>
      <w:hyperlink r:id="rId7" w:history="1">
        <w:r w:rsidRPr="005D5826">
          <w:rPr>
            <w:rStyle w:val="Hyperlink"/>
            <w:sz w:val="24"/>
            <w:lang w:val="lt-LT"/>
          </w:rPr>
          <w:t>P10_TA(2026)0111</w:t>
        </w:r>
      </w:hyperlink>
      <w:r w:rsidRPr="005D5826">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D478" w14:textId="77777777" w:rsidR="00064002" w:rsidRPr="005D58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824DC" w14:textId="77777777" w:rsidR="00064002" w:rsidRPr="005D58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A7756" w14:textId="77777777" w:rsidR="00064002" w:rsidRPr="005D58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8119097">
    <w:abstractNumId w:val="9"/>
  </w:num>
  <w:num w:numId="2" w16cid:durableId="2128891513">
    <w:abstractNumId w:val="9"/>
  </w:num>
  <w:num w:numId="3" w16cid:durableId="625696899">
    <w:abstractNumId w:val="7"/>
  </w:num>
  <w:num w:numId="4" w16cid:durableId="1014306892">
    <w:abstractNumId w:val="7"/>
  </w:num>
  <w:num w:numId="5" w16cid:durableId="1991784907">
    <w:abstractNumId w:val="6"/>
  </w:num>
  <w:num w:numId="6" w16cid:durableId="471211446">
    <w:abstractNumId w:val="6"/>
  </w:num>
  <w:num w:numId="7" w16cid:durableId="1908761403">
    <w:abstractNumId w:val="5"/>
  </w:num>
  <w:num w:numId="8" w16cid:durableId="1314796078">
    <w:abstractNumId w:val="5"/>
  </w:num>
  <w:num w:numId="9" w16cid:durableId="604459570">
    <w:abstractNumId w:val="4"/>
  </w:num>
  <w:num w:numId="10" w16cid:durableId="1382292171">
    <w:abstractNumId w:val="4"/>
  </w:num>
  <w:num w:numId="11" w16cid:durableId="633370903">
    <w:abstractNumId w:val="8"/>
  </w:num>
  <w:num w:numId="12" w16cid:durableId="1242443325">
    <w:abstractNumId w:val="8"/>
  </w:num>
  <w:num w:numId="13" w16cid:durableId="1623144462">
    <w:abstractNumId w:val="3"/>
  </w:num>
  <w:num w:numId="14" w16cid:durableId="863052753">
    <w:abstractNumId w:val="3"/>
  </w:num>
  <w:num w:numId="15" w16cid:durableId="1659455699">
    <w:abstractNumId w:val="2"/>
  </w:num>
  <w:num w:numId="16" w16cid:durableId="383063039">
    <w:abstractNumId w:val="2"/>
  </w:num>
  <w:num w:numId="17" w16cid:durableId="2072002922">
    <w:abstractNumId w:val="1"/>
  </w:num>
  <w:num w:numId="18" w16cid:durableId="1827698306">
    <w:abstractNumId w:val="1"/>
  </w:num>
  <w:num w:numId="19" w16cid:durableId="2055956602">
    <w:abstractNumId w:val="0"/>
  </w:num>
  <w:num w:numId="20" w16cid:durableId="1266034438">
    <w:abstractNumId w:val="0"/>
  </w:num>
  <w:num w:numId="21" w16cid:durableId="1178538897">
    <w:abstractNumId w:val="9"/>
  </w:num>
  <w:num w:numId="22" w16cid:durableId="478957439">
    <w:abstractNumId w:val="7"/>
  </w:num>
  <w:num w:numId="23" w16cid:durableId="520585061">
    <w:abstractNumId w:val="6"/>
  </w:num>
  <w:num w:numId="24" w16cid:durableId="1457679626">
    <w:abstractNumId w:val="5"/>
  </w:num>
  <w:num w:numId="25" w16cid:durableId="1956868683">
    <w:abstractNumId w:val="4"/>
  </w:num>
  <w:num w:numId="26" w16cid:durableId="1919947078">
    <w:abstractNumId w:val="8"/>
  </w:num>
  <w:num w:numId="27" w16cid:durableId="189803459">
    <w:abstractNumId w:val="3"/>
  </w:num>
  <w:num w:numId="28" w16cid:durableId="1268929570">
    <w:abstractNumId w:val="2"/>
  </w:num>
  <w:num w:numId="29" w16cid:durableId="1718435455">
    <w:abstractNumId w:val="1"/>
  </w:num>
  <w:num w:numId="30" w16cid:durableId="305740034">
    <w:abstractNumId w:val="0"/>
  </w:num>
  <w:num w:numId="31" w16cid:durableId="251864629">
    <w:abstractNumId w:val="9"/>
  </w:num>
  <w:num w:numId="32" w16cid:durableId="1988432155">
    <w:abstractNumId w:val="7"/>
  </w:num>
  <w:num w:numId="33" w16cid:durableId="842084288">
    <w:abstractNumId w:val="6"/>
  </w:num>
  <w:num w:numId="34" w16cid:durableId="1594240732">
    <w:abstractNumId w:val="5"/>
  </w:num>
  <w:num w:numId="35" w16cid:durableId="129791748">
    <w:abstractNumId w:val="4"/>
  </w:num>
  <w:num w:numId="36" w16cid:durableId="521550121">
    <w:abstractNumId w:val="8"/>
  </w:num>
  <w:num w:numId="37" w16cid:durableId="1351564634">
    <w:abstractNumId w:val="3"/>
  </w:num>
  <w:num w:numId="38" w16cid:durableId="1357147842">
    <w:abstractNumId w:val="2"/>
  </w:num>
  <w:num w:numId="39" w16cid:durableId="201020199">
    <w:abstractNumId w:val="1"/>
  </w:num>
  <w:num w:numId="40" w16cid:durableId="865680458">
    <w:abstractNumId w:val="0"/>
  </w:num>
  <w:num w:numId="41" w16cid:durableId="2141610419">
    <w:abstractNumId w:val="10"/>
  </w:num>
  <w:num w:numId="42" w16cid:durableId="632252004">
    <w:abstractNumId w:val="10"/>
  </w:num>
  <w:num w:numId="43" w16cid:durableId="375008329">
    <w:abstractNumId w:val="10"/>
  </w:num>
  <w:num w:numId="44" w16cid:durableId="2840403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LT"/>
    <w:docVar w:name="dvnumam" w:val="0"/>
    <w:docVar w:name="dvpe" w:val="787.947"/>
    <w:docVar w:name="dvrapporteur" w:val="Pranešėjas: "/>
    <w:docVar w:name="dvtitre" w:val="2026 m. ... ... d. Europos Parlamento rezoliucija dėl Tarybos pozicijos dėl 2026 finansinių metų Europos Sąjungos taisomojo biudžeto Nr. 1/2026 projekto dėl 2025 finansinių metų pertekliaus įtraukimo(09919/2026 – C10-0145/2026 – 2026/0090(BUD))"/>
  </w:docVars>
  <w:rsids>
    <w:rsidRoot w:val="00FC0D08"/>
    <w:rsid w:val="00002272"/>
    <w:rsid w:val="0005643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27F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5826"/>
    <w:rsid w:val="005F1B17"/>
    <w:rsid w:val="006037C0"/>
    <w:rsid w:val="006631B6"/>
    <w:rsid w:val="00680577"/>
    <w:rsid w:val="006F74FA"/>
    <w:rsid w:val="00731ADD"/>
    <w:rsid w:val="00734777"/>
    <w:rsid w:val="00740ED7"/>
    <w:rsid w:val="00747932"/>
    <w:rsid w:val="00751A4A"/>
    <w:rsid w:val="00756632"/>
    <w:rsid w:val="00762C74"/>
    <w:rsid w:val="00786EC0"/>
    <w:rsid w:val="007D0AC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2B3"/>
    <w:rsid w:val="00B558F0"/>
    <w:rsid w:val="00BD48FE"/>
    <w:rsid w:val="00BD7BD8"/>
    <w:rsid w:val="00BE6ADC"/>
    <w:rsid w:val="00C05BFE"/>
    <w:rsid w:val="00C23CD4"/>
    <w:rsid w:val="00C61C0C"/>
    <w:rsid w:val="00C941CB"/>
    <w:rsid w:val="00CA4AD2"/>
    <w:rsid w:val="00CC2357"/>
    <w:rsid w:val="00CF071A"/>
    <w:rsid w:val="00D058B8"/>
    <w:rsid w:val="00D270E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0D0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FEC4AA"/>
  <w15:chartTrackingRefBased/>
  <w15:docId w15:val="{C0618D54-4ED5-412C-9B00-3EBA3637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4AD2"/>
    <w:pPr>
      <w:spacing w:before="480" w:after="240"/>
    </w:pPr>
  </w:style>
  <w:style w:type="paragraph" w:customStyle="1" w:styleId="NormalHanging12a">
    <w:name w:val="NormalHanging12a"/>
    <w:basedOn w:val="Normal"/>
    <w:rsid w:val="00CA4AD2"/>
    <w:pPr>
      <w:spacing w:after="240"/>
      <w:ind w:left="567" w:hanging="567"/>
    </w:pPr>
  </w:style>
  <w:style w:type="character" w:styleId="Hyperlink">
    <w:name w:val="Hyperlink"/>
    <w:basedOn w:val="DefaultParagraphFont"/>
    <w:rsid w:val="00CA4AD2"/>
    <w:rPr>
      <w:color w:val="0563C1" w:themeColor="hyperlink"/>
      <w:u w:val="single"/>
    </w:rPr>
  </w:style>
  <w:style w:type="paragraph" w:styleId="Revision">
    <w:name w:val="Revision"/>
    <w:hidden/>
    <w:uiPriority w:val="99"/>
    <w:semiHidden/>
    <w:rsid w:val="00740ED7"/>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7" Type="http://schemas.openxmlformats.org/officeDocument/2006/relationships/hyperlink" Target="https://www.europarl.europa.eu/doceo/document/TA-10-2026-0111_EN.html"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943</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2026-07-07T10:17:00Z</dcterms:created>
  <dcterms:modified xsi:type="dcterms:W3CDTF">2026-07-07T10:17:00Z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A10-0180/2026</vt:lpwstr>
  </property>
  <property fmtid="{D5CDD505-2E9C-101B-9397-08002B2CF9AE}" pid="4" name="&lt;Type&gt;">
    <vt:lpwstr>RR</vt:lpwstr>
  </property>
</Properties>
</file>