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79B7" w14:paraId="194665EE" w14:textId="77777777" w:rsidTr="0010095E">
        <w:trPr>
          <w:trHeight w:hRule="exact" w:val="1418"/>
        </w:trPr>
        <w:tc>
          <w:tcPr>
            <w:tcW w:w="6804" w:type="dxa"/>
            <w:shd w:val="clear" w:color="auto" w:fill="auto"/>
            <w:vAlign w:val="center"/>
          </w:tcPr>
          <w:p w14:paraId="33242408" w14:textId="77777777" w:rsidR="00751A4A" w:rsidRPr="00ED79B7" w:rsidRDefault="00C97E28" w:rsidP="0010095E">
            <w:pPr>
              <w:pStyle w:val="EPName"/>
            </w:pPr>
            <w:r w:rsidRPr="00ED79B7">
              <w:t>Eiropas Parlaments</w:t>
            </w:r>
          </w:p>
          <w:p w14:paraId="0C8705F6" w14:textId="77777777" w:rsidR="00751A4A" w:rsidRPr="00ED79B7" w:rsidRDefault="005F1B17" w:rsidP="005F1B17">
            <w:pPr>
              <w:pStyle w:val="EPTerm"/>
              <w:rPr>
                <w:rStyle w:val="HideTWBExt"/>
                <w:noProof w:val="0"/>
                <w:vanish w:val="0"/>
                <w:color w:val="auto"/>
              </w:rPr>
            </w:pPr>
            <w:r w:rsidRPr="00ED79B7">
              <w:t>2024</w:t>
            </w:r>
            <w:r w:rsidR="00817416" w:rsidRPr="00ED79B7">
              <w:t>-202</w:t>
            </w:r>
            <w:r w:rsidRPr="00ED79B7">
              <w:t>9</w:t>
            </w:r>
          </w:p>
        </w:tc>
        <w:tc>
          <w:tcPr>
            <w:tcW w:w="2268" w:type="dxa"/>
            <w:shd w:val="clear" w:color="auto" w:fill="auto"/>
          </w:tcPr>
          <w:p w14:paraId="32FC6F4B" w14:textId="77777777" w:rsidR="00751A4A" w:rsidRPr="00ED79B7" w:rsidRDefault="00187494" w:rsidP="0010095E">
            <w:pPr>
              <w:pStyle w:val="EPLogo"/>
            </w:pPr>
            <w:r w:rsidRPr="00ED79B7">
              <w:rPr>
                <w:noProof/>
                <w:lang w:eastAsia="ja-JP"/>
              </w:rPr>
              <w:drawing>
                <wp:inline distT="0" distB="0" distL="0" distR="0" wp14:anchorId="0562FB5C" wp14:editId="4151AA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C116D8" w14:textId="77777777" w:rsidR="00D058B8" w:rsidRPr="00ED79B7" w:rsidRDefault="00D058B8" w:rsidP="004C5D52">
      <w:pPr>
        <w:pStyle w:val="LineTop"/>
      </w:pPr>
    </w:p>
    <w:p w14:paraId="56962137" w14:textId="77777777" w:rsidR="00680577" w:rsidRPr="00ED79B7" w:rsidRDefault="00C97E28" w:rsidP="00680577">
      <w:pPr>
        <w:pStyle w:val="EPBodyTA1"/>
      </w:pPr>
      <w:r w:rsidRPr="00ED79B7">
        <w:t>PIEŅEMTIE TEKSTI</w:t>
      </w:r>
    </w:p>
    <w:p w14:paraId="58851ABD" w14:textId="77777777" w:rsidR="00D058B8" w:rsidRPr="00ED79B7" w:rsidRDefault="00D058B8" w:rsidP="00D058B8">
      <w:pPr>
        <w:pStyle w:val="LineBottom"/>
      </w:pPr>
    </w:p>
    <w:p w14:paraId="055FA3C0" w14:textId="021AD913" w:rsidR="00C97E28" w:rsidRPr="00ED79B7" w:rsidRDefault="00C97E28" w:rsidP="00C97E28">
      <w:pPr>
        <w:pStyle w:val="ATHeading1"/>
      </w:pPr>
      <w:bookmarkStart w:id="0" w:name="TANumber"/>
      <w:r w:rsidRPr="00ED79B7">
        <w:t>P10_TA(2026)0</w:t>
      </w:r>
      <w:r w:rsidR="000C5E25" w:rsidRPr="00ED79B7">
        <w:t>242</w:t>
      </w:r>
      <w:bookmarkEnd w:id="0"/>
    </w:p>
    <w:p w14:paraId="41199D1F" w14:textId="4CDD8327" w:rsidR="00C97E28" w:rsidRPr="00ED79B7" w:rsidRDefault="00BB0706" w:rsidP="00C97E28">
      <w:pPr>
        <w:pStyle w:val="ATHeading2"/>
      </w:pPr>
      <w:bookmarkStart w:id="1" w:name="title"/>
      <w:r w:rsidRPr="00ED79B7">
        <w:rPr>
          <w:bCs/>
        </w:rPr>
        <w:t>Bud</w:t>
      </w:r>
      <w:r w:rsidRPr="00ED79B7">
        <w:rPr>
          <w:rFonts w:hint="eastAsia"/>
          <w:bCs/>
        </w:rPr>
        <w:t>ž</w:t>
      </w:r>
      <w:r w:rsidRPr="00ED79B7">
        <w:rPr>
          <w:bCs/>
        </w:rPr>
        <w:t>eta groz</w:t>
      </w:r>
      <w:r w:rsidRPr="00ED79B7">
        <w:rPr>
          <w:rFonts w:hint="eastAsia"/>
          <w:bCs/>
        </w:rPr>
        <w:t>ī</w:t>
      </w:r>
      <w:r w:rsidRPr="00ED79B7">
        <w:rPr>
          <w:bCs/>
        </w:rPr>
        <w:t>juma Nr. 1/2026 projekts: 2025. finan</w:t>
      </w:r>
      <w:r w:rsidRPr="00ED79B7">
        <w:rPr>
          <w:rFonts w:hint="eastAsia"/>
          <w:bCs/>
        </w:rPr>
        <w:t>š</w:t>
      </w:r>
      <w:r w:rsidRPr="00ED79B7">
        <w:rPr>
          <w:bCs/>
        </w:rPr>
        <w:t>u gada p</w:t>
      </w:r>
      <w:r w:rsidRPr="00ED79B7">
        <w:rPr>
          <w:rFonts w:hint="eastAsia"/>
          <w:bCs/>
        </w:rPr>
        <w:t>ā</w:t>
      </w:r>
      <w:r w:rsidRPr="00ED79B7">
        <w:rPr>
          <w:bCs/>
        </w:rPr>
        <w:t>rpalikuma ieskait</w:t>
      </w:r>
      <w:r w:rsidRPr="00ED79B7">
        <w:rPr>
          <w:rFonts w:hint="eastAsia"/>
          <w:bCs/>
        </w:rPr>
        <w:t>īš</w:t>
      </w:r>
      <w:r w:rsidRPr="00ED79B7">
        <w:rPr>
          <w:bCs/>
        </w:rPr>
        <w:t>ana</w:t>
      </w:r>
      <w:bookmarkEnd w:id="1"/>
    </w:p>
    <w:p w14:paraId="0EAD73B9" w14:textId="77777777" w:rsidR="00C97E28" w:rsidRPr="00ED79B7" w:rsidRDefault="00C97E28" w:rsidP="00C97E28">
      <w:pPr>
        <w:rPr>
          <w:i/>
          <w:vanish/>
        </w:rPr>
      </w:pPr>
      <w:r w:rsidRPr="00ED79B7">
        <w:rPr>
          <w:i/>
        </w:rPr>
        <w:fldChar w:fldCharType="begin"/>
      </w:r>
      <w:r w:rsidRPr="00ED79B7">
        <w:rPr>
          <w:i/>
        </w:rPr>
        <w:instrText xml:space="preserve"> TC"(</w:instrText>
      </w:r>
      <w:bookmarkStart w:id="2" w:name="DocNumber"/>
      <w:r w:rsidRPr="00ED79B7">
        <w:rPr>
          <w:i/>
        </w:rPr>
        <w:instrText>A10-0180/2026</w:instrText>
      </w:r>
      <w:bookmarkEnd w:id="2"/>
      <w:r w:rsidRPr="00ED79B7">
        <w:rPr>
          <w:i/>
        </w:rPr>
        <w:instrText xml:space="preserve"> - Referents: Andrzej Halicki)"\l3 \n&gt; \* MERGEFORMAT </w:instrText>
      </w:r>
      <w:r w:rsidRPr="00ED79B7">
        <w:rPr>
          <w:i/>
        </w:rPr>
        <w:fldChar w:fldCharType="end"/>
      </w:r>
    </w:p>
    <w:p w14:paraId="2F3D424C" w14:textId="77777777" w:rsidR="00C97E28" w:rsidRPr="00ED79B7" w:rsidRDefault="00C97E28" w:rsidP="00C97E28">
      <w:pPr>
        <w:rPr>
          <w:vanish/>
        </w:rPr>
      </w:pPr>
      <w:bookmarkStart w:id="3" w:name="Commission"/>
      <w:r w:rsidRPr="00ED79B7">
        <w:rPr>
          <w:vanish/>
        </w:rPr>
        <w:t>Budžeta komiteja</w:t>
      </w:r>
      <w:bookmarkEnd w:id="3"/>
    </w:p>
    <w:p w14:paraId="5C251907" w14:textId="77777777" w:rsidR="00C97E28" w:rsidRPr="00ED79B7" w:rsidRDefault="00C97E28" w:rsidP="00C97E28">
      <w:pPr>
        <w:rPr>
          <w:vanish/>
        </w:rPr>
      </w:pPr>
      <w:bookmarkStart w:id="4" w:name="PE"/>
      <w:r w:rsidRPr="00ED79B7">
        <w:rPr>
          <w:vanish/>
        </w:rPr>
        <w:t>PE787.947</w:t>
      </w:r>
      <w:bookmarkEnd w:id="4"/>
    </w:p>
    <w:p w14:paraId="163DFCF5" w14:textId="3689A3AE" w:rsidR="00C97E28" w:rsidRPr="00ED79B7" w:rsidRDefault="00C97E28" w:rsidP="00C97E28">
      <w:pPr>
        <w:pStyle w:val="ATHeading3"/>
      </w:pPr>
      <w:bookmarkStart w:id="5" w:name="Sujet"/>
      <w:r w:rsidRPr="00ED79B7">
        <w:t xml:space="preserve">Eiropas Parlamenta 2026. gada </w:t>
      </w:r>
      <w:r w:rsidR="00BB0706" w:rsidRPr="00ED79B7">
        <w:t>7. jūlija</w:t>
      </w:r>
      <w:r w:rsidRPr="00ED79B7">
        <w:t xml:space="preserve"> rezolūcija par Padomes nostāju attiecībā uz Eiropas Savienības 2026. finanšu gada budžeta grozījuma Nr. 1/2026 projektu: 2025. finanšu gada pārpalikuma ieskaitīšana</w:t>
      </w:r>
      <w:bookmarkEnd w:id="5"/>
      <w:r w:rsidRPr="00ED79B7">
        <w:t xml:space="preserve"> </w:t>
      </w:r>
      <w:bookmarkStart w:id="6" w:name="References"/>
      <w:r w:rsidRPr="00ED79B7">
        <w:t>(09919/2026 – C10-0145/2026 – 2026/0090(BUD))</w:t>
      </w:r>
      <w:bookmarkEnd w:id="6"/>
    </w:p>
    <w:p w14:paraId="734A7808" w14:textId="77777777" w:rsidR="00837E89" w:rsidRPr="00ED79B7" w:rsidRDefault="00837E89" w:rsidP="00837E89">
      <w:pPr>
        <w:pStyle w:val="EPComma"/>
      </w:pPr>
      <w:bookmarkStart w:id="7" w:name="TextBodyBegin"/>
      <w:bookmarkEnd w:id="7"/>
      <w:r w:rsidRPr="00ED79B7">
        <w:rPr>
          <w:i/>
          <w:iCs/>
        </w:rPr>
        <w:t>Eiropas Parlaments,</w:t>
      </w:r>
    </w:p>
    <w:p w14:paraId="0AEBBB87" w14:textId="77777777" w:rsidR="00837E89" w:rsidRPr="00ED79B7" w:rsidRDefault="00837E89" w:rsidP="00837E89">
      <w:pPr>
        <w:pStyle w:val="NormalHanging12a"/>
      </w:pPr>
      <w:r w:rsidRPr="00ED79B7">
        <w:t>–</w:t>
      </w:r>
      <w:r w:rsidRPr="00ED79B7">
        <w:tab/>
        <w:t>ņemot vērā Līguma par Eiropas Savienības darbību 314. pantu,</w:t>
      </w:r>
    </w:p>
    <w:p w14:paraId="1085DDD2" w14:textId="77777777" w:rsidR="00837E89" w:rsidRPr="00ED79B7" w:rsidRDefault="00837E89" w:rsidP="00837E89">
      <w:pPr>
        <w:pStyle w:val="NormalHanging12a"/>
      </w:pPr>
      <w:r w:rsidRPr="00ED79B7">
        <w:t>–</w:t>
      </w:r>
      <w:r w:rsidRPr="00ED79B7">
        <w:tab/>
        <w:t>ņemot vērā Eiropas Atomenerģijas kopienas dibināšanas līguma 106.a pantu,</w:t>
      </w:r>
    </w:p>
    <w:p w14:paraId="7A9B8878" w14:textId="77777777" w:rsidR="00837E89" w:rsidRPr="00ED79B7" w:rsidRDefault="00837E89" w:rsidP="00837E89">
      <w:pPr>
        <w:pStyle w:val="NormalHanging12a"/>
      </w:pPr>
      <w:r w:rsidRPr="00ED79B7">
        <w:t>–</w:t>
      </w:r>
      <w:r w:rsidRPr="00ED79B7">
        <w:tab/>
        <w:t xml:space="preserve">ņemot vērā Eiropas Parlamenta un Padomes 2024. gada 23. septembra Regulu (ES, </w:t>
      </w:r>
      <w:r w:rsidRPr="00ED79B7">
        <w:rPr>
          <w:i/>
          <w:iCs/>
        </w:rPr>
        <w:t>Euratom</w:t>
      </w:r>
      <w:r w:rsidRPr="00ED79B7">
        <w:t>) 2024/2509 par finanšu noteikumiem, ko piemēro Savienības vispārējam budžetam</w:t>
      </w:r>
      <w:r w:rsidRPr="00ED79B7">
        <w:rPr>
          <w:rStyle w:val="FootnoteReference"/>
        </w:rPr>
        <w:footnoteReference w:id="1"/>
      </w:r>
      <w:r w:rsidRPr="00ED79B7">
        <w:t>, un jo īpaši tās 44. pantu,</w:t>
      </w:r>
    </w:p>
    <w:p w14:paraId="3BCF52DD" w14:textId="77777777" w:rsidR="00837E89" w:rsidRPr="00ED79B7" w:rsidRDefault="00837E89" w:rsidP="00837E89">
      <w:pPr>
        <w:pStyle w:val="NormalHanging12a"/>
      </w:pPr>
      <w:r w:rsidRPr="00ED79B7">
        <w:t>–</w:t>
      </w:r>
      <w:r w:rsidRPr="00ED79B7">
        <w:tab/>
        <w:t>ņemot vērā Eiropas Savienības 2026. finanšu gada vispārējo budžetu, ko galīgajā variantā pieņēma 2025. gada 26. novembrī</w:t>
      </w:r>
      <w:r w:rsidRPr="00ED79B7">
        <w:rPr>
          <w:vertAlign w:val="superscript"/>
        </w:rPr>
        <w:footnoteReference w:id="2"/>
      </w:r>
      <w:r w:rsidRPr="00ED79B7">
        <w:t>,</w:t>
      </w:r>
    </w:p>
    <w:p w14:paraId="1BAAB816" w14:textId="77777777" w:rsidR="00837E89" w:rsidRPr="00ED79B7" w:rsidRDefault="00837E89" w:rsidP="00837E89">
      <w:pPr>
        <w:pStyle w:val="NormalHanging12a"/>
      </w:pPr>
      <w:r w:rsidRPr="00ED79B7">
        <w:t>–</w:t>
      </w:r>
      <w:r w:rsidRPr="00ED79B7">
        <w:tab/>
        <w:t xml:space="preserve">ņemot vērā Padomes 2020. gada 17. decembra Regulu (ES, </w:t>
      </w:r>
      <w:r w:rsidRPr="00ED79B7">
        <w:rPr>
          <w:i/>
          <w:iCs/>
        </w:rPr>
        <w:t>Euratom</w:t>
      </w:r>
      <w:r w:rsidRPr="00ED79B7">
        <w:t>) 2020/2093, ar ko nosaka daudzgadu finanšu shēmu 2021.–2027. gadam</w:t>
      </w:r>
      <w:r w:rsidRPr="00ED79B7">
        <w:rPr>
          <w:vertAlign w:val="superscript"/>
        </w:rPr>
        <w:footnoteReference w:id="3"/>
      </w:r>
      <w:r w:rsidRPr="00ED79B7">
        <w:t xml:space="preserve">, </w:t>
      </w:r>
    </w:p>
    <w:p w14:paraId="7F64E89F" w14:textId="77777777" w:rsidR="00837E89" w:rsidRPr="00ED79B7" w:rsidRDefault="00837E89" w:rsidP="00837E89">
      <w:pPr>
        <w:pStyle w:val="NormalHanging12a"/>
      </w:pPr>
      <w:r w:rsidRPr="00ED79B7">
        <w:t>–</w:t>
      </w:r>
      <w:r w:rsidRPr="00ED79B7">
        <w:tab/>
        <w:t>ņemot vērā Padomes Regulu (ES,</w:t>
      </w:r>
      <w:r w:rsidRPr="00ED79B7">
        <w:rPr>
          <w:i/>
          <w:iCs/>
        </w:rPr>
        <w:t xml:space="preserve"> Euratom</w:t>
      </w:r>
      <w:r w:rsidRPr="00ED79B7">
        <w:t xml:space="preserve">) 2024/765, ar kuru groza Regulu (ES, </w:t>
      </w:r>
      <w:r w:rsidRPr="00ED79B7">
        <w:rPr>
          <w:i/>
          <w:iCs/>
        </w:rPr>
        <w:t>Euratom</w:t>
      </w:r>
      <w:r w:rsidRPr="00ED79B7">
        <w:t>) 2020/2093, ar ko nosaka daudzgadu finanšu shēmu 2021.–2027. gadam</w:t>
      </w:r>
      <w:r w:rsidRPr="00ED79B7">
        <w:rPr>
          <w:vertAlign w:val="superscript"/>
        </w:rPr>
        <w:footnoteReference w:id="4"/>
      </w:r>
      <w:r w:rsidRPr="00ED79B7">
        <w:t>,</w:t>
      </w:r>
    </w:p>
    <w:p w14:paraId="5D3D2AA6" w14:textId="77777777" w:rsidR="00837E89" w:rsidRPr="00ED79B7" w:rsidRDefault="00837E89" w:rsidP="00837E89">
      <w:pPr>
        <w:pStyle w:val="NormalHanging12a"/>
      </w:pPr>
      <w:r w:rsidRPr="00ED79B7">
        <w:t>–</w:t>
      </w:r>
      <w:r w:rsidRPr="00ED79B7">
        <w:tab/>
        <w:t xml:space="preserve">ņemot vērā 2020. gada 16. decembra Iestāžu nolīgumu starp Eiropas Parlamentu, Eiropas Savienības Padomi un Eiropas Komisiju par budžeta disciplīnu, sadarbību budžeta jautājumos un pareizu finanšu pārvaldību, kā arī par jauniem pašu resursiem, </w:t>
      </w:r>
      <w:r w:rsidRPr="00ED79B7">
        <w:lastRenderedPageBreak/>
        <w:t>tostarp par ceļvedi jaunu pašu resursu ieviešanai</w:t>
      </w:r>
      <w:r w:rsidRPr="00ED79B7">
        <w:rPr>
          <w:vertAlign w:val="superscript"/>
        </w:rPr>
        <w:footnoteReference w:id="5"/>
      </w:r>
      <w:r w:rsidRPr="00ED79B7">
        <w:t>,</w:t>
      </w:r>
    </w:p>
    <w:p w14:paraId="0E9A0B22" w14:textId="77777777" w:rsidR="00837E89" w:rsidRPr="00ED79B7" w:rsidRDefault="00837E89" w:rsidP="00837E89">
      <w:pPr>
        <w:pStyle w:val="NormalHanging12a"/>
      </w:pPr>
      <w:r w:rsidRPr="00ED79B7">
        <w:t>–</w:t>
      </w:r>
      <w:r w:rsidRPr="00ED79B7">
        <w:tab/>
        <w:t xml:space="preserve">ņemot vērā Padomes 2020. gada 14. decembra Lēmumu (ES, </w:t>
      </w:r>
      <w:r w:rsidRPr="00ED79B7">
        <w:rPr>
          <w:i/>
          <w:iCs/>
        </w:rPr>
        <w:t>Euratom</w:t>
      </w:r>
      <w:r w:rsidRPr="00ED79B7">
        <w:t xml:space="preserve">) 2020/2053 par Eiropas Savienības pašu resursu sistēmu un ar ko atceļ Lēmumu 2014/335/ES, </w:t>
      </w:r>
      <w:r w:rsidRPr="00ED79B7">
        <w:rPr>
          <w:i/>
          <w:iCs/>
        </w:rPr>
        <w:t>Euratom</w:t>
      </w:r>
      <w:r w:rsidRPr="00ED79B7">
        <w:rPr>
          <w:vertAlign w:val="superscript"/>
        </w:rPr>
        <w:footnoteReference w:id="6"/>
      </w:r>
      <w:r w:rsidRPr="00ED79B7">
        <w:t>,</w:t>
      </w:r>
    </w:p>
    <w:p w14:paraId="46A9CF3F" w14:textId="77777777" w:rsidR="00837E89" w:rsidRPr="00ED79B7" w:rsidRDefault="00837E89" w:rsidP="00837E89">
      <w:pPr>
        <w:pStyle w:val="NormalHanging12a"/>
      </w:pPr>
      <w:r w:rsidRPr="00ED79B7">
        <w:t>–</w:t>
      </w:r>
      <w:r w:rsidRPr="00ED79B7">
        <w:tab/>
        <w:t>ņemot vērā 2026. gada 28. aprīļa rezolūciju par priekšlikumu Padomes regulai, ar ko nosaka daudzgadu finanšu shēmu 2028.–2034. gadam</w:t>
      </w:r>
      <w:r w:rsidRPr="00ED79B7">
        <w:rPr>
          <w:rStyle w:val="FootnoteReference"/>
        </w:rPr>
        <w:footnoteReference w:id="7"/>
      </w:r>
      <w:r w:rsidRPr="00ED79B7">
        <w:t>,</w:t>
      </w:r>
    </w:p>
    <w:p w14:paraId="7B80910E" w14:textId="77777777" w:rsidR="00837E89" w:rsidRPr="00ED79B7" w:rsidRDefault="00837E89" w:rsidP="00837E89">
      <w:pPr>
        <w:pStyle w:val="NormalHanging12a"/>
      </w:pPr>
      <w:bookmarkStart w:id="8" w:name="_Hlk229564682"/>
      <w:r w:rsidRPr="00ED79B7">
        <w:t>–</w:t>
      </w:r>
      <w:r w:rsidRPr="00ED79B7">
        <w:tab/>
        <w:t>ņemot vērā budžeta grozījuma Nr. 1/2026 projektu, ko Komisija pieņēma 2026. gada 10. aprīlī (COM(2026)0450),</w:t>
      </w:r>
      <w:bookmarkEnd w:id="8"/>
    </w:p>
    <w:p w14:paraId="0E49B8E1" w14:textId="77777777" w:rsidR="00837E89" w:rsidRPr="00ED79B7" w:rsidRDefault="00837E89" w:rsidP="00837E89">
      <w:pPr>
        <w:pStyle w:val="NormalHanging12a"/>
      </w:pPr>
      <w:r w:rsidRPr="00ED79B7">
        <w:t>–</w:t>
      </w:r>
      <w:r w:rsidRPr="00ED79B7">
        <w:tab/>
        <w:t>ņemot vērā nostāju attiecībā uz budžeta grozījuma Nr. 1/2026 projektu, ko Padome pieņēma 2026. gada 16. jūnijā un nosūtīja Eiropas Parlamentam 2026. gada 18. jūnijā (09919/2026),</w:t>
      </w:r>
    </w:p>
    <w:p w14:paraId="3D464DB4" w14:textId="77777777" w:rsidR="00837E89" w:rsidRPr="00ED79B7" w:rsidRDefault="00837E89" w:rsidP="00837E89">
      <w:pPr>
        <w:pStyle w:val="NormalHanging12a"/>
      </w:pPr>
      <w:r w:rsidRPr="00ED79B7">
        <w:t>–</w:t>
      </w:r>
      <w:r w:rsidRPr="00ED79B7">
        <w:tab/>
        <w:t>ņemot vērā Reglamenta 96. un 98. pantu,</w:t>
      </w:r>
    </w:p>
    <w:p w14:paraId="4D1FD48C" w14:textId="77777777" w:rsidR="00837E89" w:rsidRPr="00ED79B7" w:rsidRDefault="00837E89" w:rsidP="00837E89">
      <w:pPr>
        <w:pStyle w:val="NormalHanging12a"/>
      </w:pPr>
      <w:r w:rsidRPr="00ED79B7">
        <w:t>–</w:t>
      </w:r>
      <w:r w:rsidRPr="00ED79B7">
        <w:tab/>
        <w:t>ņemot vērā Budžeta komitejas ziņojumu (A10</w:t>
      </w:r>
      <w:r w:rsidRPr="00ED79B7">
        <w:noBreakHyphen/>
        <w:t>0180/2026),</w:t>
      </w:r>
    </w:p>
    <w:p w14:paraId="5929D6C0" w14:textId="77777777" w:rsidR="00837E89" w:rsidRPr="00ED79B7" w:rsidRDefault="00837E89" w:rsidP="00837E89">
      <w:pPr>
        <w:pStyle w:val="NormalHanging12a"/>
      </w:pPr>
      <w:r w:rsidRPr="00ED79B7">
        <w:t>A.</w:t>
      </w:r>
      <w:r w:rsidRPr="00ED79B7">
        <w:tab/>
        <w:t>tā kā budžeta grozījuma Nr. 1/2026 projekta mērķis ir 2026. gada budžetā iekļaut 2095 miljonu EUR lielo pārpalikumu, kas radies 2025. finanšu gada budžeta izpildē;</w:t>
      </w:r>
    </w:p>
    <w:p w14:paraId="35206010" w14:textId="77777777" w:rsidR="00837E89" w:rsidRPr="00ED79B7" w:rsidRDefault="00837E89" w:rsidP="00837E89">
      <w:pPr>
        <w:pStyle w:val="NormalHanging12a"/>
      </w:pPr>
      <w:r w:rsidRPr="00ED79B7">
        <w:t>B.</w:t>
      </w:r>
      <w:r w:rsidRPr="00ED79B7">
        <w:tab/>
        <w:t>tā kā minēto pārpalikumu galvenokārt veido pozitīvs budžeta izpildes rezultāts ieņēmumu daļā — 1994 miljoni EUR — un neizlietoti līdzekļi izdevumu daļā 101 miljona EUR apmērā;</w:t>
      </w:r>
    </w:p>
    <w:p w14:paraId="36121743" w14:textId="77777777" w:rsidR="00837E89" w:rsidRPr="00ED79B7" w:rsidRDefault="00837E89" w:rsidP="00837E89">
      <w:pPr>
        <w:pStyle w:val="NormalHanging12a"/>
      </w:pPr>
      <w:r w:rsidRPr="00ED79B7">
        <w:t>C.</w:t>
      </w:r>
      <w:r w:rsidRPr="00ED79B7">
        <w:tab/>
        <w:t>tā kā ieņēmumu daļā pārpalikumu galvenokārt rada muitas nodokļu summa (860 miljoni EUR), kas ir lielāka, nekā gaidīts; tā kā otrs lielākais pārpalikuma veidošanās iemesls ir 840 miljoni EUR, ko rada finanšu ieņēmumi, kavējuma procenti un naudas sodi;</w:t>
      </w:r>
    </w:p>
    <w:p w14:paraId="6F1329D2" w14:textId="77777777" w:rsidR="00837E89" w:rsidRPr="00ED79B7" w:rsidRDefault="00837E89" w:rsidP="00837E89">
      <w:pPr>
        <w:pStyle w:val="NormalHanging12a"/>
      </w:pPr>
      <w:r w:rsidRPr="00ED79B7">
        <w:t>D.</w:t>
      </w:r>
      <w:r w:rsidRPr="00ED79B7">
        <w:tab/>
        <w:t>tā kā izdevumu daļā visu iestāžu maksājumu apropriāciju nepilnīga izpilde, tostarp pārnesto apropriāciju atcelšana, kopumā veidoja 111 miljonus EUR (t. i., 0,04 % no apstiprinātajām maksājumu apropriācijām),</w:t>
      </w:r>
    </w:p>
    <w:p w14:paraId="4D385E3D" w14:textId="77777777" w:rsidR="00837E89" w:rsidRPr="00ED79B7" w:rsidRDefault="00837E89" w:rsidP="00837E89">
      <w:pPr>
        <w:pStyle w:val="NormalHanging12a"/>
      </w:pPr>
      <w:r w:rsidRPr="00ED79B7">
        <w:t>1.</w:t>
      </w:r>
      <w:r w:rsidRPr="00ED79B7">
        <w:tab/>
        <w:t>pieņem zināšanai budžeta grozījuma Nr. 1/2026 projektu, ko Komisija iesniegusi saskaņā ar Finanšu regulas 18. panta 3. punktu un ar ko budžetā tiek iekļauts 2025. gada pārpalikums 2095 miljonu EUR apmērā;</w:t>
      </w:r>
      <w:sdt>
        <w:sdtPr>
          <w:tag w:val="goog_rdk_0"/>
          <w:id w:val="1937094721"/>
        </w:sdtPr>
        <w:sdtEndPr/>
        <w:sdtContent/>
      </w:sdt>
    </w:p>
    <w:p w14:paraId="06843B3B" w14:textId="77777777" w:rsidR="00837E89" w:rsidRPr="00ED79B7" w:rsidRDefault="00837E89" w:rsidP="00837E89">
      <w:pPr>
        <w:pStyle w:val="NormalHanging12a"/>
      </w:pPr>
      <w:r w:rsidRPr="00ED79B7">
        <w:t>2.</w:t>
      </w:r>
      <w:r w:rsidRPr="00ED79B7">
        <w:tab/>
        <w:t>atzinīgi vērtē to, ka 2025. gada pārpalikumu galvenokārt nosaka izmaiņas 1. sadaļā (“Pašu resursi”, jo īpaši muitas nodokļi) un 4. sadaļā (“Finanšu ieņēmumi, kavējuma procenti un naudas sodi”), savukārt izdevumu daļā pārpalikums joprojām ir ļoti neliels, proti, 101 miljons EUR;</w:t>
      </w:r>
    </w:p>
    <w:p w14:paraId="19E0FD95" w14:textId="77777777" w:rsidR="00837E89" w:rsidRPr="00ED79B7" w:rsidRDefault="00837E89" w:rsidP="00837E89">
      <w:pPr>
        <w:pStyle w:val="NormalHanging12a"/>
      </w:pPr>
      <w:r w:rsidRPr="00ED79B7">
        <w:t>3.</w:t>
      </w:r>
      <w:r w:rsidRPr="00ED79B7">
        <w:tab/>
        <w:t xml:space="preserve">pauž nožēlu par to, ka, iekļaujot pārpalikumu budžetā, tiek proporcionāli samazināta dalībvalstu kopējā uz NKI balstītā pašu resursu iemaksa 2026. gada budžeta finansēšanā; uzsver, ka laikā, kad finansējuma vajadzības joprojām ir lielas, jo īpaši </w:t>
      </w:r>
      <w:r w:rsidRPr="00ED79B7">
        <w:lastRenderedPageBreak/>
        <w:t>attiecībā uz Eiropas Savienības Atveseļošanas instrumenta parāda apkalpošanas izmaksām, un manevrēšanas iespējas Savienības budžetā joprojām ir ļoti ierobežotas, pašreizējās DFS pēdējos darbības gados budžetā būtu jāsaglabā pietiekams elastības līmenis, lai Savienība varētu tikt galā ar neparedzētiem notikumiem; uzsver, ka Savienības budžeta elastība ir viens no galvenajiem jautājumiem, kas jārisina sarunās par daudzgadu finanšu shēmu 2028.–2034. gadam;</w:t>
      </w:r>
    </w:p>
    <w:p w14:paraId="676D0AFA" w14:textId="77777777" w:rsidR="00837E89" w:rsidRPr="00ED79B7" w:rsidRDefault="00837E89" w:rsidP="00837E89">
      <w:pPr>
        <w:pStyle w:val="NormalHanging12a"/>
      </w:pPr>
      <w:r w:rsidRPr="00ED79B7">
        <w:t>4.</w:t>
      </w:r>
      <w:r w:rsidRPr="00ED79B7">
        <w:tab/>
        <w:t>atgādina savu jau izsenis pausto nostāju, ka neparedzēti ieņēmumi, kas izriet no naudas sodiem un maksām vai tiem līdzvērtīgām summām, būtu jāizmanto kā Savienības budžeta papildu ieņēmumi un tiem nevajadzētu izraisīt uz NKI balstīto iemaksu attiecīgu samazinājumu;</w:t>
      </w:r>
    </w:p>
    <w:p w14:paraId="5D4B0E75" w14:textId="77777777" w:rsidR="00837E89" w:rsidRPr="00ED79B7" w:rsidRDefault="00837E89" w:rsidP="00837E89">
      <w:pPr>
        <w:pStyle w:val="NormalHanging12a"/>
      </w:pPr>
      <w:r w:rsidRPr="00ED79B7">
        <w:t>5.</w:t>
      </w:r>
      <w:r w:rsidRPr="00ED79B7">
        <w:tab/>
        <w:t xml:space="preserve">pieņem zināšanai aprēķinu par piecām saņēmējām dalībvalstīm paredzētiem koriģētajiem ikgadējiem uz NKI balstīto iemaksu fiksētas summas samazinājumiem, kuru summa ir aptuveni 5,8 miljardi EUR neto izteiksmē; uzsver, ka šīs atlaides ir saistītas ar inflāciju un tāpēc ir palielinājušās straujāk nekā DFS maksimālie apjomi, kas katru gadu tiek koriģēti, pamatojoties uz 2 % </w:t>
      </w:r>
      <w:proofErr w:type="spellStart"/>
      <w:r w:rsidRPr="00ED79B7">
        <w:t>deflatoru</w:t>
      </w:r>
      <w:proofErr w:type="spellEnd"/>
      <w:r w:rsidRPr="00ED79B7">
        <w:t>; uzsver, ka šī anomālija palielina slogu pārējām dalībvalstīm;</w:t>
      </w:r>
    </w:p>
    <w:p w14:paraId="23767F17" w14:textId="77777777" w:rsidR="00837E89" w:rsidRPr="00ED79B7" w:rsidRDefault="00837E89" w:rsidP="00837E89">
      <w:pPr>
        <w:pStyle w:val="NormalHanging12a"/>
      </w:pPr>
      <w:r w:rsidRPr="00ED79B7">
        <w:t>6.</w:t>
      </w:r>
      <w:r w:rsidRPr="00ED79B7">
        <w:tab/>
        <w:t>pieņem zināšanai 425. pantā iekļauto negatīvo ienākumu posteni, kura summa ir 54 miljoni EUR, un atzinīgi vērtē šo metodi, kura paredz budžetā iekļaut izmaksas, kas izriet no maksājumiem, kuri veikti saskaņā ar izlīguma nolīgumu, kas ietver kompensācijas procentus un kavējuma procentu kompensāciju saistībā ar to naudas sodu atmaksu, kuri ar attiecīgajiem Tiesas spriedumiem ir atcelti vai samazināti konkurences jomā; atgādina, ka Parlaments sarunās par Finanšu regulas pārstrādāto redakciju 2024. gadā uzstāja uz šīs pieejas piemērošanu, lai neradītu papildu izdevumu apropriācijas jau tā pārslogotajā 7. izdevumu kategorijā; atgādina, ka šī risinājuma spēka esamības termiņš beidzas 2027. gada 31. decembrī; aicina Komisiju ierosināt galīgu risinājumu nākamajā DFS, lai sasniegtu to pašu mērķi, proti, izvairītos no jebkādas ietekmes uz budžeta izdevumu daļu;</w:t>
      </w:r>
    </w:p>
    <w:p w14:paraId="13F64E01" w14:textId="080A72B0" w:rsidR="00837E89" w:rsidRPr="00ED79B7" w:rsidRDefault="00837E89" w:rsidP="00837E89">
      <w:pPr>
        <w:pStyle w:val="NormalHanging12a"/>
      </w:pPr>
      <w:r w:rsidRPr="00ED79B7">
        <w:t>7.</w:t>
      </w:r>
      <w:r w:rsidRPr="00ED79B7">
        <w:tab/>
        <w:t xml:space="preserve">atkārtoti uzstāj, kā jau vairākkārt iepriekš, ka saskaņā ar LESD 310. pantu ir ārkārtīgi nepieciešami ilgtspējīgi, paredzami un noturīgi Savienības budžeta ieņēmumi, kuriem būtu jāatbilst izdevumu daļai un stratēģiskajām prioritātēm, kā arī konstatētajām Savienības finansējuma vajadzībām; atkārtoti apstiprina Parlamenta stingro apņemšanos ieviest jaunus patiesus pašu resursus ne tikai </w:t>
      </w:r>
      <w:r w:rsidRPr="00ED79B7">
        <w:rPr>
          <w:i/>
          <w:iCs/>
        </w:rPr>
        <w:t>NGEU</w:t>
      </w:r>
      <w:r w:rsidRPr="00ED79B7">
        <w:t xml:space="preserve"> parāda atmaksai, bet arī Savienības vērienīgo politikas mērķuzdevumu finansēšanai; atgādina, ka bez jauniem patiesiem pašu resursiem finansiālais slogs neizbēgami gulsies uz dalībvalstīm, jo būs jāpalielina uz NKI balstītās iemaksas; tāpēc uzskata, ka patiesu jaunu ieņēmumu plūsmu (vismaz 60 miljardi EUR gadā) ieviešana ir būtisks nosacījums vērienīgai daudzgadu finanšu shēmai 2028.–2034. gadam;</w:t>
      </w:r>
    </w:p>
    <w:p w14:paraId="6B1B3C20" w14:textId="77777777" w:rsidR="00837E89" w:rsidRPr="00ED79B7" w:rsidRDefault="00837E89" w:rsidP="00837E89">
      <w:pPr>
        <w:pStyle w:val="NormalHanging12a"/>
      </w:pPr>
      <w:r w:rsidRPr="00ED79B7">
        <w:t>8.</w:t>
      </w:r>
      <w:r w:rsidRPr="00ED79B7">
        <w:tab/>
        <w:t>apstiprina Padomes nostāju attiecībā uz budžeta grozījuma Nr. 1/2026 projektu;</w:t>
      </w:r>
    </w:p>
    <w:p w14:paraId="0EDE8792" w14:textId="77777777" w:rsidR="00837E89" w:rsidRPr="00ED79B7" w:rsidRDefault="00837E89" w:rsidP="00837E89">
      <w:pPr>
        <w:pStyle w:val="NormalHanging12a"/>
      </w:pPr>
      <w:r w:rsidRPr="00ED79B7">
        <w:t>9.</w:t>
      </w:r>
      <w:r w:rsidRPr="00ED79B7">
        <w:tab/>
        <w:t xml:space="preserve">uzdod priekšsēdētājai paziņot, ka budžeta grozījums Nr. 1/2026 ir pieņemts galīgajā variantā, kā arī nodrošināt tā publicēšanu </w:t>
      </w:r>
      <w:r w:rsidRPr="00ED79B7">
        <w:rPr>
          <w:i/>
          <w:iCs/>
        </w:rPr>
        <w:t>Eiropas Savienības Oficiālajā Vēstnesī</w:t>
      </w:r>
      <w:r w:rsidRPr="00ED79B7">
        <w:t>;</w:t>
      </w:r>
    </w:p>
    <w:p w14:paraId="40D048C6" w14:textId="7D41A520" w:rsidR="00E365E1" w:rsidRPr="00ED79B7" w:rsidRDefault="00837E89" w:rsidP="000C5E25">
      <w:pPr>
        <w:ind w:left="567" w:hanging="567"/>
      </w:pPr>
      <w:r w:rsidRPr="00ED79B7">
        <w:t>10.</w:t>
      </w:r>
      <w:r w:rsidRPr="00ED79B7">
        <w:tab/>
        <w:t>uzdod priekšsēdētājai šo rezolūciju nosūtīt Padomei, Komisijai, kā arī pārējām attiecīgajām iestādēm un struktūrām un dalībvalstu parlamentiem.</w:t>
      </w:r>
    </w:p>
    <w:sectPr w:rsidR="00E365E1" w:rsidRPr="00ED79B7" w:rsidSect="001E1E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C7F21" w14:textId="77777777" w:rsidR="00C97E28" w:rsidRPr="001E1E36" w:rsidRDefault="00C97E28">
      <w:r w:rsidRPr="001E1E36">
        <w:separator/>
      </w:r>
    </w:p>
  </w:endnote>
  <w:endnote w:type="continuationSeparator" w:id="0">
    <w:p w14:paraId="1A460A9F" w14:textId="77777777" w:rsidR="00C97E28" w:rsidRPr="001E1E36" w:rsidRDefault="00C97E28">
      <w:r w:rsidRPr="001E1E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78560" w14:textId="77777777" w:rsidR="00064002" w:rsidRPr="001E1E3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F3B8" w14:textId="77777777" w:rsidR="00064002" w:rsidRPr="001E1E3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92028" w14:textId="77777777" w:rsidR="00064002" w:rsidRPr="001E1E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3E06D" w14:textId="77777777" w:rsidR="00C97E28" w:rsidRPr="001E1E36" w:rsidRDefault="00C97E28">
      <w:r w:rsidRPr="001E1E36">
        <w:separator/>
      </w:r>
    </w:p>
  </w:footnote>
  <w:footnote w:type="continuationSeparator" w:id="0">
    <w:p w14:paraId="589EEAB3" w14:textId="77777777" w:rsidR="00C97E28" w:rsidRPr="001E1E36" w:rsidRDefault="00C97E28">
      <w:r w:rsidRPr="001E1E36">
        <w:continuationSeparator/>
      </w:r>
    </w:p>
  </w:footnote>
  <w:footnote w:id="1">
    <w:p w14:paraId="4A3343CB" w14:textId="594D6E89" w:rsidR="00837E89" w:rsidRPr="001E1E36" w:rsidRDefault="00837E89" w:rsidP="001E1E36">
      <w:pPr>
        <w:pStyle w:val="FootnoteText"/>
        <w:ind w:left="567" w:hanging="567"/>
        <w:rPr>
          <w:sz w:val="24"/>
          <w:lang w:val="lv-LV"/>
        </w:rPr>
      </w:pPr>
      <w:r w:rsidRPr="001E1E36">
        <w:rPr>
          <w:rStyle w:val="FootnoteReference"/>
          <w:sz w:val="24"/>
          <w:lang w:val="lv-LV"/>
        </w:rPr>
        <w:footnoteRef/>
      </w:r>
      <w:r w:rsidR="001E1E36" w:rsidRPr="001E1E36">
        <w:rPr>
          <w:sz w:val="24"/>
          <w:lang w:val="lv-LV"/>
        </w:rPr>
        <w:t xml:space="preserve"> </w:t>
      </w:r>
      <w:r w:rsidR="001E1E36" w:rsidRPr="001E1E36">
        <w:rPr>
          <w:sz w:val="24"/>
          <w:lang w:val="lv-LV"/>
        </w:rPr>
        <w:tab/>
      </w:r>
      <w:r w:rsidRPr="001E1E36">
        <w:rPr>
          <w:sz w:val="24"/>
          <w:lang w:val="lv-LV"/>
        </w:rPr>
        <w:t xml:space="preserve">OV L, 2024/2509, 26.9.2024., ELI: </w:t>
      </w:r>
      <w:hyperlink r:id="rId1" w:tooltip="http://data.europa.eu/eli/reg/2024/2509/oj" w:history="1">
        <w:r w:rsidRPr="001E1E36">
          <w:rPr>
            <w:rStyle w:val="Hyperlink"/>
            <w:sz w:val="24"/>
            <w:lang w:val="lv-LV"/>
          </w:rPr>
          <w:t>http://data.europa.eu/eli/reg/2024/2509/oj</w:t>
        </w:r>
      </w:hyperlink>
      <w:r w:rsidRPr="001E1E36">
        <w:rPr>
          <w:sz w:val="24"/>
          <w:lang w:val="lv-LV"/>
        </w:rPr>
        <w:t>.</w:t>
      </w:r>
    </w:p>
  </w:footnote>
  <w:footnote w:id="2">
    <w:p w14:paraId="2BBCAA86" w14:textId="4888A0DB" w:rsidR="00837E89" w:rsidRPr="001E1E36" w:rsidRDefault="00837E89" w:rsidP="001E1E36">
      <w:pPr>
        <w:pStyle w:val="FootnoteText"/>
        <w:ind w:left="567" w:hanging="567"/>
        <w:rPr>
          <w:sz w:val="24"/>
          <w:lang w:val="lv-LV"/>
        </w:rPr>
      </w:pPr>
      <w:r w:rsidRPr="001E1E36">
        <w:rPr>
          <w:rStyle w:val="FootnoteReference"/>
          <w:sz w:val="24"/>
          <w:lang w:val="lv-LV"/>
        </w:rPr>
        <w:footnoteRef/>
      </w:r>
      <w:r w:rsidR="001E1E36" w:rsidRPr="001E1E36">
        <w:rPr>
          <w:sz w:val="24"/>
          <w:lang w:val="lv-LV"/>
        </w:rPr>
        <w:t xml:space="preserve"> </w:t>
      </w:r>
      <w:r w:rsidR="001E1E36" w:rsidRPr="001E1E36">
        <w:rPr>
          <w:sz w:val="24"/>
          <w:lang w:val="lv-LV"/>
        </w:rPr>
        <w:tab/>
      </w:r>
      <w:r w:rsidRPr="001E1E36">
        <w:rPr>
          <w:sz w:val="24"/>
          <w:lang w:val="lv-LV"/>
        </w:rPr>
        <w:t xml:space="preserve">OV L, 2026/72, 26.2.2026., ELI: </w:t>
      </w:r>
      <w:r>
        <w:fldChar w:fldCharType="begin"/>
      </w:r>
      <w:r w:rsidRPr="00ED79B7">
        <w:rPr>
          <w:lang w:val="fi-FI"/>
        </w:rPr>
        <w:instrText>HYPERLINK "http://data.europa.eu/eli/budget/2026/72/oj."</w:instrText>
      </w:r>
      <w:r>
        <w:fldChar w:fldCharType="separate"/>
      </w:r>
      <w:r w:rsidRPr="001E1E36">
        <w:rPr>
          <w:rStyle w:val="Hyperlink"/>
          <w:sz w:val="24"/>
          <w:lang w:val="lv-LV"/>
        </w:rPr>
        <w:t>http://data.europa.eu/eli/budget/2026/72/oj</w:t>
      </w:r>
      <w:r>
        <w:fldChar w:fldCharType="end"/>
      </w:r>
      <w:r w:rsidRPr="001E1E36">
        <w:rPr>
          <w:sz w:val="24"/>
          <w:lang w:val="lv-LV"/>
        </w:rPr>
        <w:t>.</w:t>
      </w:r>
    </w:p>
  </w:footnote>
  <w:footnote w:id="3">
    <w:p w14:paraId="7FE6A01B" w14:textId="73AE9765" w:rsidR="00837E89" w:rsidRPr="001E1E36" w:rsidRDefault="00837E89" w:rsidP="001E1E36">
      <w:pPr>
        <w:pStyle w:val="FootnoteText"/>
        <w:ind w:left="567" w:hanging="567"/>
        <w:rPr>
          <w:sz w:val="24"/>
          <w:lang w:val="lv-LV"/>
        </w:rPr>
      </w:pPr>
      <w:r w:rsidRPr="001E1E36">
        <w:rPr>
          <w:rStyle w:val="FootnoteReference"/>
          <w:sz w:val="24"/>
          <w:lang w:val="lv-LV"/>
        </w:rPr>
        <w:footnoteRef/>
      </w:r>
      <w:r w:rsidR="001E1E36" w:rsidRPr="001E1E36">
        <w:rPr>
          <w:sz w:val="24"/>
          <w:lang w:val="lv-LV"/>
        </w:rPr>
        <w:t xml:space="preserve"> </w:t>
      </w:r>
      <w:r w:rsidR="001E1E36" w:rsidRPr="001E1E36">
        <w:rPr>
          <w:sz w:val="24"/>
          <w:lang w:val="lv-LV"/>
        </w:rPr>
        <w:tab/>
      </w:r>
      <w:r w:rsidRPr="001E1E36">
        <w:rPr>
          <w:sz w:val="24"/>
          <w:lang w:val="lv-LV"/>
        </w:rPr>
        <w:t xml:space="preserve">OV L 433 I, 22.12.2020., 11. lpp., ELI: </w:t>
      </w:r>
      <w:r>
        <w:fldChar w:fldCharType="begin"/>
      </w:r>
      <w:r w:rsidRPr="00ED79B7">
        <w:rPr>
          <w:lang w:val="fi-FI"/>
        </w:rPr>
        <w:instrText>HYPERLINK "http://data.europa.eu/eli/reg/2020/2093/oj."</w:instrText>
      </w:r>
      <w:r>
        <w:fldChar w:fldCharType="separate"/>
      </w:r>
      <w:r w:rsidRPr="001E1E36">
        <w:rPr>
          <w:rStyle w:val="Hyperlink"/>
          <w:sz w:val="24"/>
          <w:lang w:val="lv-LV"/>
        </w:rPr>
        <w:t>http://data.europa.eu/eli/reg/2020/2093/oj</w:t>
      </w:r>
      <w:r>
        <w:fldChar w:fldCharType="end"/>
      </w:r>
      <w:r w:rsidRPr="001E1E36">
        <w:rPr>
          <w:sz w:val="24"/>
          <w:lang w:val="lv-LV"/>
        </w:rPr>
        <w:t>.</w:t>
      </w:r>
    </w:p>
  </w:footnote>
  <w:footnote w:id="4">
    <w:p w14:paraId="4D992C4F" w14:textId="04538852" w:rsidR="00837E89" w:rsidRPr="001E1E36" w:rsidRDefault="00837E89" w:rsidP="001E1E36">
      <w:pPr>
        <w:pStyle w:val="FootnoteText"/>
        <w:ind w:left="567" w:hanging="567"/>
        <w:rPr>
          <w:sz w:val="24"/>
          <w:lang w:val="lv-LV"/>
        </w:rPr>
      </w:pPr>
      <w:r w:rsidRPr="001E1E36">
        <w:rPr>
          <w:rStyle w:val="FootnoteReference"/>
          <w:sz w:val="24"/>
          <w:lang w:val="lv-LV"/>
        </w:rPr>
        <w:footnoteRef/>
      </w:r>
      <w:r w:rsidR="001E1E36" w:rsidRPr="001E1E36">
        <w:rPr>
          <w:sz w:val="24"/>
          <w:lang w:val="lv-LV"/>
        </w:rPr>
        <w:t xml:space="preserve"> </w:t>
      </w:r>
      <w:r w:rsidR="001E1E36" w:rsidRPr="001E1E36">
        <w:rPr>
          <w:sz w:val="24"/>
          <w:lang w:val="lv-LV"/>
        </w:rPr>
        <w:tab/>
      </w:r>
      <w:r w:rsidRPr="001E1E36">
        <w:rPr>
          <w:sz w:val="24"/>
          <w:lang w:val="lv-LV"/>
        </w:rPr>
        <w:t xml:space="preserve">OV L, 2024/765, 29.2.2024., ELI: </w:t>
      </w:r>
      <w:r>
        <w:fldChar w:fldCharType="begin"/>
      </w:r>
      <w:r w:rsidRPr="00ED79B7">
        <w:rPr>
          <w:lang w:val="fi-FI"/>
        </w:rPr>
        <w:instrText>HYPERLINK "http://data.europa.eu/eli/reg/2024/765/oj."</w:instrText>
      </w:r>
      <w:r>
        <w:fldChar w:fldCharType="separate"/>
      </w:r>
      <w:r w:rsidRPr="001E1E36">
        <w:rPr>
          <w:rStyle w:val="Hyperlink"/>
          <w:sz w:val="24"/>
          <w:lang w:val="lv-LV"/>
        </w:rPr>
        <w:t>http://data.europa.eu/eli/reg/2024/765/oj</w:t>
      </w:r>
      <w:r>
        <w:fldChar w:fldCharType="end"/>
      </w:r>
      <w:r w:rsidRPr="001E1E36">
        <w:rPr>
          <w:sz w:val="24"/>
          <w:lang w:val="lv-LV"/>
        </w:rPr>
        <w:t>.</w:t>
      </w:r>
    </w:p>
  </w:footnote>
  <w:footnote w:id="5">
    <w:p w14:paraId="0845C053" w14:textId="32A548A4" w:rsidR="00837E89" w:rsidRPr="001E1E36" w:rsidRDefault="00837E89" w:rsidP="001E1E36">
      <w:pPr>
        <w:pStyle w:val="FootnoteText"/>
        <w:ind w:left="567" w:hanging="567"/>
        <w:rPr>
          <w:sz w:val="24"/>
          <w:lang w:val="lv-LV"/>
        </w:rPr>
      </w:pPr>
      <w:r w:rsidRPr="001E1E36">
        <w:rPr>
          <w:rStyle w:val="FootnoteReference"/>
          <w:sz w:val="24"/>
          <w:lang w:val="lv-LV"/>
        </w:rPr>
        <w:footnoteRef/>
      </w:r>
      <w:r w:rsidR="001E1E36" w:rsidRPr="001E1E36">
        <w:rPr>
          <w:sz w:val="24"/>
          <w:lang w:val="lv-LV"/>
        </w:rPr>
        <w:t xml:space="preserve"> </w:t>
      </w:r>
      <w:r w:rsidR="001E1E36" w:rsidRPr="001E1E36">
        <w:rPr>
          <w:sz w:val="24"/>
          <w:lang w:val="lv-LV"/>
        </w:rPr>
        <w:tab/>
      </w:r>
      <w:r w:rsidRPr="001E1E36">
        <w:rPr>
          <w:sz w:val="24"/>
          <w:lang w:val="lv-LV"/>
        </w:rPr>
        <w:t xml:space="preserve">OV L 433 I, 22.12.2020., 28. lpp., ELI: </w:t>
      </w:r>
      <w:r>
        <w:fldChar w:fldCharType="begin"/>
      </w:r>
      <w:r w:rsidRPr="00ED79B7">
        <w:rPr>
          <w:lang w:val="fi-FI"/>
        </w:rPr>
        <w:instrText>HYPERLINK "http://data.europa.eu/eli/agree_interinstit/2020/1222/oj"</w:instrText>
      </w:r>
      <w:r>
        <w:fldChar w:fldCharType="separate"/>
      </w:r>
      <w:r w:rsidRPr="001E1E36">
        <w:rPr>
          <w:rStyle w:val="Hyperlink"/>
          <w:sz w:val="24"/>
          <w:lang w:val="lv-LV"/>
        </w:rPr>
        <w:t>http://data.europa.eu/eli/agree_interinstit/2020/1222/oj</w:t>
      </w:r>
      <w:r>
        <w:fldChar w:fldCharType="end"/>
      </w:r>
      <w:r w:rsidRPr="001E1E36">
        <w:rPr>
          <w:sz w:val="24"/>
          <w:lang w:val="lv-LV"/>
        </w:rPr>
        <w:t>.</w:t>
      </w:r>
    </w:p>
  </w:footnote>
  <w:footnote w:id="6">
    <w:p w14:paraId="76EFD9A9" w14:textId="083B56C3" w:rsidR="00837E89" w:rsidRPr="001E1E36" w:rsidRDefault="00837E89" w:rsidP="001E1E36">
      <w:pPr>
        <w:pStyle w:val="FootnoteText"/>
        <w:ind w:left="567" w:hanging="567"/>
        <w:rPr>
          <w:sz w:val="24"/>
          <w:lang w:val="lv-LV"/>
        </w:rPr>
      </w:pPr>
      <w:r w:rsidRPr="001E1E36">
        <w:rPr>
          <w:rStyle w:val="FootnoteReference"/>
          <w:sz w:val="24"/>
          <w:lang w:val="lv-LV"/>
        </w:rPr>
        <w:footnoteRef/>
      </w:r>
      <w:r w:rsidR="001E1E36" w:rsidRPr="001E1E36">
        <w:rPr>
          <w:sz w:val="24"/>
          <w:lang w:val="lv-LV"/>
        </w:rPr>
        <w:t xml:space="preserve"> </w:t>
      </w:r>
      <w:r w:rsidR="001E1E36" w:rsidRPr="001E1E36">
        <w:rPr>
          <w:sz w:val="24"/>
          <w:lang w:val="lv-LV"/>
        </w:rPr>
        <w:tab/>
      </w:r>
      <w:r w:rsidRPr="001E1E36">
        <w:rPr>
          <w:sz w:val="24"/>
          <w:lang w:val="lv-LV"/>
        </w:rPr>
        <w:t xml:space="preserve">OV L 424, 15.12.2020., 1. lpp., ELI: </w:t>
      </w:r>
      <w:r>
        <w:fldChar w:fldCharType="begin"/>
      </w:r>
      <w:r w:rsidRPr="00ED79B7">
        <w:rPr>
          <w:lang w:val="fi-FI"/>
        </w:rPr>
        <w:instrText>HYPERLINK "http://data.europa.eu/eli/dec/2020/2053/oj."</w:instrText>
      </w:r>
      <w:r>
        <w:fldChar w:fldCharType="separate"/>
      </w:r>
      <w:r w:rsidRPr="001E1E36">
        <w:rPr>
          <w:rStyle w:val="Hyperlink"/>
          <w:sz w:val="24"/>
          <w:lang w:val="lv-LV"/>
        </w:rPr>
        <w:t>http://data.europa.eu/eli/dec/2020/2053/oj</w:t>
      </w:r>
      <w:r>
        <w:fldChar w:fldCharType="end"/>
      </w:r>
      <w:r w:rsidRPr="001E1E36">
        <w:rPr>
          <w:sz w:val="24"/>
          <w:lang w:val="lv-LV"/>
        </w:rPr>
        <w:t>.</w:t>
      </w:r>
    </w:p>
  </w:footnote>
  <w:footnote w:id="7">
    <w:p w14:paraId="6A7E1A5C" w14:textId="21845632" w:rsidR="00837E89" w:rsidRPr="001E1E36" w:rsidRDefault="00837E89" w:rsidP="001E1E36">
      <w:pPr>
        <w:pStyle w:val="FootnoteText"/>
        <w:ind w:left="567" w:hanging="567"/>
        <w:rPr>
          <w:sz w:val="24"/>
          <w:lang w:val="lv-LV"/>
        </w:rPr>
      </w:pPr>
      <w:r w:rsidRPr="001E1E36">
        <w:rPr>
          <w:rStyle w:val="FootnoteReference"/>
          <w:sz w:val="24"/>
          <w:lang w:val="lv-LV"/>
        </w:rPr>
        <w:footnoteRef/>
      </w:r>
      <w:r w:rsidR="001E1E36" w:rsidRPr="001E1E36">
        <w:rPr>
          <w:sz w:val="24"/>
          <w:lang w:val="lv-LV"/>
        </w:rPr>
        <w:t xml:space="preserve"> </w:t>
      </w:r>
      <w:r w:rsidR="001E1E36" w:rsidRPr="001E1E36">
        <w:rPr>
          <w:sz w:val="24"/>
          <w:lang w:val="lv-LV"/>
        </w:rPr>
        <w:tab/>
      </w:r>
      <w:r w:rsidRPr="001E1E36">
        <w:rPr>
          <w:sz w:val="24"/>
          <w:lang w:val="lv-LV"/>
        </w:rPr>
        <w:t xml:space="preserve">Pieņemtie teksti, </w:t>
      </w:r>
      <w:hyperlink r:id="rId2" w:history="1">
        <w:r w:rsidRPr="001E1E36">
          <w:rPr>
            <w:rStyle w:val="Hyperlink"/>
            <w:sz w:val="24"/>
            <w:lang w:val="lv-LV"/>
          </w:rPr>
          <w:t>P10_TA(2026)0111</w:t>
        </w:r>
      </w:hyperlink>
      <w:r w:rsidRPr="001E1E36">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748BA" w14:textId="77777777" w:rsidR="00064002" w:rsidRPr="001E1E3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28E2D" w14:textId="77777777" w:rsidR="00064002" w:rsidRPr="001E1E3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4CBC8" w14:textId="77777777" w:rsidR="00064002" w:rsidRPr="001E1E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7506833">
    <w:abstractNumId w:val="9"/>
  </w:num>
  <w:num w:numId="2" w16cid:durableId="1809735781">
    <w:abstractNumId w:val="9"/>
  </w:num>
  <w:num w:numId="3" w16cid:durableId="198710965">
    <w:abstractNumId w:val="7"/>
  </w:num>
  <w:num w:numId="4" w16cid:durableId="557934745">
    <w:abstractNumId w:val="7"/>
  </w:num>
  <w:num w:numId="5" w16cid:durableId="1519662230">
    <w:abstractNumId w:val="6"/>
  </w:num>
  <w:num w:numId="6" w16cid:durableId="986782847">
    <w:abstractNumId w:val="6"/>
  </w:num>
  <w:num w:numId="7" w16cid:durableId="996955286">
    <w:abstractNumId w:val="5"/>
  </w:num>
  <w:num w:numId="8" w16cid:durableId="1005865785">
    <w:abstractNumId w:val="5"/>
  </w:num>
  <w:num w:numId="9" w16cid:durableId="1246574124">
    <w:abstractNumId w:val="4"/>
  </w:num>
  <w:num w:numId="10" w16cid:durableId="416710440">
    <w:abstractNumId w:val="4"/>
  </w:num>
  <w:num w:numId="11" w16cid:durableId="111748827">
    <w:abstractNumId w:val="8"/>
  </w:num>
  <w:num w:numId="12" w16cid:durableId="1773740647">
    <w:abstractNumId w:val="8"/>
  </w:num>
  <w:num w:numId="13" w16cid:durableId="26377257">
    <w:abstractNumId w:val="3"/>
  </w:num>
  <w:num w:numId="14" w16cid:durableId="674190110">
    <w:abstractNumId w:val="3"/>
  </w:num>
  <w:num w:numId="15" w16cid:durableId="191237175">
    <w:abstractNumId w:val="2"/>
  </w:num>
  <w:num w:numId="16" w16cid:durableId="568536495">
    <w:abstractNumId w:val="2"/>
  </w:num>
  <w:num w:numId="17" w16cid:durableId="883836000">
    <w:abstractNumId w:val="1"/>
  </w:num>
  <w:num w:numId="18" w16cid:durableId="660502227">
    <w:abstractNumId w:val="1"/>
  </w:num>
  <w:num w:numId="19" w16cid:durableId="1775592719">
    <w:abstractNumId w:val="0"/>
  </w:num>
  <w:num w:numId="20" w16cid:durableId="552081259">
    <w:abstractNumId w:val="0"/>
  </w:num>
  <w:num w:numId="21" w16cid:durableId="2108650869">
    <w:abstractNumId w:val="9"/>
  </w:num>
  <w:num w:numId="22" w16cid:durableId="2101952424">
    <w:abstractNumId w:val="7"/>
  </w:num>
  <w:num w:numId="23" w16cid:durableId="1915044972">
    <w:abstractNumId w:val="6"/>
  </w:num>
  <w:num w:numId="24" w16cid:durableId="1203055256">
    <w:abstractNumId w:val="5"/>
  </w:num>
  <w:num w:numId="25" w16cid:durableId="992638087">
    <w:abstractNumId w:val="4"/>
  </w:num>
  <w:num w:numId="26" w16cid:durableId="1137912502">
    <w:abstractNumId w:val="8"/>
  </w:num>
  <w:num w:numId="27" w16cid:durableId="661473209">
    <w:abstractNumId w:val="3"/>
  </w:num>
  <w:num w:numId="28" w16cid:durableId="740300051">
    <w:abstractNumId w:val="2"/>
  </w:num>
  <w:num w:numId="29" w16cid:durableId="175000658">
    <w:abstractNumId w:val="1"/>
  </w:num>
  <w:num w:numId="30" w16cid:durableId="293145585">
    <w:abstractNumId w:val="0"/>
  </w:num>
  <w:num w:numId="31" w16cid:durableId="470290198">
    <w:abstractNumId w:val="9"/>
  </w:num>
  <w:num w:numId="32" w16cid:durableId="954487881">
    <w:abstractNumId w:val="7"/>
  </w:num>
  <w:num w:numId="33" w16cid:durableId="1800999655">
    <w:abstractNumId w:val="6"/>
  </w:num>
  <w:num w:numId="34" w16cid:durableId="1610090076">
    <w:abstractNumId w:val="5"/>
  </w:num>
  <w:num w:numId="35" w16cid:durableId="74014526">
    <w:abstractNumId w:val="4"/>
  </w:num>
  <w:num w:numId="36" w16cid:durableId="869882136">
    <w:abstractNumId w:val="8"/>
  </w:num>
  <w:num w:numId="37" w16cid:durableId="1984432030">
    <w:abstractNumId w:val="3"/>
  </w:num>
  <w:num w:numId="38" w16cid:durableId="1272469142">
    <w:abstractNumId w:val="2"/>
  </w:num>
  <w:num w:numId="39" w16cid:durableId="367949999">
    <w:abstractNumId w:val="1"/>
  </w:num>
  <w:num w:numId="40" w16cid:durableId="1607426496">
    <w:abstractNumId w:val="0"/>
  </w:num>
  <w:num w:numId="41" w16cid:durableId="1184633519">
    <w:abstractNumId w:val="10"/>
  </w:num>
  <w:num w:numId="42" w16cid:durableId="1152015840">
    <w:abstractNumId w:val="10"/>
  </w:num>
  <w:num w:numId="43" w16cid:durableId="62610980">
    <w:abstractNumId w:val="10"/>
  </w:num>
  <w:num w:numId="44" w16cid:durableId="447662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6"/>
    <w:docVar w:name="dvlangue" w:val="LV"/>
    <w:docVar w:name="dvnumam" w:val="0"/>
    <w:docVar w:name="dvpe" w:val="787.947"/>
    <w:docVar w:name="dvrapporteur" w:val="Referents: "/>
    <w:docVar w:name="dvtitre" w:val="Eiropas Parlamenta 2026. gada XX. XXX  rezolūcija par Padomes nostāju attiecībā uz Eiropas Savienības 2026. finanšu gada budžeta grozījuma Nr. 1/2026 projektu: 2025. finanšu gada pārpalikuma ieskaitīšana(09919/2026 – C10-0145/2026 – 2026/0090(BUD))"/>
  </w:docVars>
  <w:rsids>
    <w:rsidRoot w:val="00C97E28"/>
    <w:rsid w:val="00002272"/>
    <w:rsid w:val="00064002"/>
    <w:rsid w:val="000677B9"/>
    <w:rsid w:val="000831BA"/>
    <w:rsid w:val="000A42CC"/>
    <w:rsid w:val="000C5E25"/>
    <w:rsid w:val="000E7DD9"/>
    <w:rsid w:val="0010095E"/>
    <w:rsid w:val="00125B37"/>
    <w:rsid w:val="00187494"/>
    <w:rsid w:val="001E1E36"/>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7E89"/>
    <w:rsid w:val="00842779"/>
    <w:rsid w:val="00865F67"/>
    <w:rsid w:val="00880BCC"/>
    <w:rsid w:val="00881A7B"/>
    <w:rsid w:val="0088211F"/>
    <w:rsid w:val="008840E5"/>
    <w:rsid w:val="00887B3E"/>
    <w:rsid w:val="008C2AC6"/>
    <w:rsid w:val="00930C23"/>
    <w:rsid w:val="0093193B"/>
    <w:rsid w:val="009509D8"/>
    <w:rsid w:val="00950B64"/>
    <w:rsid w:val="00981893"/>
    <w:rsid w:val="009A3928"/>
    <w:rsid w:val="009C1F3C"/>
    <w:rsid w:val="00A1687D"/>
    <w:rsid w:val="00A43E52"/>
    <w:rsid w:val="00A4678D"/>
    <w:rsid w:val="00A778C7"/>
    <w:rsid w:val="00AB441E"/>
    <w:rsid w:val="00AB6293"/>
    <w:rsid w:val="00AE0928"/>
    <w:rsid w:val="00AF3B82"/>
    <w:rsid w:val="00B12E95"/>
    <w:rsid w:val="00B22876"/>
    <w:rsid w:val="00B558F0"/>
    <w:rsid w:val="00BB0706"/>
    <w:rsid w:val="00BD48FE"/>
    <w:rsid w:val="00BD7BD8"/>
    <w:rsid w:val="00BE6ADC"/>
    <w:rsid w:val="00C05BFE"/>
    <w:rsid w:val="00C23CD4"/>
    <w:rsid w:val="00C37F3D"/>
    <w:rsid w:val="00C61C0C"/>
    <w:rsid w:val="00C941CB"/>
    <w:rsid w:val="00C97E28"/>
    <w:rsid w:val="00CC2357"/>
    <w:rsid w:val="00CF071A"/>
    <w:rsid w:val="00D058B8"/>
    <w:rsid w:val="00D56C11"/>
    <w:rsid w:val="00D834A0"/>
    <w:rsid w:val="00D872DF"/>
    <w:rsid w:val="00D91E21"/>
    <w:rsid w:val="00DA7FCD"/>
    <w:rsid w:val="00E35D74"/>
    <w:rsid w:val="00E365E1"/>
    <w:rsid w:val="00E820A4"/>
    <w:rsid w:val="00EB006A"/>
    <w:rsid w:val="00EB4772"/>
    <w:rsid w:val="00ED169E"/>
    <w:rsid w:val="00ED4235"/>
    <w:rsid w:val="00ED79B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BA4F5F"/>
  <w15:chartTrackingRefBased/>
  <w15:docId w15:val="{3FC77E4B-CB3C-4759-B37A-2F92C2F76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37E89"/>
    <w:pPr>
      <w:spacing w:before="480" w:after="240"/>
    </w:pPr>
  </w:style>
  <w:style w:type="paragraph" w:customStyle="1" w:styleId="NormalBold">
    <w:name w:val="NormalBold"/>
    <w:basedOn w:val="Normal"/>
    <w:rsid w:val="00837E89"/>
    <w:rPr>
      <w:b/>
    </w:rPr>
  </w:style>
  <w:style w:type="paragraph" w:customStyle="1" w:styleId="NormalHanging12a">
    <w:name w:val="NormalHanging12a"/>
    <w:basedOn w:val="Normal"/>
    <w:rsid w:val="00837E89"/>
    <w:pPr>
      <w:spacing w:after="240"/>
      <w:ind w:left="567" w:hanging="567"/>
    </w:pPr>
  </w:style>
  <w:style w:type="character" w:styleId="Hyperlink">
    <w:name w:val="Hyperlink"/>
    <w:basedOn w:val="DefaultParagraphFont"/>
    <w:rsid w:val="00837E89"/>
    <w:rPr>
      <w:color w:val="0563C1" w:themeColor="hyperlink"/>
      <w:u w:val="single"/>
    </w:rPr>
  </w:style>
  <w:style w:type="paragraph" w:styleId="Revision">
    <w:name w:val="Revision"/>
    <w:hidden/>
    <w:uiPriority w:val="99"/>
    <w:semiHidden/>
    <w:rsid w:val="00BB0706"/>
    <w:rPr>
      <w:sz w:val="24"/>
      <w:lang w:val="lv-LV"/>
    </w:rPr>
  </w:style>
  <w:style w:type="character" w:styleId="CommentReference">
    <w:name w:val="annotation reference"/>
    <w:basedOn w:val="DefaultParagraphFont"/>
    <w:rsid w:val="009A3928"/>
    <w:rPr>
      <w:sz w:val="16"/>
      <w:szCs w:val="16"/>
    </w:rPr>
  </w:style>
  <w:style w:type="paragraph" w:styleId="CommentText">
    <w:name w:val="annotation text"/>
    <w:basedOn w:val="Normal"/>
    <w:link w:val="CommentTextChar"/>
    <w:rsid w:val="009A3928"/>
    <w:rPr>
      <w:sz w:val="20"/>
    </w:rPr>
  </w:style>
  <w:style w:type="character" w:customStyle="1" w:styleId="CommentTextChar">
    <w:name w:val="Comment Text Char"/>
    <w:basedOn w:val="DefaultParagraphFont"/>
    <w:link w:val="CommentText"/>
    <w:rsid w:val="009A3928"/>
    <w:rPr>
      <w:lang w:val="lv-LV"/>
    </w:rPr>
  </w:style>
  <w:style w:type="paragraph" w:styleId="CommentSubject">
    <w:name w:val="annotation subject"/>
    <w:basedOn w:val="CommentText"/>
    <w:next w:val="CommentText"/>
    <w:link w:val="CommentSubjectChar"/>
    <w:rsid w:val="009A3928"/>
    <w:rPr>
      <w:b/>
      <w:bCs/>
    </w:rPr>
  </w:style>
  <w:style w:type="character" w:customStyle="1" w:styleId="CommentSubjectChar">
    <w:name w:val="Comment Subject Char"/>
    <w:basedOn w:val="CommentTextChar"/>
    <w:link w:val="CommentSubject"/>
    <w:rsid w:val="009A3928"/>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doceo/document/TA-10-2026-0111_LV.html"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955</Words>
  <Characters>6098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2026-07-07T13:13:00Z</dcterms:created>
  <dcterms:modified xsi:type="dcterms:W3CDTF">2026-07-07T13:13:00Z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A10-0180/2026</vt:lpwstr>
  </property>
  <property fmtid="{D5CDD505-2E9C-101B-9397-08002B2CF9AE}" pid="4" name="&lt;Type&gt;">
    <vt:lpwstr>RR</vt:lpwstr>
  </property>
</Properties>
</file>