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1A83" w14:paraId="6BC96C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5C2E76" w14:textId="77777777" w:rsidR="00751A4A" w:rsidRPr="00B61A83" w:rsidRDefault="00FB7648" w:rsidP="0010095E">
            <w:pPr>
              <w:pStyle w:val="EPName"/>
            </w:pPr>
            <w:r w:rsidRPr="00B61A83">
              <w:t>Parlament Ewropew</w:t>
            </w:r>
          </w:p>
          <w:p w14:paraId="786F4FF0" w14:textId="77777777" w:rsidR="00751A4A" w:rsidRPr="00B61A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1A83">
              <w:t>2024</w:t>
            </w:r>
            <w:r w:rsidR="00817416" w:rsidRPr="00B61A83">
              <w:t>-202</w:t>
            </w:r>
            <w:r w:rsidRPr="00B61A83">
              <w:t>9</w:t>
            </w:r>
          </w:p>
        </w:tc>
        <w:tc>
          <w:tcPr>
            <w:tcW w:w="2268" w:type="dxa"/>
            <w:shd w:val="clear" w:color="auto" w:fill="auto"/>
          </w:tcPr>
          <w:p w14:paraId="615A99C1" w14:textId="77777777" w:rsidR="00751A4A" w:rsidRPr="00B61A83" w:rsidRDefault="00187494" w:rsidP="0010095E">
            <w:pPr>
              <w:pStyle w:val="EPLogo"/>
            </w:pPr>
            <w:r w:rsidRPr="00B61A83">
              <w:rPr>
                <w:noProof/>
                <w:lang w:eastAsia="ja-JP"/>
              </w:rPr>
              <w:drawing>
                <wp:inline distT="0" distB="0" distL="0" distR="0" wp14:anchorId="53466C84" wp14:editId="4FBDE4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F3589" w14:textId="77777777" w:rsidR="00D058B8" w:rsidRPr="00B61A83" w:rsidRDefault="00D058B8" w:rsidP="004C5D52">
      <w:pPr>
        <w:pStyle w:val="LineTop"/>
      </w:pPr>
    </w:p>
    <w:p w14:paraId="44958C6E" w14:textId="77777777" w:rsidR="00680577" w:rsidRPr="00B61A83" w:rsidRDefault="00FB7648" w:rsidP="00680577">
      <w:pPr>
        <w:pStyle w:val="EPBodyTA1"/>
      </w:pPr>
      <w:r w:rsidRPr="00B61A83">
        <w:t>TESTI ADOTTATI</w:t>
      </w:r>
    </w:p>
    <w:p w14:paraId="383932A0" w14:textId="77777777" w:rsidR="00D058B8" w:rsidRPr="00B61A83" w:rsidRDefault="00D058B8" w:rsidP="00D058B8">
      <w:pPr>
        <w:pStyle w:val="LineBottom"/>
      </w:pPr>
    </w:p>
    <w:p w14:paraId="0557F5BA" w14:textId="686649DC" w:rsidR="00FB7648" w:rsidRPr="00B61A83" w:rsidRDefault="00FB7648" w:rsidP="00FB7648">
      <w:pPr>
        <w:pStyle w:val="ATHeading1"/>
      </w:pPr>
      <w:bookmarkStart w:id="0" w:name="TANumber"/>
      <w:r w:rsidRPr="00B61A83">
        <w:t>P10_TA(2026)0</w:t>
      </w:r>
      <w:bookmarkEnd w:id="0"/>
      <w:r w:rsidR="005C6C65">
        <w:t>242</w:t>
      </w:r>
    </w:p>
    <w:p w14:paraId="1A7A8CA1" w14:textId="60FC0DDD" w:rsidR="00FB7648" w:rsidRPr="00B61A83" w:rsidRDefault="00DF5E5C" w:rsidP="00FB7648">
      <w:pPr>
        <w:pStyle w:val="ATHeading2"/>
      </w:pPr>
      <w:r>
        <w:t>A</w:t>
      </w:r>
      <w:r w:rsidRPr="00B61A83">
        <w:t>bbozz ta’ baġit emendatorju Nru 1/2026</w:t>
      </w:r>
      <w:r>
        <w:t>:</w:t>
      </w:r>
      <w:r w:rsidRPr="00B61A83">
        <w:t xml:space="preserve"> dħul tas-surplus tas-sena finanzjarja 2025 </w:t>
      </w:r>
    </w:p>
    <w:p w14:paraId="6A71CED5" w14:textId="77777777" w:rsidR="00FB7648" w:rsidRPr="00B61A83" w:rsidRDefault="00FB7648" w:rsidP="00FB7648">
      <w:pPr>
        <w:rPr>
          <w:i/>
          <w:vanish/>
        </w:rPr>
      </w:pPr>
      <w:r w:rsidRPr="00B61A83">
        <w:rPr>
          <w:i/>
        </w:rPr>
        <w:fldChar w:fldCharType="begin"/>
      </w:r>
      <w:r w:rsidRPr="00B61A83">
        <w:rPr>
          <w:i/>
        </w:rPr>
        <w:instrText xml:space="preserve"> TC"(</w:instrText>
      </w:r>
      <w:bookmarkStart w:id="1" w:name="DocNumber"/>
      <w:r w:rsidRPr="00B61A83">
        <w:rPr>
          <w:i/>
        </w:rPr>
        <w:instrText>A10-0180/2026</w:instrText>
      </w:r>
      <w:bookmarkEnd w:id="1"/>
      <w:r w:rsidRPr="00B61A83">
        <w:rPr>
          <w:i/>
        </w:rPr>
        <w:instrText xml:space="preserve"> - Rapporteur: Andrzej Halicki)"\l3 \n&gt; \* MERGEFORMAT </w:instrText>
      </w:r>
      <w:r w:rsidRPr="00B61A83">
        <w:rPr>
          <w:i/>
        </w:rPr>
        <w:fldChar w:fldCharType="end"/>
      </w:r>
    </w:p>
    <w:p w14:paraId="2B18B31F" w14:textId="77777777" w:rsidR="00FB7648" w:rsidRPr="00B61A83" w:rsidRDefault="00FB7648" w:rsidP="00FB7648">
      <w:pPr>
        <w:rPr>
          <w:vanish/>
        </w:rPr>
      </w:pPr>
      <w:bookmarkStart w:id="2" w:name="Commission"/>
      <w:r w:rsidRPr="00B61A83">
        <w:rPr>
          <w:vanish/>
        </w:rPr>
        <w:t>Kumitat għall-Baġits</w:t>
      </w:r>
      <w:bookmarkEnd w:id="2"/>
    </w:p>
    <w:p w14:paraId="6D9C7BC2" w14:textId="77777777" w:rsidR="00FB7648" w:rsidRPr="00B61A83" w:rsidRDefault="00FB7648" w:rsidP="00FB7648">
      <w:pPr>
        <w:rPr>
          <w:vanish/>
        </w:rPr>
      </w:pPr>
      <w:bookmarkStart w:id="3" w:name="PE"/>
      <w:r w:rsidRPr="00B61A83">
        <w:rPr>
          <w:vanish/>
        </w:rPr>
        <w:t>PE787.947</w:t>
      </w:r>
      <w:bookmarkEnd w:id="3"/>
    </w:p>
    <w:p w14:paraId="2744B6F7" w14:textId="47638758" w:rsidR="00FB7648" w:rsidRPr="00B61A83" w:rsidRDefault="00DF5E5C" w:rsidP="00FB7648">
      <w:pPr>
        <w:pStyle w:val="ATHeading3"/>
      </w:pPr>
      <w:bookmarkStart w:id="4" w:name="Sujet"/>
      <w:r>
        <w:t>R</w:t>
      </w:r>
      <w:r w:rsidR="00FB7648" w:rsidRPr="00B61A83">
        <w:t>iż</w:t>
      </w:r>
      <w:r>
        <w:t>oluzz</w:t>
      </w:r>
      <w:r w:rsidR="00FB7648" w:rsidRPr="00B61A83">
        <w:t xml:space="preserve">joni tal-Parlament Ewropew </w:t>
      </w:r>
      <w:r>
        <w:t xml:space="preserve">tas-7 ta’ Lulju </w:t>
      </w:r>
      <w:r w:rsidR="00FB7648" w:rsidRPr="00B61A83">
        <w:t>2026 dwar il-pożizzjoni tal-Kunsill dwar l-abbozz ta’ baġit emendatorju Nru 1/2026 tal-Unjoni Ewropea għas-sena finanzjarja 2026: dħul tas-surplus tas-sena finanzjarja 2025</w:t>
      </w:r>
      <w:bookmarkEnd w:id="4"/>
      <w:r w:rsidR="00FB7648" w:rsidRPr="00B61A83">
        <w:t xml:space="preserve"> </w:t>
      </w:r>
      <w:bookmarkStart w:id="5" w:name="References"/>
      <w:r w:rsidR="00FB7648" w:rsidRPr="00B61A83">
        <w:t>(09919/2026 – C10-0145/2026 – 2026/0090(BUD))</w:t>
      </w:r>
      <w:bookmarkEnd w:id="5"/>
    </w:p>
    <w:p w14:paraId="1E989D1C" w14:textId="77777777" w:rsidR="00061C53" w:rsidRPr="00B61A83" w:rsidRDefault="00061C53" w:rsidP="00061C53">
      <w:pPr>
        <w:pStyle w:val="EPComma"/>
      </w:pPr>
      <w:bookmarkStart w:id="6" w:name="TextBodyBegin"/>
      <w:bookmarkEnd w:id="6"/>
      <w:r w:rsidRPr="00B61A83">
        <w:rPr>
          <w:i/>
        </w:rPr>
        <w:t>Il-Parlament Ewropew,</w:t>
      </w:r>
    </w:p>
    <w:p w14:paraId="5FD00ECA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l-Artikolu 314 tat-Trattat dwar il-Funzjonament tal-Unjoni Ewropea,</w:t>
      </w:r>
    </w:p>
    <w:p w14:paraId="4BD4507F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l-Artikolu 106a tat-Trattat li jistabbilixxi l-Komunità Ewropea tal-Enerġija Atomika,</w:t>
      </w:r>
    </w:p>
    <w:p w14:paraId="2B20EE4E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r-Regolament (UE, Euratom) 2024/2509 tal-Parlament Ewropew u tal-Kunsill tat-23 ta’ Settembru 2024 dwar ir-regoli finanzjarji applikabbli għall-baġit ġenerali tal-Unjoni</w:t>
      </w:r>
      <w:r w:rsidRPr="00B61A83">
        <w:rPr>
          <w:rStyle w:val="FootnoteReference"/>
        </w:rPr>
        <w:footnoteReference w:id="1"/>
      </w:r>
      <w:r w:rsidRPr="00B61A83">
        <w:t>, u b’mod partikolari l-Artikolu 44 tiegħu,</w:t>
      </w:r>
    </w:p>
    <w:p w14:paraId="2962FBD5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l-baġit ġenerali tal-Unjoni Ewropea għas-sena finanzjarja 2026, adottat b’mod definittiv fis-26 ta’ Novembru 2025</w:t>
      </w:r>
      <w:r w:rsidRPr="00B61A83">
        <w:rPr>
          <w:vertAlign w:val="superscript"/>
        </w:rPr>
        <w:footnoteReference w:id="2"/>
      </w:r>
      <w:r w:rsidRPr="00B61A83">
        <w:t xml:space="preserve">, </w:t>
      </w:r>
    </w:p>
    <w:p w14:paraId="5563D785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r-Regolament tal-Kunsill (UE, Euratom) 2020/2093 tas-17 ta’ Diċembru 2020 li jistabbilixxi l-qafas finanzjarju pluriennali għas-snin mill-2021 sal-2027</w:t>
      </w:r>
      <w:r w:rsidRPr="00B61A83">
        <w:rPr>
          <w:vertAlign w:val="superscript"/>
        </w:rPr>
        <w:footnoteReference w:id="3"/>
      </w:r>
      <w:r w:rsidRPr="00B61A83">
        <w:t xml:space="preserve">, </w:t>
      </w:r>
    </w:p>
    <w:p w14:paraId="724FEB8B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r-Regolament tal-Kunsill (UE, Euratom) 2024/765 li jemenda r-Regolament (UE, Euratom) 2020/2093 li jistabbilixxi l-qafas finanzjarju pluriennali għas-snin mill-2021 sal-2027</w:t>
      </w:r>
      <w:r w:rsidRPr="00B61A83">
        <w:rPr>
          <w:vertAlign w:val="superscript"/>
        </w:rPr>
        <w:footnoteReference w:id="4"/>
      </w:r>
      <w:r w:rsidRPr="00B61A83">
        <w:t>,</w:t>
      </w:r>
    </w:p>
    <w:p w14:paraId="7F0C38B7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 xml:space="preserve">wara li kkunsidra l-Ftehim Interistituzzjonali tas-16 ta’ Diċembru 2020 bejn il-Parlament Ewropew, il-Kunsill tal-Unjoni Ewropea u l-Kummissjoni Ewropea dwar </w:t>
      </w:r>
      <w:r w:rsidRPr="00B61A83">
        <w:lastRenderedPageBreak/>
        <w:t>dixxiplina baġitarja, dwar kooperazzjoni f’materji baġitarji u dwar ġestjoni finanzjarja tajba, kif ukoll dwar riżorsi proprji ġodda, inkluż pjan direzzjonali lejn l-introduzzjoni ta’ riżorsi proprji ġodda</w:t>
      </w:r>
      <w:r w:rsidRPr="00B61A83">
        <w:rPr>
          <w:vertAlign w:val="superscript"/>
        </w:rPr>
        <w:footnoteReference w:id="5"/>
      </w:r>
      <w:r w:rsidRPr="00B61A83">
        <w:t>,</w:t>
      </w:r>
    </w:p>
    <w:p w14:paraId="12E8C330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d-Deċiżjoni tal-Kunsill (UE, Euratom) 2020/2053 tal-14 ta’ Diċembru 2020 dwar is-sistema tar-riżorsi proprji tal-Unjoni Ewropea u li tħassar id-Deċiżjoni 2014/335/UE, Euratom</w:t>
      </w:r>
      <w:r w:rsidRPr="00B61A83">
        <w:rPr>
          <w:vertAlign w:val="superscript"/>
        </w:rPr>
        <w:footnoteReference w:id="6"/>
      </w:r>
      <w:r w:rsidRPr="00B61A83">
        <w:t xml:space="preserve">, </w:t>
      </w:r>
    </w:p>
    <w:p w14:paraId="0694C1E9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r-riżoluzzjoni tiegħu tat-28 ta’ April 2026 dwar il-proposta għal regolament tal-Kunsill li jistabbilixxi l-Qafas Finanzjarju Pluriennali għas-snin mill-2028 sal-2034</w:t>
      </w:r>
      <w:r w:rsidRPr="00B61A83">
        <w:rPr>
          <w:rStyle w:val="FootnoteReference"/>
        </w:rPr>
        <w:footnoteReference w:id="7"/>
      </w:r>
      <w:r w:rsidRPr="00B61A83">
        <w:t xml:space="preserve">, </w:t>
      </w:r>
    </w:p>
    <w:p w14:paraId="13DFC756" w14:textId="77777777" w:rsidR="00061C53" w:rsidRPr="00B61A83" w:rsidRDefault="00061C53" w:rsidP="00061C53">
      <w:pPr>
        <w:pStyle w:val="NormalHanging12a"/>
      </w:pPr>
      <w:bookmarkStart w:id="7" w:name="_Hlk229564682"/>
      <w:r w:rsidRPr="00B61A83">
        <w:t>–</w:t>
      </w:r>
      <w:r w:rsidRPr="00B61A83">
        <w:tab/>
        <w:t>wara li kkunsidra l-abbozz ta’ baġit emendatorju Nru 1/2026 adottat mill-Kummissjoni fl-10 ta’ April 2026 (COM(2026)0450),</w:t>
      </w:r>
      <w:bookmarkEnd w:id="7"/>
    </w:p>
    <w:p w14:paraId="0AEEF0DB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l-pożizzjoni dwar l-abbozz ta’ baġit emendatorju Nru 1/2026, adottata mill-Kunsill fis-16 ta’ Ġunju 2026 u mibgħuta lill-Parlament Ewropew fit-18 ta’ Ġunju 2014 (09919/2026),</w:t>
      </w:r>
    </w:p>
    <w:p w14:paraId="0B9AC765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l-Artikoli 96 u 98 tar-Regoli ta’ Proċedura tiegħu,</w:t>
      </w:r>
    </w:p>
    <w:p w14:paraId="4BE02C42" w14:textId="77777777" w:rsidR="00061C53" w:rsidRPr="00B61A83" w:rsidRDefault="00061C53" w:rsidP="00061C53">
      <w:pPr>
        <w:pStyle w:val="NormalHanging12a"/>
      </w:pPr>
      <w:r w:rsidRPr="00B61A83">
        <w:t>–</w:t>
      </w:r>
      <w:r w:rsidRPr="00B61A83">
        <w:tab/>
        <w:t>wara li kkunsidra r-rapport tal-Kumitat għall-Baġits (A10-0180/2026),</w:t>
      </w:r>
    </w:p>
    <w:p w14:paraId="720EAD26" w14:textId="77777777" w:rsidR="00061C53" w:rsidRPr="00B61A83" w:rsidRDefault="00061C53" w:rsidP="00061C53">
      <w:pPr>
        <w:pStyle w:val="NormalHanging12a"/>
      </w:pPr>
      <w:r w:rsidRPr="00B61A83">
        <w:t>A.</w:t>
      </w:r>
      <w:r w:rsidRPr="00B61A83">
        <w:tab/>
        <w:t>billi l-għan tal-abbozz ta’ baġit emendatorju Nru 1/2026 huwa li jiddaħħal fil-baġit 2026 is-surplus li jirriżulta mill-implimentazzjoni tas-sena finanzjarja 2025, li jammonta għal EUR 2 095 miljun;</w:t>
      </w:r>
    </w:p>
    <w:p w14:paraId="38158E74" w14:textId="77777777" w:rsidR="00061C53" w:rsidRPr="00B61A83" w:rsidRDefault="00061C53" w:rsidP="00061C53">
      <w:pPr>
        <w:pStyle w:val="NormalHanging12a"/>
      </w:pPr>
      <w:r w:rsidRPr="00B61A83">
        <w:t>B.</w:t>
      </w:r>
      <w:r w:rsidRPr="00B61A83">
        <w:tab/>
        <w:t xml:space="preserve">billi l-komponenti ewlenin ta’ dak is-surplus huma eżitu pożittiv fuq id-dħul ta’ EUR 1 994 miljun, u </w:t>
      </w:r>
      <w:proofErr w:type="spellStart"/>
      <w:r w:rsidRPr="00B61A83">
        <w:t>sottoinfiq</w:t>
      </w:r>
      <w:proofErr w:type="spellEnd"/>
      <w:r w:rsidRPr="00B61A83">
        <w:t xml:space="preserve"> ta’ EUR 101 miljun;</w:t>
      </w:r>
    </w:p>
    <w:p w14:paraId="2E06D787" w14:textId="77777777" w:rsidR="00061C53" w:rsidRPr="00B61A83" w:rsidRDefault="00061C53" w:rsidP="00061C53">
      <w:pPr>
        <w:pStyle w:val="NormalHanging12a"/>
      </w:pPr>
      <w:r w:rsidRPr="00B61A83">
        <w:t>C.</w:t>
      </w:r>
      <w:r w:rsidRPr="00B61A83">
        <w:tab/>
        <w:t xml:space="preserve">billi mil-lat ta’ dħul, is-surplus huwa predominantement dovut </w:t>
      </w:r>
      <w:bookmarkStart w:id="8" w:name="_Hlk233197369"/>
      <w:r w:rsidRPr="00B61A83">
        <w:t>għal ammont ogħla milli mistenni ta’ dazji doganali ta’ EUR 860 miljun</w:t>
      </w:r>
      <w:bookmarkEnd w:id="8"/>
      <w:r w:rsidRPr="00B61A83">
        <w:t xml:space="preserve">; billi t-tieni fattur ewlieni li </w:t>
      </w:r>
      <w:proofErr w:type="spellStart"/>
      <w:r w:rsidRPr="00B61A83">
        <w:t>xpruna</w:t>
      </w:r>
      <w:proofErr w:type="spellEnd"/>
      <w:r w:rsidRPr="00B61A83">
        <w:t xml:space="preserve"> l-volum tas-surplus huwa l-ammont ta’ EUR 840 miljun fi dħul finanzjarju, imgħax ta’ inadempjenza u multi; </w:t>
      </w:r>
    </w:p>
    <w:p w14:paraId="57871249" w14:textId="77777777" w:rsidR="00061C53" w:rsidRPr="00B61A83" w:rsidRDefault="00061C53" w:rsidP="00061C53">
      <w:pPr>
        <w:pStyle w:val="NormalHanging12a"/>
      </w:pPr>
      <w:r w:rsidRPr="00B61A83">
        <w:t>D.</w:t>
      </w:r>
      <w:r w:rsidRPr="00B61A83">
        <w:tab/>
        <w:t>billi, min-naħa tan-nefqa, is-</w:t>
      </w:r>
      <w:proofErr w:type="spellStart"/>
      <w:r w:rsidRPr="00B61A83">
        <w:t>sottoimplimentazzjoni</w:t>
      </w:r>
      <w:proofErr w:type="spellEnd"/>
      <w:r w:rsidRPr="00B61A83">
        <w:t xml:space="preserve"> fil-pagamenti mill-istituzzjonijiet kollha, inklużi l-</w:t>
      </w:r>
      <w:proofErr w:type="spellStart"/>
      <w:r w:rsidRPr="00B61A83">
        <w:t>kanċellazzjonijiet</w:t>
      </w:r>
      <w:proofErr w:type="spellEnd"/>
      <w:r w:rsidRPr="00B61A83">
        <w:t xml:space="preserve"> ta’ approprjazzjonijiet </w:t>
      </w:r>
      <w:proofErr w:type="spellStart"/>
      <w:r w:rsidRPr="00B61A83">
        <w:t>riportati</w:t>
      </w:r>
      <w:proofErr w:type="spellEnd"/>
      <w:r w:rsidRPr="00B61A83">
        <w:t xml:space="preserve">, </w:t>
      </w:r>
      <w:proofErr w:type="spellStart"/>
      <w:r w:rsidRPr="00B61A83">
        <w:t>ammontat</w:t>
      </w:r>
      <w:proofErr w:type="spellEnd"/>
      <w:r w:rsidRPr="00B61A83">
        <w:t xml:space="preserve"> għal total ta’ EUR 111-il miljun (li jirrappreżenta 0,04 % tal-approprjazzjonijiet ta’ pagament awtorizzati);</w:t>
      </w:r>
    </w:p>
    <w:p w14:paraId="73D555DB" w14:textId="77777777" w:rsidR="00061C53" w:rsidRPr="00B61A83" w:rsidRDefault="00061C53" w:rsidP="00061C53">
      <w:pPr>
        <w:pStyle w:val="NormalHanging12a"/>
      </w:pPr>
      <w:r w:rsidRPr="00B61A83">
        <w:t>1.</w:t>
      </w:r>
      <w:r w:rsidRPr="00B61A83">
        <w:tab/>
        <w:t>Jieħu nota tal-abbozz ta’ baġit emendatorju Nru 1/2026 kif tressaq mill-Kummissjoni, li huwa mfassal biex jibbaġitja s-surplus tal-2025, għal ammont ta’ EUR 2 095 miljun, f’konformità mal-Artikolu 18(3) tar-Regolament Finanzjarju;</w:t>
      </w:r>
      <w:sdt>
        <w:sdtPr>
          <w:tag w:val="goog_rdk_0"/>
          <w:id w:val="1937094721"/>
        </w:sdtPr>
        <w:sdtEndPr/>
        <w:sdtContent/>
      </w:sdt>
    </w:p>
    <w:p w14:paraId="5A4B9C82" w14:textId="77777777" w:rsidR="00061C53" w:rsidRPr="00B61A83" w:rsidRDefault="00061C53" w:rsidP="00061C53">
      <w:pPr>
        <w:pStyle w:val="NormalHanging12a"/>
      </w:pPr>
      <w:r w:rsidRPr="00B61A83">
        <w:t>2.</w:t>
      </w:r>
      <w:r w:rsidRPr="00B61A83">
        <w:tab/>
        <w:t xml:space="preserve">Jilqa’ l-fatt li s-surplus tal-2025 huwa xprunat primarjament minn żieda fil-varjazzjoni fit-titolu 1 (Riżorsi Proprji, b’mod partikolari dazji doganali) u t-titolu 4 (Dħul finanzjarju, imgħax ta’ inadempjenza u multi), filwaqt li s-surplus tan-nefqa għadu </w:t>
      </w:r>
      <w:r w:rsidRPr="00B61A83">
        <w:lastRenderedPageBreak/>
        <w:t xml:space="preserve">modest ħafna fil-livell ta’ EUR 101 miljun; </w:t>
      </w:r>
    </w:p>
    <w:p w14:paraId="21BFFB13" w14:textId="77777777" w:rsidR="00061C53" w:rsidRPr="00B61A83" w:rsidRDefault="00061C53" w:rsidP="00061C53">
      <w:pPr>
        <w:pStyle w:val="NormalHanging12a"/>
      </w:pPr>
      <w:r w:rsidRPr="00B61A83">
        <w:t>3.</w:t>
      </w:r>
      <w:r w:rsidRPr="00B61A83">
        <w:tab/>
        <w:t>Jiddispjaċih li l-</w:t>
      </w:r>
      <w:proofErr w:type="spellStart"/>
      <w:r w:rsidRPr="00B61A83">
        <w:t>ibbaġitjar</w:t>
      </w:r>
      <w:proofErr w:type="spellEnd"/>
      <w:r w:rsidRPr="00B61A83">
        <w:t xml:space="preserve"> tas-surplus inaqqas il-kontribuzzjoni għar-riżorsi proprji bbażati fuq l-ING tal-Istati Membri għall-finanzjament tal-baġit 2026 b’ammont proporzjonat; jissottolinja li, fi żmien meta l-ħtiġijiet ta’ finanzjament għadhom għoljin, b’mod partikolari għall-kostijiet tas-servizzi tad-dejn tal-EURI, u l-ispazju għal ċaqliq fil-baġit tal-Unjoni għadu estremament limitat, il-baġit għandu jżomm livell suffiċjenti ta’ flessibbiltà fl-aħħar snin tal-QFP attwali biex jippermetti lill-Unjoni tlaħħaq ma’ avvenimenti mhux previsti; jissottolinja li l-flessibbiltà tal-baġit tal-Unjoni hija waħda mill-kwistjonijiet ewlenin li għandhom jiġu indirizzati fin-negozjati għall-qafas finanzjarju pluriennali 2028–2034; </w:t>
      </w:r>
    </w:p>
    <w:p w14:paraId="5D0FC531" w14:textId="77777777" w:rsidR="00061C53" w:rsidRPr="00B61A83" w:rsidRDefault="00061C53" w:rsidP="00061C53">
      <w:pPr>
        <w:pStyle w:val="NormalHanging12a"/>
      </w:pPr>
      <w:r w:rsidRPr="00B61A83">
        <w:t>4.</w:t>
      </w:r>
      <w:r w:rsidRPr="00B61A83">
        <w:tab/>
        <w:t xml:space="preserve">Ifakkar fil-pożizzjoni li ilu jħaddan li d-dħul </w:t>
      </w:r>
      <w:proofErr w:type="spellStart"/>
      <w:r w:rsidRPr="00B61A83">
        <w:t>imprevist</w:t>
      </w:r>
      <w:proofErr w:type="spellEnd"/>
      <w:r w:rsidRPr="00B61A83">
        <w:t xml:space="preserve"> li jirriżulta minn multi u tariffi, jew ammonti ekwivalenti tagħhom, għandu jintuża bħala dħul supplimentari għall-baġit tal-Unjoni u ma għandux iwassal għal tnaqqis korrispondenti fil-kontribuzzjonijiet ibbażati fuq l-ING;</w:t>
      </w:r>
    </w:p>
    <w:p w14:paraId="410CD8F8" w14:textId="77777777" w:rsidR="00061C53" w:rsidRPr="00B61A83" w:rsidRDefault="00061C53" w:rsidP="00061C53">
      <w:pPr>
        <w:pStyle w:val="NormalHanging12a"/>
      </w:pPr>
      <w:r w:rsidRPr="00B61A83">
        <w:t>5.</w:t>
      </w:r>
      <w:r w:rsidRPr="00B61A83">
        <w:tab/>
        <w:t>Jieħu nota tal-kalkolu tat-tnaqqis annwali aġġustat ta’ somma f’daqqa tal-ING għall-ħames Stati Membri benefiċjarji, li jammonta għal madwar EUR 5,8 biljun netti; jenfasizza l-fatt li dawn ir-</w:t>
      </w:r>
      <w:proofErr w:type="spellStart"/>
      <w:r w:rsidRPr="00B61A83">
        <w:t>ribassi</w:t>
      </w:r>
      <w:proofErr w:type="spellEnd"/>
      <w:r w:rsidRPr="00B61A83">
        <w:t xml:space="preserve"> huma marbuta mal-inflazzjoni u għalhekk żdiedu b’rata ogħla mil-limiti massimi tal-QFP, li jiġu aġġustati kull sena abbażi tad-</w:t>
      </w:r>
      <w:proofErr w:type="spellStart"/>
      <w:r w:rsidRPr="00B61A83">
        <w:t>deflatur</w:t>
      </w:r>
      <w:proofErr w:type="spellEnd"/>
      <w:r w:rsidRPr="00B61A83">
        <w:t xml:space="preserve"> ta’ 2 %; jisħaq li din l-anomalija żżid il-piż fuq l-Istati Membri l-oħra;</w:t>
      </w:r>
    </w:p>
    <w:p w14:paraId="24EC78B6" w14:textId="77777777" w:rsidR="00061C53" w:rsidRPr="00B61A83" w:rsidRDefault="00061C53" w:rsidP="00061C53">
      <w:pPr>
        <w:pStyle w:val="NormalHanging12a"/>
      </w:pPr>
      <w:r w:rsidRPr="00B61A83">
        <w:t>6.</w:t>
      </w:r>
      <w:r w:rsidRPr="00B61A83">
        <w:tab/>
        <w:t xml:space="preserve">Jieħu nota tal-partita tal-introjtu negattiv skont l-Artikolu 425, li tammonta għal EUR 54 miljun u jilqa’ dan il-metodu li jinkorpora l-kostijiet għall-baġit li jirriżultaw minn pagament li jkun sar skont ftehim ta’ saldu li jinvolvi imgħax </w:t>
      </w:r>
      <w:proofErr w:type="spellStart"/>
      <w:r w:rsidRPr="00B61A83">
        <w:t>kumpensatorju</w:t>
      </w:r>
      <w:proofErr w:type="spellEnd"/>
      <w:r w:rsidRPr="00B61A83">
        <w:t xml:space="preserve"> u kumpens tal-imgħax ta’ inadempjenza relatati mal-pagament lura ta’ multi tal-kompetizzjoni annullati jew imnaqqsa f’konformità mas-sentenzi pertinenti tal-Qorti tal-Ġustizzja; ifakkar li l-Parlament, meta </w:t>
      </w:r>
      <w:proofErr w:type="spellStart"/>
      <w:r w:rsidRPr="00B61A83">
        <w:t>nnegozja</w:t>
      </w:r>
      <w:proofErr w:type="spellEnd"/>
      <w:r w:rsidRPr="00B61A83">
        <w:t xml:space="preserve"> r-riformulazzjoni tal-2024 tar-Regolament Finanzjarju, kien insista fuq l-applikazzjoni ta’ dan l-approċċ biex jevita li jiġu ġġenerati approprjazzjonijiet tan-nefqa addizzjonali fl-</w:t>
      </w:r>
      <w:proofErr w:type="spellStart"/>
      <w:r w:rsidRPr="00B61A83">
        <w:t>Intestatura</w:t>
      </w:r>
      <w:proofErr w:type="spellEnd"/>
      <w:r w:rsidRPr="00B61A83">
        <w:t xml:space="preserve"> 7 li diġà hija </w:t>
      </w:r>
      <w:proofErr w:type="spellStart"/>
      <w:r w:rsidRPr="00B61A83">
        <w:t>mġebbda</w:t>
      </w:r>
      <w:proofErr w:type="spellEnd"/>
      <w:r w:rsidRPr="00B61A83">
        <w:t xml:space="preserve"> żżejjed; ifakkar li din is-soluzzjoni tintemm fil-31 ta’ Diċembru 2027; jistieden lill-Kummissjoni tipproponi soluzzjoni definittiva għall-QFP li jmiss li tilħaq l-istess objettiv li jiġi evitat kwalunkwe impatt fuq in-naħa tan-nefqa tal-baġit;</w:t>
      </w:r>
    </w:p>
    <w:p w14:paraId="1EDFB70F" w14:textId="2467E953" w:rsidR="00061C53" w:rsidRPr="00B61A83" w:rsidRDefault="00061C53" w:rsidP="00061C53">
      <w:pPr>
        <w:pStyle w:val="NormalHanging12a"/>
      </w:pPr>
      <w:r w:rsidRPr="00B61A83">
        <w:t>7.</w:t>
      </w:r>
      <w:r w:rsidRPr="00B61A83">
        <w:tab/>
        <w:t>Itenni t-talba tiegħu li ilha teżisti għal dħul sostenibbli, prevedibbli u reżiljenti għall-baġit tal-Unjoni skont l-Artikolu 310 tat-TFUE li għandu jaqbel man-naħa tan-nefqa u l-prijoritajiet strateġiċi u l-ħtiġijiet ta’ finanzjament identifikati tal-Unjoni; jafferma mill-ġdid l-impenn qawwi t</w:t>
      </w:r>
      <w:r w:rsidR="00B95616">
        <w:t>iegħu</w:t>
      </w:r>
      <w:r w:rsidRPr="00B61A83">
        <w:t xml:space="preserve"> għall-introduzzjoni ta’ riżorsi proprji ġodda, mhux biss għall-ħlas lura tad-dejn tan-</w:t>
      </w:r>
      <w:proofErr w:type="spellStart"/>
      <w:r w:rsidRPr="00B61A83">
        <w:t>Next</w:t>
      </w:r>
      <w:proofErr w:type="spellEnd"/>
      <w:r w:rsidRPr="00B61A83">
        <w:t xml:space="preserve"> </w:t>
      </w:r>
      <w:proofErr w:type="spellStart"/>
      <w:r w:rsidRPr="00B61A83">
        <w:t>Generation</w:t>
      </w:r>
      <w:proofErr w:type="spellEnd"/>
      <w:r w:rsidRPr="00B61A83">
        <w:t xml:space="preserve"> EU iżda wkoll biex jiffinanzja l-ambizzjonijiet tal-politika mtejba tal-Unjoni; ifakkar li, mingħajr riżorsi proprji ġenwini ġodda, il-piż finanzjarju inevitabbilment se </w:t>
      </w:r>
      <w:proofErr w:type="spellStart"/>
      <w:r w:rsidRPr="00B61A83">
        <w:t>jaqa</w:t>
      </w:r>
      <w:proofErr w:type="spellEnd"/>
      <w:r w:rsidRPr="00B61A83">
        <w:t>’ fuq l-Istati Membri fil-forma ta’ żieda fil-kontribuzzjonijiet ibbażati fuq l-ING; iqis, għalhekk, li l-introduzzjoni ta’ flussi ta’ dħul ġenwini ġodda ta’ mill-anqas EUR 60 biljun fis-sena hija kundizzjoni essenzjali għal Qafas Finanzjarju Pluriennali ambizzjuż għas-snin mill-2028 sal-2034;</w:t>
      </w:r>
    </w:p>
    <w:p w14:paraId="077E853B" w14:textId="77777777" w:rsidR="00061C53" w:rsidRPr="00B61A83" w:rsidRDefault="00061C53" w:rsidP="00061C53">
      <w:pPr>
        <w:pStyle w:val="NormalHanging12a"/>
      </w:pPr>
      <w:r w:rsidRPr="00B61A83">
        <w:t>8.</w:t>
      </w:r>
      <w:r w:rsidRPr="00B61A83">
        <w:tab/>
        <w:t>Japprova l-pożizzjoni tal-Kunsill dwar l-abbozz ta’ baġit emendatorju Nru 1/2026;</w:t>
      </w:r>
    </w:p>
    <w:p w14:paraId="1BC9E68D" w14:textId="77777777" w:rsidR="00061C53" w:rsidRPr="00B61A83" w:rsidRDefault="00061C53" w:rsidP="00061C53">
      <w:pPr>
        <w:pStyle w:val="NormalHanging12a"/>
      </w:pPr>
      <w:r w:rsidRPr="00B61A83">
        <w:t>9.</w:t>
      </w:r>
      <w:r w:rsidRPr="00B61A83">
        <w:tab/>
        <w:t>Jagħti istruzzjonijiet lill-President tiegħu biex tiddikjara li l-baġit emendatorju Nru 1/2026 ġie adottat b’mod definittiv u biex tiżgura li jiġi ppubblikat f’</w:t>
      </w:r>
      <w:r w:rsidRPr="00B61A83">
        <w:rPr>
          <w:i/>
        </w:rPr>
        <w:t>Il-Ġurnal Uffiċjali tal-Unjoni Ewropea</w:t>
      </w:r>
      <w:r w:rsidRPr="00B61A83">
        <w:t>;</w:t>
      </w:r>
    </w:p>
    <w:p w14:paraId="449E2701" w14:textId="34087E33" w:rsidR="00E365E1" w:rsidRPr="00B61A83" w:rsidRDefault="00061C53" w:rsidP="00C03742">
      <w:pPr>
        <w:ind w:left="567" w:hanging="567"/>
      </w:pPr>
      <w:r w:rsidRPr="00B61A83">
        <w:lastRenderedPageBreak/>
        <w:t>10.</w:t>
      </w:r>
      <w:r w:rsidRPr="00B61A83">
        <w:tab/>
        <w:t>Jagħti istruzzjonijiet lill-President tiegħu biex tgħaddi din ir-riżoluzzjoni lill-Kunsill, lill-Kummissjoni, lill-istituzzjonijiet l-oħra u lill-entitajiet ikkonċernati, kif ukoll lill-parlamenti nazzjonali.</w:t>
      </w:r>
    </w:p>
    <w:sectPr w:rsidR="00E365E1" w:rsidRPr="00B61A83" w:rsidSect="00B61A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06ED2" w14:textId="77777777" w:rsidR="00FB7648" w:rsidRPr="00B61A83" w:rsidRDefault="00FB7648">
      <w:r w:rsidRPr="00B61A83">
        <w:separator/>
      </w:r>
    </w:p>
  </w:endnote>
  <w:endnote w:type="continuationSeparator" w:id="0">
    <w:p w14:paraId="70756D19" w14:textId="77777777" w:rsidR="00FB7648" w:rsidRPr="00B61A83" w:rsidRDefault="00FB7648">
      <w:r w:rsidRPr="00B61A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DD293" w14:textId="77777777" w:rsidR="00064002" w:rsidRPr="00B61A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6C8B5" w14:textId="77777777" w:rsidR="00064002" w:rsidRPr="00B61A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CE507" w14:textId="77777777" w:rsidR="00064002" w:rsidRPr="00B61A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6087" w14:textId="77777777" w:rsidR="00FB7648" w:rsidRPr="00B61A83" w:rsidRDefault="00FB7648">
      <w:r w:rsidRPr="00B61A83">
        <w:separator/>
      </w:r>
    </w:p>
  </w:footnote>
  <w:footnote w:type="continuationSeparator" w:id="0">
    <w:p w14:paraId="135DEE46" w14:textId="77777777" w:rsidR="00FB7648" w:rsidRPr="00B61A83" w:rsidRDefault="00FB7648">
      <w:r w:rsidRPr="00B61A83">
        <w:continuationSeparator/>
      </w:r>
    </w:p>
  </w:footnote>
  <w:footnote w:id="1">
    <w:p w14:paraId="7992F849" w14:textId="45561E51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ĠU L, 2024/2509, 26.9.2024, ELI: </w:t>
      </w:r>
      <w:hyperlink r:id="rId1" w:tooltip="http://data.europa.eu/eli/reg/2024/2509/oj" w:history="1">
        <w:r w:rsidRPr="00B61A83">
          <w:rPr>
            <w:rStyle w:val="Hyperlink"/>
            <w:sz w:val="24"/>
            <w:lang w:val="mt-MT"/>
          </w:rPr>
          <w:t>http://data.europa.eu/eli/reg/2024/2509/oj</w:t>
        </w:r>
      </w:hyperlink>
      <w:r w:rsidRPr="00B61A83">
        <w:rPr>
          <w:sz w:val="24"/>
          <w:lang w:val="mt-MT"/>
        </w:rPr>
        <w:t>.</w:t>
      </w:r>
    </w:p>
  </w:footnote>
  <w:footnote w:id="2">
    <w:p w14:paraId="164C0BF2" w14:textId="121D1B1E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ĠU L, 2026/72, 26.2.2026, ELI: </w:t>
      </w:r>
      <w:hyperlink r:id="rId2" w:history="1">
        <w:r w:rsidRPr="00B61A83">
          <w:rPr>
            <w:rStyle w:val="Hyperlink"/>
            <w:sz w:val="24"/>
            <w:lang w:val="mt-MT"/>
          </w:rPr>
          <w:t>http://data.europa.eu/eli/budget/2026/72/oj</w:t>
        </w:r>
      </w:hyperlink>
      <w:r w:rsidRPr="00B61A83">
        <w:rPr>
          <w:sz w:val="24"/>
          <w:lang w:val="mt-MT"/>
        </w:rPr>
        <w:t>.</w:t>
      </w:r>
    </w:p>
  </w:footnote>
  <w:footnote w:id="3">
    <w:p w14:paraId="7E730D77" w14:textId="57B51B60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ĠU L 433 I, 22.12.2020, p. 11, ELI: </w:t>
      </w:r>
      <w:hyperlink r:id="rId3" w:history="1">
        <w:r w:rsidRPr="00B61A83">
          <w:rPr>
            <w:rStyle w:val="Hyperlink"/>
            <w:sz w:val="24"/>
            <w:lang w:val="mt-MT"/>
          </w:rPr>
          <w:t>http://data.europa.eu/eli/reg/2020/2093/oj</w:t>
        </w:r>
      </w:hyperlink>
      <w:r w:rsidRPr="00B61A83">
        <w:rPr>
          <w:sz w:val="24"/>
          <w:lang w:val="mt-MT"/>
        </w:rPr>
        <w:t>.</w:t>
      </w:r>
    </w:p>
  </w:footnote>
  <w:footnote w:id="4">
    <w:p w14:paraId="1ED8842C" w14:textId="36F67E88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ĠU L, 2024/765, 29.2.2024, ELI: </w:t>
      </w:r>
      <w:hyperlink r:id="rId4" w:history="1">
        <w:r w:rsidRPr="00B61A83">
          <w:rPr>
            <w:rStyle w:val="Hyperlink"/>
            <w:sz w:val="24"/>
            <w:lang w:val="mt-MT"/>
          </w:rPr>
          <w:t>http://data.europa.eu/eli/reg/2024/765/oj</w:t>
        </w:r>
      </w:hyperlink>
      <w:r w:rsidRPr="00B61A83">
        <w:rPr>
          <w:sz w:val="24"/>
          <w:lang w:val="mt-MT"/>
        </w:rPr>
        <w:t>.</w:t>
      </w:r>
    </w:p>
  </w:footnote>
  <w:footnote w:id="5">
    <w:p w14:paraId="73533BDC" w14:textId="06072744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ĠU L 433 I, 22.12.2020, p. 28, ELI: </w:t>
      </w:r>
      <w:hyperlink r:id="rId5" w:history="1">
        <w:r w:rsidRPr="00B61A83">
          <w:rPr>
            <w:rStyle w:val="Hyperlink"/>
            <w:sz w:val="24"/>
            <w:lang w:val="mt-MT"/>
          </w:rPr>
          <w:t>http://data.europa.eu/eli/agree_interinstit/2020/1222/oj</w:t>
        </w:r>
      </w:hyperlink>
    </w:p>
  </w:footnote>
  <w:footnote w:id="6">
    <w:p w14:paraId="5B2C69BF" w14:textId="74744B94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ĠU L 424, 15.12.2020, p. 1, ELI: </w:t>
      </w:r>
      <w:hyperlink r:id="rId6" w:history="1">
        <w:r w:rsidRPr="00B61A83">
          <w:rPr>
            <w:rStyle w:val="Hyperlink"/>
            <w:sz w:val="24"/>
            <w:lang w:val="mt-MT"/>
          </w:rPr>
          <w:t>http://data.europa.eu/eli/dec/2020/2053/oj</w:t>
        </w:r>
      </w:hyperlink>
      <w:r w:rsidRPr="00B61A83">
        <w:rPr>
          <w:sz w:val="24"/>
          <w:lang w:val="mt-MT"/>
        </w:rPr>
        <w:t>.</w:t>
      </w:r>
    </w:p>
  </w:footnote>
  <w:footnote w:id="7">
    <w:p w14:paraId="51E1A3EB" w14:textId="64F3893A" w:rsidR="00061C53" w:rsidRPr="00B61A83" w:rsidRDefault="00061C53" w:rsidP="00B61A83">
      <w:pPr>
        <w:pStyle w:val="FootnoteText"/>
        <w:ind w:left="567" w:hanging="567"/>
        <w:rPr>
          <w:sz w:val="24"/>
          <w:lang w:val="mt-MT"/>
        </w:rPr>
      </w:pPr>
      <w:r w:rsidRPr="00B61A83">
        <w:rPr>
          <w:rStyle w:val="FootnoteReference"/>
          <w:sz w:val="24"/>
          <w:lang w:val="mt-MT"/>
        </w:rPr>
        <w:footnoteRef/>
      </w:r>
      <w:r w:rsidR="00B61A83" w:rsidRPr="00B61A83">
        <w:rPr>
          <w:sz w:val="24"/>
          <w:lang w:val="mt-MT"/>
        </w:rPr>
        <w:t xml:space="preserve"> </w:t>
      </w:r>
      <w:r w:rsidR="00B61A83" w:rsidRPr="00B61A83">
        <w:rPr>
          <w:sz w:val="24"/>
          <w:lang w:val="mt-MT"/>
        </w:rPr>
        <w:tab/>
      </w:r>
      <w:r w:rsidRPr="00B61A83">
        <w:rPr>
          <w:sz w:val="24"/>
          <w:lang w:val="mt-MT"/>
        </w:rPr>
        <w:t xml:space="preserve">Testi adottati, </w:t>
      </w:r>
      <w:r w:rsidRPr="00792E14">
        <w:rPr>
          <w:sz w:val="24"/>
          <w:lang w:val="mt-MT"/>
        </w:rPr>
        <w:t>P10_TA(2026)0111</w:t>
      </w:r>
      <w:r w:rsidRPr="00B61A83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23DE3" w14:textId="77777777" w:rsidR="00064002" w:rsidRPr="00B61A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3A13D" w14:textId="77777777" w:rsidR="00064002" w:rsidRPr="00B61A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50CF" w14:textId="77777777" w:rsidR="00064002" w:rsidRPr="00B61A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1271389">
    <w:abstractNumId w:val="9"/>
  </w:num>
  <w:num w:numId="2" w16cid:durableId="1382559284">
    <w:abstractNumId w:val="9"/>
  </w:num>
  <w:num w:numId="3" w16cid:durableId="1158576352">
    <w:abstractNumId w:val="7"/>
  </w:num>
  <w:num w:numId="4" w16cid:durableId="1455980409">
    <w:abstractNumId w:val="7"/>
  </w:num>
  <w:num w:numId="5" w16cid:durableId="1685589895">
    <w:abstractNumId w:val="6"/>
  </w:num>
  <w:num w:numId="6" w16cid:durableId="1440955939">
    <w:abstractNumId w:val="6"/>
  </w:num>
  <w:num w:numId="7" w16cid:durableId="1469933599">
    <w:abstractNumId w:val="5"/>
  </w:num>
  <w:num w:numId="8" w16cid:durableId="1266419176">
    <w:abstractNumId w:val="5"/>
  </w:num>
  <w:num w:numId="9" w16cid:durableId="557862137">
    <w:abstractNumId w:val="4"/>
  </w:num>
  <w:num w:numId="10" w16cid:durableId="1256479377">
    <w:abstractNumId w:val="4"/>
  </w:num>
  <w:num w:numId="11" w16cid:durableId="692417567">
    <w:abstractNumId w:val="8"/>
  </w:num>
  <w:num w:numId="12" w16cid:durableId="193268772">
    <w:abstractNumId w:val="8"/>
  </w:num>
  <w:num w:numId="13" w16cid:durableId="890922193">
    <w:abstractNumId w:val="3"/>
  </w:num>
  <w:num w:numId="14" w16cid:durableId="736366507">
    <w:abstractNumId w:val="3"/>
  </w:num>
  <w:num w:numId="15" w16cid:durableId="1623268852">
    <w:abstractNumId w:val="2"/>
  </w:num>
  <w:num w:numId="16" w16cid:durableId="440609175">
    <w:abstractNumId w:val="2"/>
  </w:num>
  <w:num w:numId="17" w16cid:durableId="1265267775">
    <w:abstractNumId w:val="1"/>
  </w:num>
  <w:num w:numId="18" w16cid:durableId="1031493872">
    <w:abstractNumId w:val="1"/>
  </w:num>
  <w:num w:numId="19" w16cid:durableId="2051958201">
    <w:abstractNumId w:val="0"/>
  </w:num>
  <w:num w:numId="20" w16cid:durableId="69229968">
    <w:abstractNumId w:val="0"/>
  </w:num>
  <w:num w:numId="21" w16cid:durableId="740493025">
    <w:abstractNumId w:val="9"/>
  </w:num>
  <w:num w:numId="22" w16cid:durableId="197397091">
    <w:abstractNumId w:val="7"/>
  </w:num>
  <w:num w:numId="23" w16cid:durableId="127017119">
    <w:abstractNumId w:val="6"/>
  </w:num>
  <w:num w:numId="24" w16cid:durableId="175728423">
    <w:abstractNumId w:val="5"/>
  </w:num>
  <w:num w:numId="25" w16cid:durableId="475415954">
    <w:abstractNumId w:val="4"/>
  </w:num>
  <w:num w:numId="26" w16cid:durableId="2040735639">
    <w:abstractNumId w:val="8"/>
  </w:num>
  <w:num w:numId="27" w16cid:durableId="153029659">
    <w:abstractNumId w:val="3"/>
  </w:num>
  <w:num w:numId="28" w16cid:durableId="480462075">
    <w:abstractNumId w:val="2"/>
  </w:num>
  <w:num w:numId="29" w16cid:durableId="1865558770">
    <w:abstractNumId w:val="1"/>
  </w:num>
  <w:num w:numId="30" w16cid:durableId="1989244803">
    <w:abstractNumId w:val="0"/>
  </w:num>
  <w:num w:numId="31" w16cid:durableId="816414048">
    <w:abstractNumId w:val="9"/>
  </w:num>
  <w:num w:numId="32" w16cid:durableId="1254585634">
    <w:abstractNumId w:val="7"/>
  </w:num>
  <w:num w:numId="33" w16cid:durableId="702363483">
    <w:abstractNumId w:val="6"/>
  </w:num>
  <w:num w:numId="34" w16cid:durableId="1525634284">
    <w:abstractNumId w:val="5"/>
  </w:num>
  <w:num w:numId="35" w16cid:durableId="1314481989">
    <w:abstractNumId w:val="4"/>
  </w:num>
  <w:num w:numId="36" w16cid:durableId="1156065717">
    <w:abstractNumId w:val="8"/>
  </w:num>
  <w:num w:numId="37" w16cid:durableId="1163739352">
    <w:abstractNumId w:val="3"/>
  </w:num>
  <w:num w:numId="38" w16cid:durableId="301272910">
    <w:abstractNumId w:val="2"/>
  </w:num>
  <w:num w:numId="39" w16cid:durableId="127743318">
    <w:abstractNumId w:val="1"/>
  </w:num>
  <w:num w:numId="40" w16cid:durableId="1683974967">
    <w:abstractNumId w:val="0"/>
  </w:num>
  <w:num w:numId="41" w16cid:durableId="1153135267">
    <w:abstractNumId w:val="10"/>
  </w:num>
  <w:num w:numId="42" w16cid:durableId="382602546">
    <w:abstractNumId w:val="10"/>
  </w:num>
  <w:num w:numId="43" w16cid:durableId="620379311">
    <w:abstractNumId w:val="10"/>
  </w:num>
  <w:num w:numId="44" w16cid:durableId="1935430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6"/>
    <w:docVar w:name="dvlangue" w:val="MT"/>
    <w:docVar w:name="dvnumam" w:val="0"/>
    <w:docVar w:name="dvpe" w:val="787.947"/>
    <w:docVar w:name="dvrapporteur" w:val="Rapporteur: "/>
    <w:docVar w:name="dvtitre" w:val="Deċiżjoni tal-Parlament Ewropew xx xx xxxx 2026 dwar il-pożizzjoni tal-Kunsill dwar l-abbozz ta’ baġit emendatorju Nru 1/2026 tal-Unjoni Ewropea għas-sena finanzjarja 2026: dħul tas-surplus tas-sena finanzjarja 2025(09919/2026 – C10-0145/2026 – 2026/0090(BUD))"/>
  </w:docVars>
  <w:rsids>
    <w:rsidRoot w:val="00FB7648"/>
    <w:rsid w:val="00002272"/>
    <w:rsid w:val="00061C5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7C1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C6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E1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1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A83"/>
    <w:rsid w:val="00B83559"/>
    <w:rsid w:val="00B95616"/>
    <w:rsid w:val="00BD48FE"/>
    <w:rsid w:val="00BD7BD8"/>
    <w:rsid w:val="00BE6ADC"/>
    <w:rsid w:val="00C03742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5E5C"/>
    <w:rsid w:val="00E064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64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39926"/>
  <w15:chartTrackingRefBased/>
  <w15:docId w15:val="{53F3CBEA-C02C-4FD9-A4BE-1297D7F6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R,FR1,FR2,FR3,Footnote,Footnote Reference Number,Footnote number,Footnote reference number,Footnote symbol,Footnotemark,Footnotemark1,Footnotemark2,Footnotemark3,Footnotemark4,Times 10 Point,Voetnootverwijzing,fr,o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1C53"/>
    <w:pPr>
      <w:spacing w:before="480" w:after="240"/>
    </w:pPr>
  </w:style>
  <w:style w:type="paragraph" w:customStyle="1" w:styleId="NormalHanging12a">
    <w:name w:val="NormalHanging12a"/>
    <w:basedOn w:val="Normal"/>
    <w:rsid w:val="00061C53"/>
    <w:pPr>
      <w:spacing w:after="240"/>
      <w:ind w:left="567" w:hanging="567"/>
    </w:pPr>
  </w:style>
  <w:style w:type="character" w:styleId="Hyperlink">
    <w:name w:val="Hyperlink"/>
    <w:basedOn w:val="DefaultParagraphFont"/>
    <w:rsid w:val="00061C5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9561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6/72/oj" TargetMode="External"/><Relationship Id="rId1" Type="http://schemas.openxmlformats.org/officeDocument/2006/relationships/hyperlink" Target="http://data.europa.eu/eli/reg/2024/2509/oj" TargetMode="External"/><Relationship Id="rId6" Type="http://schemas.openxmlformats.org/officeDocument/2006/relationships/hyperlink" Target="http://data.europa.eu/eli/dec/2020/2053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6929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2026-07-07T11:39:00Z</dcterms:created>
  <dcterms:modified xsi:type="dcterms:W3CDTF">2026-07-07T11:39:00Z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A10-0180/2026</vt:lpwstr>
  </property>
  <property fmtid="{D5CDD505-2E9C-101B-9397-08002B2CF9AE}" pid="4" name="&lt;Type&gt;">
    <vt:lpwstr>RR</vt:lpwstr>
  </property>
</Properties>
</file>