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52F2" w14:paraId="2AB7F9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19EF2F" w14:textId="77777777" w:rsidR="00751A4A" w:rsidRPr="000F52F2" w:rsidRDefault="00234F38" w:rsidP="0010095E">
            <w:pPr>
              <w:pStyle w:val="EPName"/>
            </w:pPr>
            <w:r w:rsidRPr="000F52F2">
              <w:t>Parlament Europejski</w:t>
            </w:r>
          </w:p>
          <w:p w14:paraId="49F9BDC2" w14:textId="77777777" w:rsidR="00751A4A" w:rsidRPr="000F52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52F2">
              <w:t>2024</w:t>
            </w:r>
            <w:r w:rsidR="00817416" w:rsidRPr="000F52F2">
              <w:t>-202</w:t>
            </w:r>
            <w:r w:rsidRPr="000F52F2">
              <w:t>9</w:t>
            </w:r>
          </w:p>
        </w:tc>
        <w:tc>
          <w:tcPr>
            <w:tcW w:w="2268" w:type="dxa"/>
            <w:shd w:val="clear" w:color="auto" w:fill="auto"/>
          </w:tcPr>
          <w:p w14:paraId="0CF19398" w14:textId="77777777" w:rsidR="00751A4A" w:rsidRPr="000F52F2" w:rsidRDefault="00187494" w:rsidP="0010095E">
            <w:pPr>
              <w:pStyle w:val="EPLogo"/>
            </w:pPr>
            <w:r w:rsidRPr="000F52F2">
              <w:rPr>
                <w:noProof/>
                <w:lang w:eastAsia="ja-JP"/>
              </w:rPr>
              <w:drawing>
                <wp:inline distT="0" distB="0" distL="0" distR="0" wp14:anchorId="5AC29B47" wp14:editId="76CBE2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DB12FC" w14:textId="77777777" w:rsidR="00D058B8" w:rsidRPr="000F52F2" w:rsidRDefault="00D058B8" w:rsidP="004C5D52">
      <w:pPr>
        <w:pStyle w:val="LineTop"/>
      </w:pPr>
    </w:p>
    <w:p w14:paraId="65743984" w14:textId="77777777" w:rsidR="00680577" w:rsidRPr="000F52F2" w:rsidRDefault="00234F38" w:rsidP="00680577">
      <w:pPr>
        <w:pStyle w:val="EPBodyTA1"/>
      </w:pPr>
      <w:r w:rsidRPr="000F52F2">
        <w:t>TEKSTY PRZYJĘTE</w:t>
      </w:r>
    </w:p>
    <w:p w14:paraId="36CF736A" w14:textId="77777777" w:rsidR="00D058B8" w:rsidRPr="000F52F2" w:rsidRDefault="00D058B8" w:rsidP="00D058B8">
      <w:pPr>
        <w:pStyle w:val="LineBottom"/>
      </w:pPr>
    </w:p>
    <w:p w14:paraId="4F8B8A04" w14:textId="642D6556" w:rsidR="00234F38" w:rsidRPr="000F52F2" w:rsidRDefault="00234F38" w:rsidP="00234F38">
      <w:pPr>
        <w:pStyle w:val="ATHeading1"/>
      </w:pPr>
      <w:bookmarkStart w:id="0" w:name="TANumber"/>
      <w:r w:rsidRPr="000F52F2">
        <w:t>P10_TA(2026)0</w:t>
      </w:r>
      <w:r w:rsidR="00CE44D0">
        <w:t>242</w:t>
      </w:r>
      <w:bookmarkEnd w:id="0"/>
    </w:p>
    <w:p w14:paraId="373A937F" w14:textId="3BBE013B" w:rsidR="00234F38" w:rsidRPr="00F637D8" w:rsidRDefault="00F637D8" w:rsidP="00234F38">
      <w:pPr>
        <w:pStyle w:val="ATHeading2"/>
      </w:pPr>
      <w:r w:rsidRPr="00F637D8">
        <w:t>Projekt budżetu korygującego nr 1/2026: zapisanie nadwyżki z roku budżetowego 2025</w:t>
      </w:r>
    </w:p>
    <w:p w14:paraId="5D393305" w14:textId="77777777" w:rsidR="00234F38" w:rsidRPr="000F52F2" w:rsidRDefault="00234F38" w:rsidP="00234F38">
      <w:pPr>
        <w:rPr>
          <w:i/>
          <w:vanish/>
        </w:rPr>
      </w:pPr>
      <w:r w:rsidRPr="000F52F2">
        <w:rPr>
          <w:i/>
        </w:rPr>
        <w:fldChar w:fldCharType="begin"/>
      </w:r>
      <w:r w:rsidRPr="000F52F2">
        <w:rPr>
          <w:i/>
        </w:rPr>
        <w:instrText xml:space="preserve"> TC"(</w:instrText>
      </w:r>
      <w:bookmarkStart w:id="1" w:name="DocNumber"/>
      <w:r w:rsidRPr="000F52F2">
        <w:rPr>
          <w:i/>
        </w:rPr>
        <w:instrText>A10-0180/2026</w:instrText>
      </w:r>
      <w:bookmarkEnd w:id="1"/>
      <w:r w:rsidRPr="000F52F2">
        <w:rPr>
          <w:i/>
        </w:rPr>
        <w:instrText xml:space="preserve"> - Sprawozdawca: Andrzej Halicki)"\l3 \n&gt; \* MERGEFORMAT </w:instrText>
      </w:r>
      <w:r w:rsidRPr="000F52F2">
        <w:rPr>
          <w:i/>
        </w:rPr>
        <w:fldChar w:fldCharType="end"/>
      </w:r>
    </w:p>
    <w:p w14:paraId="76673662" w14:textId="77777777" w:rsidR="00234F38" w:rsidRPr="000F52F2" w:rsidRDefault="00234F38" w:rsidP="00234F38">
      <w:pPr>
        <w:rPr>
          <w:vanish/>
        </w:rPr>
      </w:pPr>
      <w:bookmarkStart w:id="2" w:name="Commission"/>
      <w:r w:rsidRPr="000F52F2">
        <w:rPr>
          <w:vanish/>
        </w:rPr>
        <w:t>Komisja Budżetowa</w:t>
      </w:r>
      <w:bookmarkEnd w:id="2"/>
    </w:p>
    <w:p w14:paraId="709E3932" w14:textId="77777777" w:rsidR="00234F38" w:rsidRPr="000F52F2" w:rsidRDefault="00234F38" w:rsidP="00234F38">
      <w:pPr>
        <w:rPr>
          <w:vanish/>
        </w:rPr>
      </w:pPr>
      <w:bookmarkStart w:id="3" w:name="PE"/>
      <w:r w:rsidRPr="000F52F2">
        <w:rPr>
          <w:vanish/>
        </w:rPr>
        <w:t>PE787.947</w:t>
      </w:r>
      <w:bookmarkEnd w:id="3"/>
    </w:p>
    <w:p w14:paraId="01052D14" w14:textId="28DA54C7" w:rsidR="00234F38" w:rsidRPr="000F52F2" w:rsidRDefault="00234F38" w:rsidP="00234F38">
      <w:pPr>
        <w:pStyle w:val="ATHeading3"/>
      </w:pPr>
      <w:bookmarkStart w:id="4" w:name="Sujet"/>
      <w:r w:rsidRPr="000F52F2">
        <w:t xml:space="preserve">Rezolucja Parlamentu Europejskiego z dnia </w:t>
      </w:r>
      <w:r w:rsidR="00F637D8">
        <w:t>7 lipca</w:t>
      </w:r>
      <w:r w:rsidRPr="000F52F2">
        <w:t xml:space="preserve"> 2026 r. w sprawie stanowiska Rady dotyczącego projektu budżetu korygującego nr 1/2026 Unii Europejskiej na rok budżetowy 2026 – zapisanie nadwyżki z roku budżetowego 2025</w:t>
      </w:r>
      <w:bookmarkEnd w:id="4"/>
      <w:r w:rsidRPr="000F52F2">
        <w:t xml:space="preserve"> </w:t>
      </w:r>
      <w:bookmarkStart w:id="5" w:name="References"/>
      <w:r w:rsidRPr="000F52F2">
        <w:t>(09919/2026 – C10-0145/2026 – 2026/0090(BUD))</w:t>
      </w:r>
      <w:bookmarkEnd w:id="5"/>
    </w:p>
    <w:p w14:paraId="142E6381" w14:textId="77777777" w:rsidR="008329DB" w:rsidRPr="000F52F2" w:rsidRDefault="008329DB" w:rsidP="008329DB">
      <w:pPr>
        <w:pStyle w:val="EPComma"/>
      </w:pPr>
      <w:bookmarkStart w:id="6" w:name="TextBodyBegin"/>
      <w:bookmarkEnd w:id="6"/>
      <w:r w:rsidRPr="000F52F2">
        <w:rPr>
          <w:i/>
        </w:rPr>
        <w:t>Parlament Europejski</w:t>
      </w:r>
      <w:r w:rsidRPr="000F52F2">
        <w:t>,</w:t>
      </w:r>
    </w:p>
    <w:p w14:paraId="52AC148C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art. 314 Traktatu o funkcjonowaniu Unii Europejskiej,</w:t>
      </w:r>
    </w:p>
    <w:p w14:paraId="2E9D10AF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art. 106a Traktatu ustanawiającego Europejską Wspólnotę Energii Atomowej,</w:t>
      </w:r>
    </w:p>
    <w:p w14:paraId="5A95CA89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 xml:space="preserve">uwzględniając rozporządzenie Parlamentu Europejskiego i Rady (UE, </w:t>
      </w:r>
      <w:proofErr w:type="spellStart"/>
      <w:r w:rsidRPr="000F52F2">
        <w:t>Euratom</w:t>
      </w:r>
      <w:proofErr w:type="spellEnd"/>
      <w:r w:rsidRPr="000F52F2">
        <w:t>) 2024/2509 z dnia 23 września 2024 r. w sprawie zasad finansowych mających zastosowanie do budżetu ogólnego Unii</w:t>
      </w:r>
      <w:r w:rsidRPr="000F52F2">
        <w:rPr>
          <w:rStyle w:val="FootnoteReference"/>
        </w:rPr>
        <w:footnoteReference w:id="1"/>
      </w:r>
      <w:r w:rsidRPr="000F52F2">
        <w:t>, w szczególności jego art. 44,</w:t>
      </w:r>
    </w:p>
    <w:p w14:paraId="3F87D61E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budżet ogólny Unii Europejskiej na rok budżetowy 2026, w formie przyjętej ostatecznie 26 listopada 2025 r.</w:t>
      </w:r>
      <w:r w:rsidRPr="000F52F2">
        <w:rPr>
          <w:vertAlign w:val="superscript"/>
        </w:rPr>
        <w:footnoteReference w:id="2"/>
      </w:r>
      <w:r w:rsidRPr="000F52F2">
        <w:t xml:space="preserve">, </w:t>
      </w:r>
    </w:p>
    <w:p w14:paraId="592E0966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rozporządzenie Rady (UE, </w:t>
      </w:r>
      <w:proofErr w:type="spellStart"/>
      <w:r w:rsidRPr="000F52F2">
        <w:t>Euratom</w:t>
      </w:r>
      <w:proofErr w:type="spellEnd"/>
      <w:r w:rsidRPr="000F52F2">
        <w:t>) 2020/2093 z dnia 17 grudnia 2020 r. określające wieloletnie ramy finansowe na lata 2021–2027</w:t>
      </w:r>
      <w:r w:rsidRPr="000F52F2">
        <w:rPr>
          <w:vertAlign w:val="superscript"/>
        </w:rPr>
        <w:footnoteReference w:id="3"/>
      </w:r>
      <w:r w:rsidRPr="000F52F2">
        <w:t xml:space="preserve">, </w:t>
      </w:r>
    </w:p>
    <w:p w14:paraId="562B795A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 xml:space="preserve">uwzględniając rozporządzenie Rady (UE, </w:t>
      </w:r>
      <w:proofErr w:type="spellStart"/>
      <w:r w:rsidRPr="000F52F2">
        <w:t>Euratom</w:t>
      </w:r>
      <w:proofErr w:type="spellEnd"/>
      <w:r w:rsidRPr="000F52F2">
        <w:t xml:space="preserve">) 2024/765 w sprawie zmiany rozporządzenia (UE, </w:t>
      </w:r>
      <w:proofErr w:type="spellStart"/>
      <w:r w:rsidRPr="000F52F2">
        <w:t>Euratom</w:t>
      </w:r>
      <w:proofErr w:type="spellEnd"/>
      <w:r w:rsidRPr="000F52F2">
        <w:t>) 2020/2093 określającego wieloletnie ramy finansowe na lata 2021–2027</w:t>
      </w:r>
      <w:r w:rsidRPr="000F52F2">
        <w:rPr>
          <w:vertAlign w:val="superscript"/>
        </w:rPr>
        <w:footnoteReference w:id="4"/>
      </w:r>
      <w:r w:rsidRPr="000F52F2">
        <w:t>,</w:t>
      </w:r>
    </w:p>
    <w:p w14:paraId="5CDB4FBB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 xml:space="preserve">uwzględniając porozumienie międzyinstytucjonalne z 16 grudnia 2020 r. między Parlamentem Europejskim, Radą Unii Europejskiej i Komisją Europejską w sprawie dyscypliny budżetowej, współpracy w kwestiach budżetowych i należytego zarządzania </w:t>
      </w:r>
      <w:r w:rsidRPr="000F52F2">
        <w:lastRenderedPageBreak/>
        <w:t>finansami oraz w sprawie nowych zasobów własnych, w tym również harmonogramu wprowadzania nowych zasobów własnych</w:t>
      </w:r>
      <w:r w:rsidRPr="000F52F2">
        <w:rPr>
          <w:vertAlign w:val="superscript"/>
        </w:rPr>
        <w:footnoteReference w:id="5"/>
      </w:r>
      <w:r w:rsidRPr="000F52F2">
        <w:t>,</w:t>
      </w:r>
    </w:p>
    <w:p w14:paraId="648E9132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 xml:space="preserve">uwzględniając decyzję Rady (UE, </w:t>
      </w:r>
      <w:proofErr w:type="spellStart"/>
      <w:r w:rsidRPr="000F52F2">
        <w:t>Euratom</w:t>
      </w:r>
      <w:proofErr w:type="spellEnd"/>
      <w:r w:rsidRPr="000F52F2">
        <w:t xml:space="preserve">) 2020/2053 z dnia 14 grudnia 2020 r. w sprawie systemu zasobów własnych Unii Europejskiej oraz uchylającą decyzję 2014/335/UE, </w:t>
      </w:r>
      <w:proofErr w:type="spellStart"/>
      <w:r w:rsidRPr="000F52F2">
        <w:t>Euratom</w:t>
      </w:r>
      <w:proofErr w:type="spellEnd"/>
      <w:r w:rsidRPr="000F52F2">
        <w:rPr>
          <w:vertAlign w:val="superscript"/>
        </w:rPr>
        <w:footnoteReference w:id="6"/>
      </w:r>
      <w:r w:rsidRPr="000F52F2">
        <w:t xml:space="preserve">, </w:t>
      </w:r>
    </w:p>
    <w:p w14:paraId="4C652A51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swoją rezolucję z dnia 28 kwietnia 2026 r. w sprawie wniosku dotyczącego rozporządzenia Rady określającego wieloletnie ramy finansowe na lata 2028–2034</w:t>
      </w:r>
      <w:r w:rsidRPr="000F52F2">
        <w:rPr>
          <w:rStyle w:val="FootnoteReference"/>
        </w:rPr>
        <w:footnoteReference w:id="7"/>
      </w:r>
      <w:r w:rsidRPr="000F52F2">
        <w:t xml:space="preserve">, </w:t>
      </w:r>
    </w:p>
    <w:p w14:paraId="601548A1" w14:textId="77777777" w:rsidR="008329DB" w:rsidRPr="000F52F2" w:rsidRDefault="008329DB" w:rsidP="008329DB">
      <w:pPr>
        <w:pStyle w:val="NormalHanging12a"/>
      </w:pPr>
      <w:bookmarkStart w:id="7" w:name="_Hlk229564682"/>
      <w:r w:rsidRPr="000F52F2">
        <w:t>–</w:t>
      </w:r>
      <w:r w:rsidRPr="000F52F2">
        <w:tab/>
        <w:t>uwzględniając projekt budżetu korygującego nr 1/2026 przyjęty przez Komisję 10 kwietnia 2026 r. (COM(2026)0450),</w:t>
      </w:r>
      <w:bookmarkEnd w:id="7"/>
    </w:p>
    <w:p w14:paraId="2B903536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stanowisko dotyczące projektu budżetu korygującego nr 1/2026 przyjęte przez Radę dnia 16 czerwca 2026 r. i przekazane Parlamentowi Europejskiemu w dniu 18 czerwca 2026 r. (09919/2026),</w:t>
      </w:r>
    </w:p>
    <w:p w14:paraId="56562199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art. 96 i 98 Regulaminu,</w:t>
      </w:r>
    </w:p>
    <w:p w14:paraId="4153C146" w14:textId="77777777" w:rsidR="008329DB" w:rsidRPr="000F52F2" w:rsidRDefault="008329DB" w:rsidP="008329DB">
      <w:pPr>
        <w:pStyle w:val="NormalHanging12a"/>
      </w:pPr>
      <w:r w:rsidRPr="000F52F2">
        <w:t>–</w:t>
      </w:r>
      <w:r w:rsidRPr="000F52F2">
        <w:tab/>
        <w:t>uwzględniając sprawozdanie Komisji Budżetowej (A10-0180/2026),</w:t>
      </w:r>
    </w:p>
    <w:p w14:paraId="452A7A57" w14:textId="77777777" w:rsidR="008329DB" w:rsidRPr="000F52F2" w:rsidRDefault="008329DB" w:rsidP="008329DB">
      <w:pPr>
        <w:pStyle w:val="NormalHanging12a"/>
      </w:pPr>
      <w:r w:rsidRPr="000F52F2">
        <w:t>A.</w:t>
      </w:r>
      <w:r w:rsidRPr="000F52F2">
        <w:tab/>
        <w:t>mając na uwadze, że celem projektu budżetu korygującego nr 1/2026 jest zapisanie w budżecie na 2026 r. nadwyżki wynikającej z wykonania budżetu na 2025 r.; wynosi ona 2 095 mln EUR;</w:t>
      </w:r>
    </w:p>
    <w:p w14:paraId="09A42244" w14:textId="77777777" w:rsidR="008329DB" w:rsidRPr="000F52F2" w:rsidRDefault="008329DB" w:rsidP="008329DB">
      <w:pPr>
        <w:pStyle w:val="NormalHanging12a"/>
      </w:pPr>
      <w:r w:rsidRPr="000F52F2">
        <w:t>B.</w:t>
      </w:r>
      <w:r w:rsidRPr="000F52F2">
        <w:tab/>
        <w:t>mając na uwadze, że główne elementy tej nadwyżki to dodatni wynik po stronie dochodów w wysokości 1 994 mln EUR oraz niewykorzystanie środków w wysokości 101 mln EUR;</w:t>
      </w:r>
    </w:p>
    <w:p w14:paraId="78C34931" w14:textId="77777777" w:rsidR="008329DB" w:rsidRPr="000F52F2" w:rsidRDefault="008329DB" w:rsidP="008329DB">
      <w:pPr>
        <w:pStyle w:val="NormalHanging12a"/>
      </w:pPr>
      <w:r w:rsidRPr="000F52F2">
        <w:t>C.</w:t>
      </w:r>
      <w:r w:rsidRPr="000F52F2">
        <w:tab/>
        <w:t xml:space="preserve">mając na uwadze, że po stronie dochodów nadwyżka wynika głównie z </w:t>
      </w:r>
      <w:bookmarkStart w:id="8" w:name="_Hlk233197369"/>
      <w:r w:rsidRPr="000F52F2">
        <w:t>wyższej niż oczekiwano kwoty należności celnych w wysokości 860 mln EUR</w:t>
      </w:r>
      <w:bookmarkEnd w:id="8"/>
      <w:r w:rsidRPr="000F52F2">
        <w:t xml:space="preserve">; mając na uwadze, że drugim głównym czynnikiem wpływającym na wielkość nadwyżki jest kwota 840 mln EUR pochodząca z dochodów finansowych, odsetek za zwłokę i grzywien; </w:t>
      </w:r>
    </w:p>
    <w:p w14:paraId="76DBC95E" w14:textId="77777777" w:rsidR="008329DB" w:rsidRPr="000F52F2" w:rsidRDefault="008329DB" w:rsidP="008329DB">
      <w:pPr>
        <w:pStyle w:val="NormalHanging12a"/>
      </w:pPr>
      <w:r w:rsidRPr="000F52F2">
        <w:t>D.</w:t>
      </w:r>
      <w:r w:rsidRPr="000F52F2">
        <w:tab/>
        <w:t>mając na uwadze, że po stronie wydatków poziom niepełnego wykorzystania środków na płatności przez wszystkie instytucje, łącznie z anulowaniem przeniesionych środków, wyniósł 111 mln EUR (co stanowi 0,04 % zatwierdzonych środków na płatności);</w:t>
      </w:r>
    </w:p>
    <w:p w14:paraId="68C922FE" w14:textId="77777777" w:rsidR="008329DB" w:rsidRPr="000F52F2" w:rsidRDefault="008329DB" w:rsidP="008329DB">
      <w:pPr>
        <w:pStyle w:val="NormalHanging12a"/>
      </w:pPr>
      <w:r w:rsidRPr="000F52F2">
        <w:t>1.</w:t>
      </w:r>
      <w:r w:rsidRPr="000F52F2">
        <w:tab/>
        <w:t>odnotowuje przedstawiony przez Komisję projekt budżetu korygującego nr 1/2026, który ma na celu wpisanie do budżetu nadwyżki środków budżetowych z 2025 r. wynoszącej 2 095 mln EUR zgodnie z art. 18 ust. 3 rozporządzenia finansowego;</w:t>
      </w:r>
      <w:sdt>
        <w:sdtPr>
          <w:tag w:val="goog_rdk_0"/>
          <w:id w:val="1937094721"/>
        </w:sdtPr>
        <w:sdtEndPr/>
        <w:sdtContent/>
      </w:sdt>
    </w:p>
    <w:p w14:paraId="07505041" w14:textId="77777777" w:rsidR="008329DB" w:rsidRPr="000F52F2" w:rsidRDefault="008329DB" w:rsidP="008329DB">
      <w:pPr>
        <w:pStyle w:val="NormalHanging12a"/>
      </w:pPr>
      <w:r w:rsidRPr="000F52F2">
        <w:t>2.</w:t>
      </w:r>
      <w:r w:rsidRPr="000F52F2">
        <w:tab/>
        <w:t xml:space="preserve">z zadowoleniem przyjmuje fakt, że nadwyżka z 2025 r. wynika przede wszystkim z intensywniejszych zmian w tytule 1 (Zasoby własne, w szczególności cła) i tytule 4 (Dochody finansowe, odsetki za zwłokę i grzywny), natomiast nadwyżka wydatków </w:t>
      </w:r>
      <w:r w:rsidRPr="000F52F2">
        <w:lastRenderedPageBreak/>
        <w:t xml:space="preserve">pozostaje bardzo niewielka i wynosi 101 mln EUR; </w:t>
      </w:r>
    </w:p>
    <w:p w14:paraId="2F238942" w14:textId="77777777" w:rsidR="008329DB" w:rsidRPr="000F52F2" w:rsidRDefault="008329DB" w:rsidP="008329DB">
      <w:pPr>
        <w:pStyle w:val="NormalHanging12a"/>
      </w:pPr>
      <w:r w:rsidRPr="000F52F2">
        <w:t>3.</w:t>
      </w:r>
      <w:r w:rsidRPr="000F52F2">
        <w:tab/>
        <w:t xml:space="preserve">ubolewa, że ujęcie w budżecie nadwyżki zmniejsza o proporcjonalną kwotę łączny wkład państw członkowskich z tytułu zasobów własnych opartych na DNB na rzecz finansowania budżetu na 2026 r.; podkreśla, że w czasie, gdy potrzeby finansowe pozostają wysokie, w szczególności w odniesieniu do kosztów obsługi zadłużenia w ramach EURI, a pole manewru w ramach budżetu Unii pozostaje bardzo ograniczone, budżet powinien zachować wystarczający poziom elastyczności w ostatnich latach obecnych WRF, aby umożliwić Unii radzenie sobie z nieprzewidzianymi wydarzeniami; podkreśla, że elastyczność budżetu Unii jest jedną z kluczowych kwestii, którymi należy się zająć podczas negocjacji w sprawie wieloletnich ram finansowych na lata 2028–2034; </w:t>
      </w:r>
    </w:p>
    <w:p w14:paraId="015572EF" w14:textId="77777777" w:rsidR="008329DB" w:rsidRPr="000F52F2" w:rsidRDefault="008329DB" w:rsidP="008329DB">
      <w:pPr>
        <w:pStyle w:val="NormalHanging12a"/>
      </w:pPr>
      <w:r w:rsidRPr="000F52F2">
        <w:t>4.</w:t>
      </w:r>
      <w:r w:rsidRPr="000F52F2">
        <w:tab/>
        <w:t>przypomina swoje ugruntowane stanowisko, zgodnie z którym nadzwyczajne zyski wynikające z grzywien i opłat lub równoważne kwoty powinny być traktowane jako dodatkowe dochody w budżecie Unii i nie powinny prowadzić do odpowiedniego zmniejszenia wkładów z tytułu zasobów własnych opartych na DNB;</w:t>
      </w:r>
    </w:p>
    <w:p w14:paraId="4626F904" w14:textId="77777777" w:rsidR="008329DB" w:rsidRPr="000F52F2" w:rsidRDefault="008329DB" w:rsidP="008329DB">
      <w:pPr>
        <w:pStyle w:val="NormalHanging12a"/>
      </w:pPr>
      <w:r w:rsidRPr="000F52F2">
        <w:t>5.</w:t>
      </w:r>
      <w:r w:rsidRPr="000F52F2">
        <w:tab/>
        <w:t xml:space="preserve">przyjmuje do wiadomości obliczenia dotyczące skorygowanych rocznych ryczałtowych obniżek wkładów opartych na DNB w przypadku pięciu państw członkowskich będących beneficjentami, które to obniżki wynoszą około 5,8 mld EUR netto; podkreśla, że korekty te są powiązane z inflacją i w związku z tym wzrastają w większym stopniu niż pułapy WRF, które są corocznie dostosowywane na podstawie </w:t>
      </w:r>
      <w:proofErr w:type="spellStart"/>
      <w:r w:rsidRPr="000F52F2">
        <w:t>deflatora</w:t>
      </w:r>
      <w:proofErr w:type="spellEnd"/>
      <w:r w:rsidRPr="000F52F2">
        <w:t xml:space="preserve"> w wysokości 2 %; podkreśla, że anomalia ta zwiększa obciążenie dla innych państw członkowskich;</w:t>
      </w:r>
    </w:p>
    <w:p w14:paraId="602BDF27" w14:textId="77777777" w:rsidR="008329DB" w:rsidRPr="000F52F2" w:rsidRDefault="008329DB" w:rsidP="008329DB">
      <w:pPr>
        <w:pStyle w:val="NormalHanging12a"/>
      </w:pPr>
      <w:r w:rsidRPr="000F52F2">
        <w:t>6.</w:t>
      </w:r>
      <w:r w:rsidRPr="000F52F2">
        <w:tab/>
        <w:t>odnotowuje pozycję ujemnych dochodów w ramach art. 425, wynoszącą 54 mln EUR, i z zadowoleniem przyjmuje tę metodę uwzględniania w budżecie kosztów wynikających z płatności dokonanych na podstawie ugody wiążącej się z odsetkami wyrównawczymi i odsetkami za zwłokę w związku ze zwrotem grzywien za naruszenie zasad konkurencji, anulowanych lub obniżonych zgodnie z odpowiednimi wyrokami Trybunału Sprawiedliwości; przypomina, że podczas negocjacji w sprawie przekształcenia rozporządzenia finansowego z 2024 r. Parlament nalegał na zastosowanie tego podejścia, aby uniknąć generowania dodatkowych środków na wydatki w już przeciążonym dziale 7; przypomina, że rozwiązanie to przestaje obowiązywać 31 grudnia 2027 r.; zwraca się do Komisji o zaproponowanie ostatecznego rozwiązania na potrzeby kolejnych WRF, które umożliwi osiągnięcie tego samego celu, tj. uniknięcia jakiegokolwiek wpływu na stronę wydatków w budżecie;</w:t>
      </w:r>
    </w:p>
    <w:p w14:paraId="0E1CB22A" w14:textId="77777777" w:rsidR="008329DB" w:rsidRPr="000F52F2" w:rsidRDefault="008329DB" w:rsidP="008329DB">
      <w:pPr>
        <w:pStyle w:val="NormalHanging12a"/>
      </w:pPr>
      <w:r w:rsidRPr="000F52F2">
        <w:t>7.</w:t>
      </w:r>
      <w:r w:rsidRPr="000F52F2">
        <w:tab/>
        <w:t>ponawia swój wieloletni apel o zrównoważone, przewidywalne i odporne dochody dla budżetu Unii zgodnie z art. 310 TFUE, które powinny odpowiadać wydatkom, priorytetom strategicznym oraz zidentyfikowanym potrzebom finansowym Unii; potwierdza swoje zdecydowane zaangażowanie na rzecz wprowadzenia nowych zasobów własnych, nie tylko w celu spłaty zadłużenia w ramach NGEU, ale również w celu sfinansowania ambitniejszych celów politycznych Unii; przypomina, że bez nowych rzeczywistych zasobów własnych obciążenie finansowe nieuchronnie spadnie na państwa członkowskie w postaci zwiększonych wkładów z tytułu zasobów własnych opartych na DNB; uważa w związku z tym, że wprowadzenie nowych rzeczywistych źródeł dochodów w wysokości co najmniej 60 mld EUR rocznie jest zasadniczym warunkiem ambitnych wieloletnich ram finansowych na lata 2028–2034;</w:t>
      </w:r>
    </w:p>
    <w:p w14:paraId="7DEBA44F" w14:textId="77777777" w:rsidR="008329DB" w:rsidRPr="000F52F2" w:rsidRDefault="008329DB" w:rsidP="008329DB">
      <w:pPr>
        <w:pStyle w:val="NormalHanging12a"/>
      </w:pPr>
      <w:r w:rsidRPr="000F52F2">
        <w:lastRenderedPageBreak/>
        <w:t>8.</w:t>
      </w:r>
      <w:r w:rsidRPr="000F52F2">
        <w:tab/>
        <w:t>zatwierdza stanowisko Rady dotyczące projektu budżetu korygującego nr 1/2026;</w:t>
      </w:r>
    </w:p>
    <w:p w14:paraId="540B6D99" w14:textId="77777777" w:rsidR="008329DB" w:rsidRPr="000F52F2" w:rsidRDefault="008329DB" w:rsidP="008329DB">
      <w:pPr>
        <w:pStyle w:val="NormalHanging12a"/>
      </w:pPr>
      <w:r w:rsidRPr="000F52F2">
        <w:t>9.</w:t>
      </w:r>
      <w:r w:rsidRPr="000F52F2">
        <w:tab/>
        <w:t xml:space="preserve">zobowiązuje swoją przewodniczącą do ogłoszenia, że budżet korygujący nr 1/2026 został ostatecznie przyjęty, i do zarządzenia jego publikacji w </w:t>
      </w:r>
      <w:r w:rsidRPr="00CE44D0">
        <w:rPr>
          <w:i/>
          <w:iCs/>
        </w:rPr>
        <w:t>Dzienniku Urzędowym Unii Europejskiej</w:t>
      </w:r>
      <w:r w:rsidRPr="000F52F2">
        <w:t>;</w:t>
      </w:r>
    </w:p>
    <w:p w14:paraId="031ED0C3" w14:textId="18640157" w:rsidR="00E365E1" w:rsidRPr="000F52F2" w:rsidRDefault="008329DB" w:rsidP="00CE44D0">
      <w:pPr>
        <w:ind w:left="567" w:hanging="567"/>
      </w:pPr>
      <w:r w:rsidRPr="000F52F2">
        <w:t>10.</w:t>
      </w:r>
      <w:r w:rsidRPr="000F52F2">
        <w:tab/>
        <w:t>zobowiązuje swoją przewodniczącą do przekazania niniejszej rezolucji Radzie, Komisji, innym zainteresowanym instytucjom i organom oraz parlamentom narodowym.</w:t>
      </w:r>
    </w:p>
    <w:sectPr w:rsidR="00E365E1" w:rsidRPr="000F52F2" w:rsidSect="000F52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47FE8" w14:textId="77777777" w:rsidR="00234F38" w:rsidRPr="000F52F2" w:rsidRDefault="00234F38">
      <w:r w:rsidRPr="000F52F2">
        <w:separator/>
      </w:r>
    </w:p>
  </w:endnote>
  <w:endnote w:type="continuationSeparator" w:id="0">
    <w:p w14:paraId="1B50C396" w14:textId="77777777" w:rsidR="00234F38" w:rsidRPr="000F52F2" w:rsidRDefault="00234F38">
      <w:r w:rsidRPr="000F52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1D3B" w14:textId="77777777" w:rsidR="00064002" w:rsidRPr="000F52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7A19" w14:textId="77777777" w:rsidR="00064002" w:rsidRPr="000F52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69F3A" w14:textId="77777777" w:rsidR="00064002" w:rsidRPr="000F52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9A4B" w14:textId="77777777" w:rsidR="00234F38" w:rsidRPr="000F52F2" w:rsidRDefault="00234F38">
      <w:r w:rsidRPr="000F52F2">
        <w:separator/>
      </w:r>
    </w:p>
  </w:footnote>
  <w:footnote w:type="continuationSeparator" w:id="0">
    <w:p w14:paraId="1D4E087C" w14:textId="77777777" w:rsidR="00234F38" w:rsidRPr="000F52F2" w:rsidRDefault="00234F38">
      <w:r w:rsidRPr="000F52F2">
        <w:continuationSeparator/>
      </w:r>
    </w:p>
  </w:footnote>
  <w:footnote w:id="1">
    <w:p w14:paraId="07FACB2F" w14:textId="0F6E643F" w:rsidR="008329DB" w:rsidRPr="00CE44D0" w:rsidRDefault="008329DB" w:rsidP="000F52F2">
      <w:pPr>
        <w:pStyle w:val="FootnoteText"/>
        <w:ind w:left="567" w:hanging="567"/>
        <w:rPr>
          <w:sz w:val="24"/>
          <w:lang w:val="fi-FI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CE44D0">
        <w:rPr>
          <w:sz w:val="24"/>
          <w:lang w:val="fi-FI"/>
        </w:rPr>
        <w:t xml:space="preserve"> </w:t>
      </w:r>
      <w:r w:rsidR="000F52F2" w:rsidRPr="00CE44D0">
        <w:rPr>
          <w:sz w:val="24"/>
          <w:lang w:val="fi-FI"/>
        </w:rPr>
        <w:tab/>
      </w:r>
      <w:proofErr w:type="spellStart"/>
      <w:r w:rsidRPr="00CE44D0">
        <w:rPr>
          <w:sz w:val="24"/>
          <w:lang w:val="fi-FI"/>
        </w:rPr>
        <w:t>Dz.U</w:t>
      </w:r>
      <w:proofErr w:type="spellEnd"/>
      <w:r w:rsidRPr="00CE44D0">
        <w:rPr>
          <w:sz w:val="24"/>
          <w:lang w:val="fi-FI"/>
        </w:rPr>
        <w:t xml:space="preserve">. L, 2024/2509, 26.9.2024, ELI: </w:t>
      </w:r>
      <w:hyperlink r:id="rId1" w:tooltip="http://data.europa.eu/eli/reg/2024/2509/oj" w:history="1">
        <w:r w:rsidRPr="00CE44D0">
          <w:rPr>
            <w:rStyle w:val="Hyperlink"/>
            <w:sz w:val="24"/>
            <w:lang w:val="fi-FI"/>
          </w:rPr>
          <w:t>http://data.europa.eu/eli/reg/2024/2509/oj</w:t>
        </w:r>
      </w:hyperlink>
      <w:r w:rsidRPr="00CE44D0">
        <w:rPr>
          <w:sz w:val="24"/>
          <w:lang w:val="fi-FI"/>
        </w:rPr>
        <w:t>.</w:t>
      </w:r>
    </w:p>
  </w:footnote>
  <w:footnote w:id="2">
    <w:p w14:paraId="3B517B4D" w14:textId="731B6F2E" w:rsidR="008329DB" w:rsidRPr="00CE44D0" w:rsidRDefault="008329DB" w:rsidP="000F52F2">
      <w:pPr>
        <w:pStyle w:val="FootnoteText"/>
        <w:ind w:left="567" w:hanging="567"/>
        <w:rPr>
          <w:sz w:val="24"/>
          <w:lang w:val="fi-FI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CE44D0">
        <w:rPr>
          <w:sz w:val="24"/>
          <w:lang w:val="fi-FI"/>
        </w:rPr>
        <w:t xml:space="preserve"> </w:t>
      </w:r>
      <w:r w:rsidR="000F52F2" w:rsidRPr="00CE44D0">
        <w:rPr>
          <w:sz w:val="24"/>
          <w:lang w:val="fi-FI"/>
        </w:rPr>
        <w:tab/>
      </w:r>
      <w:proofErr w:type="spellStart"/>
      <w:r w:rsidRPr="00CE44D0">
        <w:rPr>
          <w:sz w:val="24"/>
          <w:lang w:val="fi-FI"/>
        </w:rPr>
        <w:t>Dz.U</w:t>
      </w:r>
      <w:proofErr w:type="spellEnd"/>
      <w:r w:rsidRPr="00CE44D0">
        <w:rPr>
          <w:sz w:val="24"/>
          <w:lang w:val="fi-FI"/>
        </w:rPr>
        <w:t xml:space="preserve">. L, 2026/72, 26.2.2026, ELI: </w:t>
      </w:r>
      <w:hyperlink r:id="rId2" w:history="1">
        <w:r w:rsidRPr="00CE44D0">
          <w:rPr>
            <w:rStyle w:val="Hyperlink"/>
            <w:sz w:val="24"/>
            <w:lang w:val="fi-FI"/>
          </w:rPr>
          <w:t>http://data.europa.eu/eli/budget/2026/72/oj</w:t>
        </w:r>
      </w:hyperlink>
      <w:r w:rsidRPr="00CE44D0">
        <w:rPr>
          <w:sz w:val="24"/>
          <w:lang w:val="fi-FI"/>
        </w:rPr>
        <w:t>.</w:t>
      </w:r>
    </w:p>
  </w:footnote>
  <w:footnote w:id="3">
    <w:p w14:paraId="3FF41FC6" w14:textId="57F29B6D" w:rsidR="008329DB" w:rsidRPr="000F52F2" w:rsidRDefault="008329DB" w:rsidP="000F52F2">
      <w:pPr>
        <w:pStyle w:val="FootnoteText"/>
        <w:ind w:left="567" w:hanging="567"/>
        <w:rPr>
          <w:sz w:val="24"/>
          <w:lang w:val="pl-PL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0F52F2">
        <w:rPr>
          <w:sz w:val="24"/>
          <w:lang w:val="pl-PL"/>
        </w:rPr>
        <w:t xml:space="preserve"> </w:t>
      </w:r>
      <w:r w:rsidR="000F52F2" w:rsidRPr="000F52F2">
        <w:rPr>
          <w:sz w:val="24"/>
          <w:lang w:val="pl-PL"/>
        </w:rPr>
        <w:tab/>
      </w:r>
      <w:r w:rsidRPr="000F52F2">
        <w:rPr>
          <w:sz w:val="24"/>
          <w:lang w:val="pl-PL"/>
        </w:rPr>
        <w:t xml:space="preserve">Dz.U. L 433 I z 22.12.2020, s. 11, ELI: </w:t>
      </w:r>
      <w:hyperlink r:id="rId3" w:history="1">
        <w:r w:rsidRPr="000F52F2">
          <w:rPr>
            <w:rStyle w:val="Hyperlink"/>
            <w:sz w:val="24"/>
            <w:lang w:val="pl-PL"/>
          </w:rPr>
          <w:t>http://data.europa.eu/eli/reg/2020/2093/oj</w:t>
        </w:r>
      </w:hyperlink>
      <w:r w:rsidRPr="000F52F2">
        <w:rPr>
          <w:sz w:val="24"/>
          <w:lang w:val="pl-PL"/>
        </w:rPr>
        <w:t>.</w:t>
      </w:r>
    </w:p>
  </w:footnote>
  <w:footnote w:id="4">
    <w:p w14:paraId="1373D0DD" w14:textId="19FB1096" w:rsidR="008329DB" w:rsidRPr="00CE44D0" w:rsidRDefault="008329DB" w:rsidP="000F52F2">
      <w:pPr>
        <w:pStyle w:val="FootnoteText"/>
        <w:ind w:left="567" w:hanging="567"/>
        <w:rPr>
          <w:sz w:val="24"/>
          <w:lang w:val="fi-FI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CE44D0">
        <w:rPr>
          <w:sz w:val="24"/>
          <w:lang w:val="fi-FI"/>
        </w:rPr>
        <w:t xml:space="preserve"> </w:t>
      </w:r>
      <w:r w:rsidR="000F52F2" w:rsidRPr="00CE44D0">
        <w:rPr>
          <w:sz w:val="24"/>
          <w:lang w:val="fi-FI"/>
        </w:rPr>
        <w:tab/>
      </w:r>
      <w:proofErr w:type="spellStart"/>
      <w:r w:rsidRPr="00CE44D0">
        <w:rPr>
          <w:sz w:val="24"/>
          <w:lang w:val="fi-FI"/>
        </w:rPr>
        <w:t>Dz.U</w:t>
      </w:r>
      <w:proofErr w:type="spellEnd"/>
      <w:r w:rsidRPr="00CE44D0">
        <w:rPr>
          <w:sz w:val="24"/>
          <w:lang w:val="fi-FI"/>
        </w:rPr>
        <w:t xml:space="preserve">. L, 2024/765, 29.2.2024, ELI: </w:t>
      </w:r>
      <w:hyperlink r:id="rId4" w:history="1">
        <w:r w:rsidRPr="00CE44D0">
          <w:rPr>
            <w:rStyle w:val="Hyperlink"/>
            <w:sz w:val="24"/>
            <w:lang w:val="fi-FI"/>
          </w:rPr>
          <w:t>http://data.europa.eu/eli/reg/2024/765/oj</w:t>
        </w:r>
      </w:hyperlink>
      <w:r w:rsidRPr="00CE44D0">
        <w:rPr>
          <w:sz w:val="24"/>
          <w:lang w:val="fi-FI"/>
        </w:rPr>
        <w:t>.</w:t>
      </w:r>
    </w:p>
  </w:footnote>
  <w:footnote w:id="5">
    <w:p w14:paraId="5D207145" w14:textId="5FEA6C86" w:rsidR="008329DB" w:rsidRPr="000F52F2" w:rsidRDefault="008329DB" w:rsidP="000F52F2">
      <w:pPr>
        <w:pStyle w:val="FootnoteText"/>
        <w:ind w:left="567" w:hanging="567"/>
        <w:rPr>
          <w:sz w:val="24"/>
          <w:lang w:val="pl-PL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0F52F2">
        <w:rPr>
          <w:sz w:val="24"/>
          <w:lang w:val="pl-PL"/>
        </w:rPr>
        <w:t xml:space="preserve"> </w:t>
      </w:r>
      <w:r w:rsidR="000F52F2" w:rsidRPr="000F52F2">
        <w:rPr>
          <w:sz w:val="24"/>
          <w:lang w:val="pl-PL"/>
        </w:rPr>
        <w:tab/>
      </w:r>
      <w:r w:rsidRPr="000F52F2">
        <w:rPr>
          <w:sz w:val="24"/>
          <w:lang w:val="pl-PL"/>
        </w:rPr>
        <w:t xml:space="preserve">Dz.U. L 433 I z 22.12.2020, s. 28, ELI: </w:t>
      </w:r>
      <w:hyperlink r:id="rId5" w:history="1">
        <w:r w:rsidRPr="000F52F2">
          <w:rPr>
            <w:rStyle w:val="Hyperlink"/>
            <w:sz w:val="24"/>
            <w:lang w:val="pl-PL"/>
          </w:rPr>
          <w:t>http://data.europa.eu/eli/agree_interinstit/2020/1222/oj</w:t>
        </w:r>
      </w:hyperlink>
    </w:p>
  </w:footnote>
  <w:footnote w:id="6">
    <w:p w14:paraId="40A64CBE" w14:textId="50B42547" w:rsidR="008329DB" w:rsidRPr="000F52F2" w:rsidRDefault="008329DB" w:rsidP="000F52F2">
      <w:pPr>
        <w:pStyle w:val="FootnoteText"/>
        <w:ind w:left="567" w:hanging="567"/>
        <w:rPr>
          <w:sz w:val="24"/>
          <w:lang w:val="pl-PL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0F52F2">
        <w:rPr>
          <w:sz w:val="24"/>
          <w:lang w:val="pl-PL"/>
        </w:rPr>
        <w:t xml:space="preserve"> </w:t>
      </w:r>
      <w:r w:rsidR="000F52F2" w:rsidRPr="000F52F2">
        <w:rPr>
          <w:sz w:val="24"/>
          <w:lang w:val="pl-PL"/>
        </w:rPr>
        <w:tab/>
      </w:r>
      <w:r w:rsidRPr="000F52F2">
        <w:rPr>
          <w:sz w:val="24"/>
          <w:lang w:val="pl-PL"/>
        </w:rPr>
        <w:t xml:space="preserve">Dz.U. L 424 z 15.12.2020, s. 1, ELI: </w:t>
      </w:r>
      <w:hyperlink r:id="rId6" w:history="1">
        <w:r w:rsidRPr="000F52F2">
          <w:rPr>
            <w:rStyle w:val="Hyperlink"/>
            <w:sz w:val="24"/>
            <w:lang w:val="pl-PL"/>
          </w:rPr>
          <w:t>http://data.europa.eu/eli/dec/2020/2053/oj</w:t>
        </w:r>
      </w:hyperlink>
      <w:r w:rsidRPr="000F52F2">
        <w:rPr>
          <w:sz w:val="24"/>
          <w:lang w:val="pl-PL"/>
        </w:rPr>
        <w:t>.</w:t>
      </w:r>
    </w:p>
  </w:footnote>
  <w:footnote w:id="7">
    <w:p w14:paraId="46DAE559" w14:textId="67CC8536" w:rsidR="008329DB" w:rsidRPr="000F52F2" w:rsidRDefault="008329DB" w:rsidP="000F52F2">
      <w:pPr>
        <w:pStyle w:val="FootnoteText"/>
        <w:ind w:left="567" w:hanging="567"/>
        <w:rPr>
          <w:sz w:val="24"/>
          <w:lang w:val="pl-PL"/>
        </w:rPr>
      </w:pPr>
      <w:r w:rsidRPr="000F52F2">
        <w:rPr>
          <w:rStyle w:val="FootnoteReference"/>
          <w:sz w:val="24"/>
          <w:lang w:val="pl-PL"/>
        </w:rPr>
        <w:footnoteRef/>
      </w:r>
      <w:r w:rsidR="000F52F2" w:rsidRPr="000F52F2">
        <w:rPr>
          <w:sz w:val="24"/>
          <w:lang w:val="pl-PL"/>
        </w:rPr>
        <w:t xml:space="preserve"> </w:t>
      </w:r>
      <w:r w:rsidR="000F52F2" w:rsidRPr="000F52F2">
        <w:rPr>
          <w:sz w:val="24"/>
          <w:lang w:val="pl-PL"/>
        </w:rPr>
        <w:tab/>
      </w:r>
      <w:r w:rsidRPr="000F52F2">
        <w:rPr>
          <w:sz w:val="24"/>
          <w:lang w:val="pl-PL"/>
        </w:rPr>
        <w:t xml:space="preserve">Teksty przyjęte, </w:t>
      </w:r>
      <w:hyperlink r:id="rId7" w:history="1">
        <w:r w:rsidRPr="000F52F2">
          <w:rPr>
            <w:rStyle w:val="Hyperlink"/>
            <w:sz w:val="24"/>
            <w:lang w:val="pl-PL"/>
          </w:rPr>
          <w:t>P10_TA(2026)0111</w:t>
        </w:r>
      </w:hyperlink>
      <w:r w:rsidRPr="000F52F2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308B" w14:textId="77777777" w:rsidR="00064002" w:rsidRPr="000F52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3339" w14:textId="77777777" w:rsidR="00064002" w:rsidRPr="000F52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0E6F" w14:textId="77777777" w:rsidR="00064002" w:rsidRPr="000F52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4083654">
    <w:abstractNumId w:val="9"/>
  </w:num>
  <w:num w:numId="2" w16cid:durableId="711340891">
    <w:abstractNumId w:val="9"/>
  </w:num>
  <w:num w:numId="3" w16cid:durableId="1633172831">
    <w:abstractNumId w:val="7"/>
  </w:num>
  <w:num w:numId="4" w16cid:durableId="215819609">
    <w:abstractNumId w:val="7"/>
  </w:num>
  <w:num w:numId="5" w16cid:durableId="358119826">
    <w:abstractNumId w:val="6"/>
  </w:num>
  <w:num w:numId="6" w16cid:durableId="1449936616">
    <w:abstractNumId w:val="6"/>
  </w:num>
  <w:num w:numId="7" w16cid:durableId="537473655">
    <w:abstractNumId w:val="5"/>
  </w:num>
  <w:num w:numId="8" w16cid:durableId="369838083">
    <w:abstractNumId w:val="5"/>
  </w:num>
  <w:num w:numId="9" w16cid:durableId="814764796">
    <w:abstractNumId w:val="4"/>
  </w:num>
  <w:num w:numId="10" w16cid:durableId="1943023708">
    <w:abstractNumId w:val="4"/>
  </w:num>
  <w:num w:numId="11" w16cid:durableId="421996207">
    <w:abstractNumId w:val="8"/>
  </w:num>
  <w:num w:numId="12" w16cid:durableId="1619145713">
    <w:abstractNumId w:val="8"/>
  </w:num>
  <w:num w:numId="13" w16cid:durableId="1133669486">
    <w:abstractNumId w:val="3"/>
  </w:num>
  <w:num w:numId="14" w16cid:durableId="199319827">
    <w:abstractNumId w:val="3"/>
  </w:num>
  <w:num w:numId="15" w16cid:durableId="455027341">
    <w:abstractNumId w:val="2"/>
  </w:num>
  <w:num w:numId="16" w16cid:durableId="282538193">
    <w:abstractNumId w:val="2"/>
  </w:num>
  <w:num w:numId="17" w16cid:durableId="378168114">
    <w:abstractNumId w:val="1"/>
  </w:num>
  <w:num w:numId="18" w16cid:durableId="878012117">
    <w:abstractNumId w:val="1"/>
  </w:num>
  <w:num w:numId="19" w16cid:durableId="247546375">
    <w:abstractNumId w:val="0"/>
  </w:num>
  <w:num w:numId="20" w16cid:durableId="637536707">
    <w:abstractNumId w:val="0"/>
  </w:num>
  <w:num w:numId="21" w16cid:durableId="1306278045">
    <w:abstractNumId w:val="9"/>
  </w:num>
  <w:num w:numId="22" w16cid:durableId="1307853647">
    <w:abstractNumId w:val="7"/>
  </w:num>
  <w:num w:numId="23" w16cid:durableId="2106535552">
    <w:abstractNumId w:val="6"/>
  </w:num>
  <w:num w:numId="24" w16cid:durableId="1595699044">
    <w:abstractNumId w:val="5"/>
  </w:num>
  <w:num w:numId="25" w16cid:durableId="2015259409">
    <w:abstractNumId w:val="4"/>
  </w:num>
  <w:num w:numId="26" w16cid:durableId="578248233">
    <w:abstractNumId w:val="8"/>
  </w:num>
  <w:num w:numId="27" w16cid:durableId="1598442899">
    <w:abstractNumId w:val="3"/>
  </w:num>
  <w:num w:numId="28" w16cid:durableId="1603611355">
    <w:abstractNumId w:val="2"/>
  </w:num>
  <w:num w:numId="29" w16cid:durableId="49690533">
    <w:abstractNumId w:val="1"/>
  </w:num>
  <w:num w:numId="30" w16cid:durableId="1798448798">
    <w:abstractNumId w:val="0"/>
  </w:num>
  <w:num w:numId="31" w16cid:durableId="1163397348">
    <w:abstractNumId w:val="9"/>
  </w:num>
  <w:num w:numId="32" w16cid:durableId="1339961341">
    <w:abstractNumId w:val="7"/>
  </w:num>
  <w:num w:numId="33" w16cid:durableId="1186016512">
    <w:abstractNumId w:val="6"/>
  </w:num>
  <w:num w:numId="34" w16cid:durableId="1817647590">
    <w:abstractNumId w:val="5"/>
  </w:num>
  <w:num w:numId="35" w16cid:durableId="554122627">
    <w:abstractNumId w:val="4"/>
  </w:num>
  <w:num w:numId="36" w16cid:durableId="588389000">
    <w:abstractNumId w:val="8"/>
  </w:num>
  <w:num w:numId="37" w16cid:durableId="191037992">
    <w:abstractNumId w:val="3"/>
  </w:num>
  <w:num w:numId="38" w16cid:durableId="348290024">
    <w:abstractNumId w:val="2"/>
  </w:num>
  <w:num w:numId="39" w16cid:durableId="1231113518">
    <w:abstractNumId w:val="1"/>
  </w:num>
  <w:num w:numId="40" w16cid:durableId="783034772">
    <w:abstractNumId w:val="0"/>
  </w:num>
  <w:num w:numId="41" w16cid:durableId="1077556171">
    <w:abstractNumId w:val="10"/>
  </w:num>
  <w:num w:numId="42" w16cid:durableId="1119642100">
    <w:abstractNumId w:val="10"/>
  </w:num>
  <w:num w:numId="43" w16cid:durableId="173226652">
    <w:abstractNumId w:val="10"/>
  </w:num>
  <w:num w:numId="44" w16cid:durableId="18953137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PL"/>
    <w:docVar w:name="dvnumam" w:val="0"/>
    <w:docVar w:name="dvpe" w:val="787.947"/>
    <w:docVar w:name="dvrapporteur" w:val="Sprawozdawca: "/>
    <w:docVar w:name="dvstar" w:val="??"/>
    <w:docVar w:name="dvtitre" w:val="Rezolucja ustawodawcza Parlamentu Europejskiego z dnia  2026 r. w sprawie stanowiska Rady dotyczącego projektu budżetu korygującego nr 1/2026 Unii Europejskiej na rok budżetowy 2026 – zapisanie nadwyżki z roku budżetowego 2025(09919/2026 – C10-0145/2026 – 2026/0090(BUD))"/>
  </w:docVars>
  <w:rsids>
    <w:rsidRoot w:val="00234F38"/>
    <w:rsid w:val="00002272"/>
    <w:rsid w:val="000440BE"/>
    <w:rsid w:val="00064002"/>
    <w:rsid w:val="000677B9"/>
    <w:rsid w:val="000831BA"/>
    <w:rsid w:val="000A42CC"/>
    <w:rsid w:val="000E7DD9"/>
    <w:rsid w:val="000F52F2"/>
    <w:rsid w:val="0010095E"/>
    <w:rsid w:val="00125B37"/>
    <w:rsid w:val="00187494"/>
    <w:rsid w:val="001F32AE"/>
    <w:rsid w:val="00234F38"/>
    <w:rsid w:val="002767FF"/>
    <w:rsid w:val="00280AE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9D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4D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7D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7DDC4"/>
  <w15:chartTrackingRefBased/>
  <w15:docId w15:val="{4CBC8DF4-EC51-466C-8C67-0B92BBE6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,Footnote number,Footnote symbol,Footnote Reference Number,Footnote reference number,Times 10 Point,Exposant 3 Point,Voetnootverwijzing,fr,o,Footnotemark,FR,Footnotemark1,Footnotemark2,FR1,Footnotemark3,FR2,Footnotemark4,FR3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29DB"/>
    <w:pPr>
      <w:spacing w:before="480" w:after="240"/>
    </w:pPr>
  </w:style>
  <w:style w:type="paragraph" w:customStyle="1" w:styleId="NormalHanging12a">
    <w:name w:val="NormalHanging12a"/>
    <w:basedOn w:val="Normal"/>
    <w:rsid w:val="008329DB"/>
    <w:pPr>
      <w:spacing w:after="240"/>
      <w:ind w:left="567" w:hanging="567"/>
    </w:pPr>
  </w:style>
  <w:style w:type="character" w:styleId="Hyperlink">
    <w:name w:val="Hyperlink"/>
    <w:basedOn w:val="DefaultParagraphFont"/>
    <w:rsid w:val="008329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637D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s://www.europarl.europa.eu/doceo/document/TA-10-2026-0111_PL.html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1036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2026-07-07T15:13:00Z</dcterms:created>
  <dcterms:modified xsi:type="dcterms:W3CDTF">2026-07-07T15:13:00Z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