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32F0" w14:paraId="2C66C9D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2F8A6D" w14:textId="77777777" w:rsidR="00751A4A" w:rsidRPr="00E132F0" w:rsidRDefault="00FA3880" w:rsidP="0010095E">
            <w:pPr>
              <w:pStyle w:val="EPName"/>
            </w:pPr>
            <w:r w:rsidRPr="00E132F0">
              <w:t xml:space="preserve">Parlamento </w:t>
            </w:r>
            <w:proofErr w:type="gramStart"/>
            <w:r w:rsidRPr="00E132F0">
              <w:t>Europeu</w:t>
            </w:r>
            <w:proofErr w:type="gramEnd"/>
          </w:p>
          <w:p w14:paraId="5CDE3603" w14:textId="77777777" w:rsidR="00751A4A" w:rsidRPr="00E132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32F0">
              <w:t>2024</w:t>
            </w:r>
            <w:r w:rsidR="00817416" w:rsidRPr="00E132F0">
              <w:t>-202</w:t>
            </w:r>
            <w:r w:rsidRPr="00E132F0">
              <w:t>9</w:t>
            </w:r>
          </w:p>
        </w:tc>
        <w:tc>
          <w:tcPr>
            <w:tcW w:w="2268" w:type="dxa"/>
            <w:shd w:val="clear" w:color="auto" w:fill="auto"/>
          </w:tcPr>
          <w:p w14:paraId="53CAF6B1" w14:textId="77777777" w:rsidR="00751A4A" w:rsidRPr="00E132F0" w:rsidRDefault="00187494" w:rsidP="0010095E">
            <w:pPr>
              <w:pStyle w:val="EPLogo"/>
            </w:pPr>
            <w:r w:rsidRPr="00E132F0">
              <w:rPr>
                <w:noProof/>
                <w:lang w:eastAsia="ja-JP"/>
              </w:rPr>
              <w:drawing>
                <wp:inline distT="0" distB="0" distL="0" distR="0" wp14:anchorId="12C7FED8" wp14:editId="1D884DC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59A892" w14:textId="77777777" w:rsidR="00D058B8" w:rsidRPr="00E132F0" w:rsidRDefault="00D058B8" w:rsidP="004C5D52">
      <w:pPr>
        <w:pStyle w:val="LineTop"/>
      </w:pPr>
    </w:p>
    <w:p w14:paraId="50A4F215" w14:textId="77777777" w:rsidR="00680577" w:rsidRPr="00E132F0" w:rsidRDefault="00FA3880" w:rsidP="00680577">
      <w:pPr>
        <w:pStyle w:val="EPBodyTA1"/>
      </w:pPr>
      <w:r w:rsidRPr="00E132F0">
        <w:t>TEXTOS APROVADOS</w:t>
      </w:r>
    </w:p>
    <w:p w14:paraId="62E7F202" w14:textId="77777777" w:rsidR="00D058B8" w:rsidRPr="00E132F0" w:rsidRDefault="00D058B8" w:rsidP="00D058B8">
      <w:pPr>
        <w:pStyle w:val="LineBottom"/>
      </w:pPr>
    </w:p>
    <w:p w14:paraId="773C2385" w14:textId="0A4E2786" w:rsidR="00FA3880" w:rsidRPr="00E132F0" w:rsidRDefault="00FA3880" w:rsidP="00FA3880">
      <w:pPr>
        <w:pStyle w:val="ATHeading1"/>
      </w:pPr>
      <w:bookmarkStart w:id="0" w:name="TANumber"/>
      <w:r w:rsidRPr="00E132F0">
        <w:t>P10_</w:t>
      </w:r>
      <w:proofErr w:type="gramStart"/>
      <w:r w:rsidRPr="00E132F0">
        <w:t>TA(</w:t>
      </w:r>
      <w:proofErr w:type="gramEnd"/>
      <w:r w:rsidRPr="00E132F0">
        <w:t>2026)</w:t>
      </w:r>
      <w:bookmarkEnd w:id="0"/>
      <w:r w:rsidR="006E73D8" w:rsidRPr="00E132F0">
        <w:t>0242</w:t>
      </w:r>
    </w:p>
    <w:p w14:paraId="592B9BA1" w14:textId="77777777" w:rsidR="00FA3880" w:rsidRPr="00E132F0" w:rsidRDefault="00FA3880" w:rsidP="00FA3880">
      <w:pPr>
        <w:pStyle w:val="ATHeading2"/>
      </w:pPr>
      <w:bookmarkStart w:id="1" w:name="title"/>
      <w:r w:rsidRPr="00E132F0">
        <w:t>Projeto de orçamento retificativo n.º 1/2026: inscrição do excedente do exercício de 2025</w:t>
      </w:r>
      <w:bookmarkEnd w:id="1"/>
    </w:p>
    <w:p w14:paraId="78FE4222" w14:textId="77777777" w:rsidR="00FA3880" w:rsidRPr="00E132F0" w:rsidRDefault="00FA3880" w:rsidP="00FA3880">
      <w:pPr>
        <w:rPr>
          <w:i/>
          <w:vanish/>
        </w:rPr>
      </w:pPr>
      <w:r w:rsidRPr="00E132F0">
        <w:rPr>
          <w:i/>
        </w:rPr>
        <w:fldChar w:fldCharType="begin"/>
      </w:r>
      <w:r w:rsidRPr="00E132F0">
        <w:rPr>
          <w:i/>
        </w:rPr>
        <w:instrText xml:space="preserve"> TC"(</w:instrText>
      </w:r>
      <w:bookmarkStart w:id="2" w:name="DocNumber"/>
      <w:r w:rsidRPr="00E132F0">
        <w:rPr>
          <w:i/>
        </w:rPr>
        <w:instrText>A10-0180/2026</w:instrText>
      </w:r>
      <w:bookmarkEnd w:id="2"/>
      <w:r w:rsidRPr="00E132F0">
        <w:rPr>
          <w:i/>
        </w:rPr>
        <w:instrText xml:space="preserve"> - Relator: </w:instrText>
      </w:r>
      <w:proofErr w:type="spellStart"/>
      <w:r w:rsidRPr="00E132F0">
        <w:rPr>
          <w:i/>
        </w:rPr>
        <w:instrText>Andrzej</w:instrText>
      </w:r>
      <w:proofErr w:type="spellEnd"/>
      <w:r w:rsidRPr="00E132F0">
        <w:rPr>
          <w:i/>
        </w:rPr>
        <w:instrText xml:space="preserve"> </w:instrText>
      </w:r>
      <w:proofErr w:type="spellStart"/>
      <w:r w:rsidRPr="00E132F0">
        <w:rPr>
          <w:i/>
        </w:rPr>
        <w:instrText>Halicki</w:instrText>
      </w:r>
      <w:proofErr w:type="spellEnd"/>
      <w:r w:rsidRPr="00E132F0">
        <w:rPr>
          <w:i/>
        </w:rPr>
        <w:instrText xml:space="preserve">)"\l3 \n&gt; \* MERGEFORMAT </w:instrText>
      </w:r>
      <w:r w:rsidRPr="00E132F0">
        <w:rPr>
          <w:i/>
        </w:rPr>
        <w:fldChar w:fldCharType="end"/>
      </w:r>
    </w:p>
    <w:p w14:paraId="4D3BF99A" w14:textId="77777777" w:rsidR="00FA3880" w:rsidRPr="00E132F0" w:rsidRDefault="00FA3880" w:rsidP="00FA3880">
      <w:pPr>
        <w:rPr>
          <w:vanish/>
        </w:rPr>
      </w:pPr>
      <w:bookmarkStart w:id="3" w:name="Commission"/>
      <w:r w:rsidRPr="00E132F0">
        <w:rPr>
          <w:vanish/>
        </w:rPr>
        <w:t>Comissão dos Orçamentos</w:t>
      </w:r>
      <w:bookmarkEnd w:id="3"/>
    </w:p>
    <w:p w14:paraId="10E36E7A" w14:textId="77777777" w:rsidR="00FA3880" w:rsidRPr="00E132F0" w:rsidRDefault="00FA3880" w:rsidP="00FA3880">
      <w:pPr>
        <w:rPr>
          <w:vanish/>
        </w:rPr>
      </w:pPr>
      <w:bookmarkStart w:id="4" w:name="PE"/>
      <w:r w:rsidRPr="00E132F0">
        <w:rPr>
          <w:vanish/>
        </w:rPr>
        <w:t>PE787.947</w:t>
      </w:r>
      <w:bookmarkEnd w:id="4"/>
    </w:p>
    <w:p w14:paraId="4C2B08A2" w14:textId="385445E0" w:rsidR="00FA3880" w:rsidRPr="00E132F0" w:rsidRDefault="00FA3880" w:rsidP="00FA3880">
      <w:pPr>
        <w:pStyle w:val="ATHeading3"/>
      </w:pPr>
      <w:bookmarkStart w:id="5" w:name="Sujet"/>
      <w:r w:rsidRPr="00E132F0">
        <w:t xml:space="preserve">Resolução do Parlamento Europeu, de </w:t>
      </w:r>
      <w:r w:rsidR="0024718F" w:rsidRPr="00E132F0">
        <w:t xml:space="preserve">7 </w:t>
      </w:r>
      <w:r w:rsidRPr="00E132F0">
        <w:t xml:space="preserve">de </w:t>
      </w:r>
      <w:r w:rsidR="0024718F" w:rsidRPr="00E132F0">
        <w:t xml:space="preserve">julho </w:t>
      </w:r>
      <w:r w:rsidRPr="00E132F0">
        <w:t>de 2026, referente à posição do Conselho sobre o projeto de orçamento retificativo n.º 1/2026 da União Europeia para o exercício de 2026, que inscreve o excedente do exercício de 2025</w:t>
      </w:r>
      <w:bookmarkEnd w:id="5"/>
      <w:r w:rsidRPr="00E132F0">
        <w:t xml:space="preserve"> </w:t>
      </w:r>
      <w:bookmarkStart w:id="6" w:name="References"/>
      <w:r w:rsidRPr="00E132F0">
        <w:t>(09919/2026 – C10</w:t>
      </w:r>
      <w:r w:rsidR="0024718F" w:rsidRPr="00E132F0">
        <w:noBreakHyphen/>
      </w:r>
      <w:r w:rsidRPr="00E132F0">
        <w:t>0145/2026 – 2026/0090(BUD))</w:t>
      </w:r>
      <w:bookmarkEnd w:id="6"/>
    </w:p>
    <w:p w14:paraId="654A0CFC" w14:textId="77777777" w:rsidR="00D94A32" w:rsidRPr="00E132F0" w:rsidRDefault="00D94A32" w:rsidP="00D94A32">
      <w:pPr>
        <w:pStyle w:val="EPComma"/>
      </w:pPr>
      <w:bookmarkStart w:id="7" w:name="TextBodyBegin"/>
      <w:bookmarkEnd w:id="7"/>
      <w:r w:rsidRPr="00E132F0">
        <w:rPr>
          <w:i/>
          <w:iCs/>
        </w:rPr>
        <w:t>O Parlamento Europeu</w:t>
      </w:r>
      <w:r w:rsidRPr="00E132F0">
        <w:t>,</w:t>
      </w:r>
    </w:p>
    <w:p w14:paraId="64E1090C" w14:textId="77777777" w:rsidR="00D94A32" w:rsidRPr="00E132F0" w:rsidRDefault="00D94A32" w:rsidP="00D94A32">
      <w:pPr>
        <w:pStyle w:val="NormalHanging12a"/>
      </w:pPr>
      <w:r w:rsidRPr="00E132F0">
        <w:t>–</w:t>
      </w:r>
      <w:r w:rsidRPr="00E132F0">
        <w:tab/>
        <w:t>Tendo em conta o artigo 314.º do Tratado sobre o Funcionamento da União Europeia,</w:t>
      </w:r>
    </w:p>
    <w:p w14:paraId="2824F89D" w14:textId="77777777" w:rsidR="00D94A32" w:rsidRPr="00E132F0" w:rsidRDefault="00D94A32" w:rsidP="00D94A32">
      <w:pPr>
        <w:pStyle w:val="NormalHanging12a"/>
      </w:pPr>
      <w:r w:rsidRPr="00E132F0">
        <w:t>–</w:t>
      </w:r>
      <w:r w:rsidRPr="00E132F0">
        <w:tab/>
        <w:t>Tendo em conta o artigo 106.º</w:t>
      </w:r>
      <w:r w:rsidRPr="00E132F0">
        <w:noBreakHyphen/>
        <w:t>A do Tratado que institui a Comunidade Europeia da Energia Atómica,</w:t>
      </w:r>
    </w:p>
    <w:p w14:paraId="2D625E0D" w14:textId="77777777" w:rsidR="00D94A32" w:rsidRPr="00E132F0" w:rsidRDefault="00D94A32" w:rsidP="00D94A32">
      <w:pPr>
        <w:pStyle w:val="NormalHanging12a"/>
      </w:pPr>
      <w:r w:rsidRPr="00E132F0">
        <w:t>–</w:t>
      </w:r>
      <w:r w:rsidRPr="00E132F0">
        <w:tab/>
        <w:t>Tendo em conta o Regulamento (UE, Euratom) 2024/2509 do Parlamento Europeu e do Conselho, de 23 de setembro de 2024, relativo às regras financeiras aplicáveis ao orçamento geral da União</w:t>
      </w:r>
      <w:r w:rsidRPr="00E132F0">
        <w:rPr>
          <w:rStyle w:val="FootnoteReference"/>
        </w:rPr>
        <w:footnoteReference w:id="1"/>
      </w:r>
      <w:r w:rsidRPr="00E132F0">
        <w:t>, nomeadamente o artigo 44.º,</w:t>
      </w:r>
    </w:p>
    <w:p w14:paraId="31BEE959" w14:textId="5C40ACB1" w:rsidR="00D94A32" w:rsidRPr="00E132F0" w:rsidRDefault="00D94A32" w:rsidP="00D94A32">
      <w:pPr>
        <w:pStyle w:val="NormalHanging12a"/>
      </w:pPr>
      <w:r w:rsidRPr="00E132F0">
        <w:t>–</w:t>
      </w:r>
      <w:r w:rsidRPr="00E132F0">
        <w:tab/>
        <w:t>Tendo em conta o orçamento geral da União Europeia para o exercício de 2026, que foi definitivamente aprovado em 26 de novembro de 2025</w:t>
      </w:r>
      <w:r w:rsidRPr="00E132F0">
        <w:rPr>
          <w:vertAlign w:val="superscript"/>
        </w:rPr>
        <w:footnoteReference w:id="2"/>
      </w:r>
      <w:r w:rsidRPr="00E132F0">
        <w:t>,</w:t>
      </w:r>
    </w:p>
    <w:p w14:paraId="040ABFE5" w14:textId="5600B91B" w:rsidR="00D94A32" w:rsidRPr="00E132F0" w:rsidRDefault="00D94A32" w:rsidP="00D94A32">
      <w:pPr>
        <w:pStyle w:val="NormalHanging12a"/>
      </w:pPr>
      <w:r w:rsidRPr="00E132F0">
        <w:t>–</w:t>
      </w:r>
      <w:r w:rsidRPr="00E132F0">
        <w:tab/>
        <w:t>Tendo em conta o Regulamento (UE, Euratom) 2020/2093 do Conselho, de 17 de dezembro de 2020, que estabelece o quadro financeiro plurianual para o período de 2021 a 2027</w:t>
      </w:r>
      <w:r w:rsidRPr="00E132F0">
        <w:rPr>
          <w:vertAlign w:val="superscript"/>
        </w:rPr>
        <w:footnoteReference w:id="3"/>
      </w:r>
      <w:r w:rsidRPr="00E132F0">
        <w:t>,</w:t>
      </w:r>
    </w:p>
    <w:p w14:paraId="2B706F63" w14:textId="77777777" w:rsidR="00D94A32" w:rsidRPr="00E132F0" w:rsidRDefault="00D94A32" w:rsidP="00D94A32">
      <w:pPr>
        <w:pStyle w:val="NormalHanging12a"/>
      </w:pPr>
      <w:r w:rsidRPr="00E132F0">
        <w:t>–</w:t>
      </w:r>
      <w:r w:rsidRPr="00E132F0">
        <w:tab/>
        <w:t>Tendo em conta o Regulamento (UE, Euratom) 2024/765 do Conselho, que altera o Regulamento (UE, Euratom) 2020/2093 que estabelece o quadro financeiro plurianual para o período de 2021 a 2027</w:t>
      </w:r>
      <w:r w:rsidRPr="00E132F0">
        <w:rPr>
          <w:vertAlign w:val="superscript"/>
        </w:rPr>
        <w:footnoteReference w:id="4"/>
      </w:r>
      <w:r w:rsidRPr="00E132F0">
        <w:t>,</w:t>
      </w:r>
    </w:p>
    <w:p w14:paraId="136DEF7A" w14:textId="77777777" w:rsidR="00D94A32" w:rsidRPr="00E132F0" w:rsidRDefault="00D94A32" w:rsidP="00D94A32">
      <w:pPr>
        <w:pStyle w:val="NormalHanging12a"/>
      </w:pPr>
      <w:r w:rsidRPr="00E132F0">
        <w:t>–</w:t>
      </w:r>
      <w:r w:rsidRPr="00E132F0">
        <w:tab/>
        <w:t xml:space="preserve">Tendo em conta o Acordo Interinstitucional, de 16 de dezembro de 2020, entre o Parlamento Europeu, o Conselho da União Europeia e a Comissão Europeia sobre a </w:t>
      </w:r>
      <w:r w:rsidRPr="00E132F0">
        <w:lastRenderedPageBreak/>
        <w:t>disciplina orçamental, a cooperação em matéria orçamental e a boa gestão financeira, bem como sobre os novos recursos próprios, incluindo um roteiro para a introdução de novos recursos próprios</w:t>
      </w:r>
      <w:r w:rsidRPr="00E132F0">
        <w:rPr>
          <w:vertAlign w:val="superscript"/>
        </w:rPr>
        <w:footnoteReference w:id="5"/>
      </w:r>
      <w:r w:rsidRPr="00E132F0">
        <w:t>,</w:t>
      </w:r>
    </w:p>
    <w:p w14:paraId="7B88CBDF" w14:textId="06908DC2" w:rsidR="00D94A32" w:rsidRPr="00E132F0" w:rsidRDefault="00D94A32" w:rsidP="00D94A32">
      <w:pPr>
        <w:pStyle w:val="NormalHanging12a"/>
      </w:pPr>
      <w:r w:rsidRPr="00E132F0">
        <w:t>–</w:t>
      </w:r>
      <w:r w:rsidRPr="00E132F0">
        <w:tab/>
        <w:t>Tendo em conta a Decisão (UE, Euratom) 2020/2053 do Conselho, de 14 de dezembro de 2020, relativa ao sistema de recursos próprios da União Europeia, que revoga a Decisão 2014/335/UE, Euratom</w:t>
      </w:r>
      <w:r w:rsidRPr="00E132F0">
        <w:rPr>
          <w:vertAlign w:val="superscript"/>
        </w:rPr>
        <w:footnoteReference w:id="6"/>
      </w:r>
      <w:r w:rsidRPr="00E132F0">
        <w:t>,</w:t>
      </w:r>
    </w:p>
    <w:p w14:paraId="4A021ED3" w14:textId="729AF150" w:rsidR="00D94A32" w:rsidRPr="00E132F0" w:rsidRDefault="00D94A32" w:rsidP="00D94A32">
      <w:pPr>
        <w:pStyle w:val="NormalHanging12a"/>
      </w:pPr>
      <w:r w:rsidRPr="00E132F0">
        <w:t>–</w:t>
      </w:r>
      <w:r w:rsidRPr="00E132F0">
        <w:tab/>
        <w:t>Tendo em conta a sua Resolução, de 28 de abril de 2026, sobre a proposta de regulamento do Conselho que estabelece o quadro financeiro plurianual para o período de 2028 a 2034</w:t>
      </w:r>
      <w:r w:rsidRPr="00E132F0">
        <w:rPr>
          <w:rStyle w:val="FootnoteReference"/>
        </w:rPr>
        <w:footnoteReference w:id="7"/>
      </w:r>
      <w:r w:rsidRPr="00E132F0">
        <w:t>,</w:t>
      </w:r>
    </w:p>
    <w:p w14:paraId="4E656562" w14:textId="77777777" w:rsidR="00D94A32" w:rsidRPr="00E132F0" w:rsidRDefault="00D94A32" w:rsidP="00D94A32">
      <w:pPr>
        <w:pStyle w:val="NormalHanging12a"/>
      </w:pPr>
      <w:bookmarkStart w:id="8" w:name="_Hlk229564682"/>
      <w:r w:rsidRPr="00E132F0">
        <w:t>–</w:t>
      </w:r>
      <w:r w:rsidRPr="00E132F0">
        <w:tab/>
        <w:t>Tendo em conta o projeto de orçamento retificativo n.º 1/2026, aprovado pela Comissão em 10 de abril de 2026 (</w:t>
      </w:r>
      <w:proofErr w:type="gramStart"/>
      <w:r w:rsidRPr="00E132F0">
        <w:t>COM(</w:t>
      </w:r>
      <w:proofErr w:type="gramEnd"/>
      <w:r w:rsidRPr="00E132F0">
        <w:t>2026)0450),</w:t>
      </w:r>
      <w:bookmarkEnd w:id="8"/>
    </w:p>
    <w:p w14:paraId="22EF4D8D" w14:textId="77777777" w:rsidR="00D94A32" w:rsidRPr="00E132F0" w:rsidRDefault="00D94A32" w:rsidP="00D94A32">
      <w:pPr>
        <w:pStyle w:val="NormalHanging12a"/>
      </w:pPr>
      <w:r w:rsidRPr="00E132F0">
        <w:t>–</w:t>
      </w:r>
      <w:r w:rsidRPr="00E132F0">
        <w:tab/>
        <w:t>Tendo em conta a posição sobre o projeto de orçamento retificativo n.º 1/2026, adotada pelo Conselho em 16 de junho de 2026 e transmitida ao Parlamento Europeu em 18 de junho de 2026 (09919/2026),</w:t>
      </w:r>
    </w:p>
    <w:p w14:paraId="517ED1BE" w14:textId="77777777" w:rsidR="00D94A32" w:rsidRPr="00E132F0" w:rsidRDefault="00D94A32" w:rsidP="00D94A32">
      <w:pPr>
        <w:pStyle w:val="NormalHanging12a"/>
      </w:pPr>
      <w:r w:rsidRPr="00E132F0">
        <w:t>–</w:t>
      </w:r>
      <w:r w:rsidRPr="00E132F0">
        <w:tab/>
        <w:t>Tendo em conta os artigos 96.º e 98.º do seu Regimento,</w:t>
      </w:r>
    </w:p>
    <w:p w14:paraId="094156B8" w14:textId="77777777" w:rsidR="00D94A32" w:rsidRPr="00E132F0" w:rsidRDefault="00D94A32" w:rsidP="00D94A32">
      <w:pPr>
        <w:pStyle w:val="NormalHanging12a"/>
      </w:pPr>
      <w:r w:rsidRPr="00E132F0">
        <w:t>–</w:t>
      </w:r>
      <w:r w:rsidRPr="00E132F0">
        <w:tab/>
        <w:t>Tendo em conta o relatório da Comissão dos Orçamentos (A10</w:t>
      </w:r>
      <w:r w:rsidRPr="00E132F0">
        <w:noBreakHyphen/>
        <w:t>0180/2026),</w:t>
      </w:r>
    </w:p>
    <w:p w14:paraId="2AA88B84" w14:textId="0F107CCD" w:rsidR="00D94A32" w:rsidRPr="00E132F0" w:rsidRDefault="00D94A32" w:rsidP="00D94A32">
      <w:pPr>
        <w:pStyle w:val="NormalHanging12a"/>
      </w:pPr>
      <w:r w:rsidRPr="00E132F0">
        <w:t>A.</w:t>
      </w:r>
      <w:r w:rsidRPr="00E132F0">
        <w:tab/>
        <w:t>Considerando que o objetivo do projeto de orçamento retificativo n.º 1/2026 é inscrever no orçamento de 2026 o excedente resultante da execução do exercício orçamental de</w:t>
      </w:r>
      <w:r w:rsidR="001F463D" w:rsidRPr="00E132F0">
        <w:t> </w:t>
      </w:r>
      <w:r w:rsidRPr="00E132F0">
        <w:t>2025, que se cifra em 2 095 milhões de EUR;</w:t>
      </w:r>
    </w:p>
    <w:p w14:paraId="1EFD030C" w14:textId="77777777" w:rsidR="00D94A32" w:rsidRPr="00E132F0" w:rsidRDefault="00D94A32" w:rsidP="00D94A32">
      <w:pPr>
        <w:pStyle w:val="NormalHanging12a"/>
      </w:pPr>
      <w:r w:rsidRPr="00E132F0">
        <w:t>B.</w:t>
      </w:r>
      <w:r w:rsidRPr="00E132F0">
        <w:tab/>
        <w:t xml:space="preserve">Considerando que os principais elementos que determinaram este excedente são um resultado positivo do lado da receita equivalente a 1 994 milhões de EUR e uma </w:t>
      </w:r>
      <w:proofErr w:type="spellStart"/>
      <w:r w:rsidRPr="00E132F0">
        <w:t>subexecução</w:t>
      </w:r>
      <w:proofErr w:type="spellEnd"/>
      <w:r w:rsidRPr="00E132F0">
        <w:t xml:space="preserve"> da despesa no valor de 101 milhões de EUR;</w:t>
      </w:r>
    </w:p>
    <w:p w14:paraId="6B6AB0C2" w14:textId="2B9C4D78" w:rsidR="00D94A32" w:rsidRPr="00E132F0" w:rsidRDefault="00D94A32" w:rsidP="00D94A32">
      <w:pPr>
        <w:pStyle w:val="NormalHanging12a"/>
      </w:pPr>
      <w:r w:rsidRPr="00E132F0">
        <w:t>C.</w:t>
      </w:r>
      <w:r w:rsidRPr="00E132F0">
        <w:tab/>
        <w:t xml:space="preserve">Considerando que, do lado da receita, o excedente se deve sobretudo a </w:t>
      </w:r>
      <w:bookmarkStart w:id="9" w:name="_Hlk233197369"/>
      <w:r w:rsidRPr="00E132F0">
        <w:t>um montante de direitos aduaneiros superior ao previsto de 860 milhões de EUR</w:t>
      </w:r>
      <w:bookmarkEnd w:id="9"/>
      <w:r w:rsidRPr="00E132F0">
        <w:t xml:space="preserve">; </w:t>
      </w:r>
      <w:r w:rsidR="00DC5B9F" w:rsidRPr="00E132F0">
        <w:t xml:space="preserve">considerando </w:t>
      </w:r>
      <w:r w:rsidRPr="00E132F0">
        <w:t>que o volume do excedente se deve, em segundo lugar, às receitas financeiras, aos juros de mora e às coimas, que ascenderam a um montante de 840 milhões de EUR;</w:t>
      </w:r>
    </w:p>
    <w:p w14:paraId="770BF4AA" w14:textId="32D39FF9" w:rsidR="00D94A32" w:rsidRPr="00E132F0" w:rsidRDefault="00D94A32" w:rsidP="00D94A32">
      <w:pPr>
        <w:pStyle w:val="NormalHanging12a"/>
      </w:pPr>
      <w:r w:rsidRPr="00E132F0">
        <w:t>D.</w:t>
      </w:r>
      <w:r w:rsidRPr="00E132F0">
        <w:tab/>
        <w:t xml:space="preserve">Considerando que, no que respeita às despesas, a </w:t>
      </w:r>
      <w:proofErr w:type="spellStart"/>
      <w:r w:rsidRPr="00E132F0">
        <w:t>subexecução</w:t>
      </w:r>
      <w:proofErr w:type="spellEnd"/>
      <w:r w:rsidRPr="00E132F0">
        <w:t xml:space="preserve"> dos pagamentos pelo conjunto das instituições, incluindo a anulação das dotações transitadas, ascendeu a 111</w:t>
      </w:r>
      <w:r w:rsidR="001F463D" w:rsidRPr="00E132F0">
        <w:t> </w:t>
      </w:r>
      <w:r w:rsidRPr="00E132F0">
        <w:t>milhões de EUR (o que representa 0,04 % das dotações de pagamento autorizadas);</w:t>
      </w:r>
    </w:p>
    <w:p w14:paraId="20B61712" w14:textId="77777777" w:rsidR="00D94A32" w:rsidRPr="00E132F0" w:rsidRDefault="00D94A32" w:rsidP="00D94A32">
      <w:pPr>
        <w:pStyle w:val="NormalHanging12a"/>
      </w:pPr>
      <w:r w:rsidRPr="00E132F0">
        <w:t>1.</w:t>
      </w:r>
      <w:r w:rsidRPr="00E132F0">
        <w:tab/>
        <w:t>Toma nota do projeto de orçamento retificativo n.º 1/2026 apresentado pela Comissão, que visa orçamentar o excedente de 2025, no montante de 2 095 milhões de EUR, em conformidade com o artigo 18.º, n.º 3, do Regulamento Financeiro;</w:t>
      </w:r>
      <w:sdt>
        <w:sdtPr>
          <w:tag w:val="goog_rdk_0"/>
          <w:id w:val="1937094721"/>
        </w:sdtPr>
        <w:sdtEndPr/>
        <w:sdtContent/>
      </w:sdt>
    </w:p>
    <w:p w14:paraId="049FC404" w14:textId="359888C7" w:rsidR="00D94A32" w:rsidRPr="00E132F0" w:rsidRDefault="00D94A32" w:rsidP="00D94A32">
      <w:pPr>
        <w:pStyle w:val="NormalHanging12a"/>
      </w:pPr>
      <w:r w:rsidRPr="00E132F0">
        <w:t>2.</w:t>
      </w:r>
      <w:r w:rsidRPr="00E132F0">
        <w:tab/>
        <w:t>Saúda o facto de o excedente de 2025 se dever principalmente a um aumento da variação do título 1 (Recursos próprios, em particular os direitos aduaneiros) e do título</w:t>
      </w:r>
      <w:r w:rsidR="001F463D" w:rsidRPr="00E132F0">
        <w:t> </w:t>
      </w:r>
      <w:r w:rsidRPr="00E132F0">
        <w:t xml:space="preserve">4 (Receitas financeiras, juros de mora e coimas), ao passo que o excedente das </w:t>
      </w:r>
      <w:r w:rsidRPr="00E132F0">
        <w:lastRenderedPageBreak/>
        <w:t>despesas se mantém muito modesto cifrando</w:t>
      </w:r>
      <w:r w:rsidRPr="00E132F0">
        <w:noBreakHyphen/>
        <w:t>se em 101 milhões de EUR;</w:t>
      </w:r>
    </w:p>
    <w:p w14:paraId="002F82F5" w14:textId="05CBB662" w:rsidR="00D94A32" w:rsidRPr="00E132F0" w:rsidRDefault="00D94A32" w:rsidP="00D94A32">
      <w:pPr>
        <w:pStyle w:val="NormalHanging12a"/>
      </w:pPr>
      <w:r w:rsidRPr="00E132F0">
        <w:t>3.</w:t>
      </w:r>
      <w:r w:rsidRPr="00E132F0">
        <w:tab/>
        <w:t>Lamenta que a orçamentação do excedente reduza a contribuição do recurso próprio baseado no RNB dos Estados</w:t>
      </w:r>
      <w:r w:rsidRPr="00E132F0">
        <w:noBreakHyphen/>
        <w:t>Membros para o orçamento de 2026 num montante proporcional; sublinha que, num momento em que as necessidades financeiras permanecem elevadas, em especial para cobrir os custos de superação do Instrumento de Recuperação da União Europeia, e em que as margens do orçamento da União são extremamente limitadas, o orçamento deve manter um nível suficiente de flexibilidade nos últimos anos do atual QFP para que a União possa fazer face a acontecimentos imprevistos; realça que a flexibilidade do orçamento da União é um dos aspetos fundamentais a tratar durante as negociações sobre o quadro financeiro plurianual 2028</w:t>
      </w:r>
      <w:r w:rsidRPr="00E132F0">
        <w:noBreakHyphen/>
        <w:t>2034;</w:t>
      </w:r>
    </w:p>
    <w:p w14:paraId="39BF98A4" w14:textId="77777777" w:rsidR="00D94A32" w:rsidRPr="00E132F0" w:rsidRDefault="00D94A32" w:rsidP="00D94A32">
      <w:pPr>
        <w:pStyle w:val="NormalHanging12a"/>
      </w:pPr>
      <w:r w:rsidRPr="00E132F0">
        <w:t>4.</w:t>
      </w:r>
      <w:r w:rsidRPr="00E132F0">
        <w:tab/>
        <w:t>Recorda a sua posição de longa data de que os ganhos excecionais decorrentes de taxas e coimas, ou montantes equivalentes, devem ser utilizados como receitas suplementares para o orçamento da União e não devem conduzir a uma diminuição correspondente das contribuições baseadas no RNB;</w:t>
      </w:r>
    </w:p>
    <w:p w14:paraId="064FA8CB" w14:textId="77777777" w:rsidR="00D94A32" w:rsidRPr="00E132F0" w:rsidRDefault="00D94A32" w:rsidP="00D94A32">
      <w:pPr>
        <w:pStyle w:val="NormalHanging12a"/>
      </w:pPr>
      <w:r w:rsidRPr="00E132F0">
        <w:t>5.</w:t>
      </w:r>
      <w:r w:rsidRPr="00E132F0">
        <w:tab/>
        <w:t>Toma nota do cálculo das reduções anuais de montante fixo do RNB para os cinco Estados</w:t>
      </w:r>
      <w:r w:rsidRPr="00E132F0">
        <w:noBreakHyphen/>
        <w:t>Membros beneficiários, as quais perfazem cerca de 5,8 mil milhões de EUR líquidos; realça que estes abatimentos são indexados à inflação, tendo por isso aumentado a um ritmo mais elevado do que os limites máximos do QFP, que são ajustados anualmente com base no deflator de 2 %; assinala que esta anomalia aumenta os encargos para os demais Estados</w:t>
      </w:r>
      <w:r w:rsidRPr="00E132F0">
        <w:noBreakHyphen/>
        <w:t>Membros;</w:t>
      </w:r>
    </w:p>
    <w:p w14:paraId="390B341C" w14:textId="77777777" w:rsidR="00D94A32" w:rsidRPr="00E132F0" w:rsidRDefault="00D94A32" w:rsidP="00D94A32">
      <w:pPr>
        <w:pStyle w:val="NormalHanging12a"/>
      </w:pPr>
      <w:r w:rsidRPr="00E132F0">
        <w:t>6.</w:t>
      </w:r>
      <w:r w:rsidRPr="00E132F0">
        <w:tab/>
        <w:t>Regista os montantes inscritos como receitas negativas no artigo 425.º, num total de 54 milhões de EUR, e acolhe favoravelmente este método de integração no orçamento dos custos decorrentes dos pagamentos efetuados no quadro de acordos de resolução que preveem o pagamento de juros compensatórios e juros de mora relacionados com o reembolso de coimas em matéria de concorrência anuladas ou reduzidas em consonância com os acórdãos pertinentes do Tribunal de Justiça; recorda que, durante as negociações sobre a reformulação de 2024 do Regulamento Financeiro, o Parlamento insistiu na aplicação deste método, para evitar a criação de dotações de despesas adicionais na rubrica 7, já sobrecarregada; recorda que esta solução deixa de existir em 31 de dezembro de 2027; convida a Comissão a propor uma solução definitiva para o próximo QFP que alcance o mesmo objetivo de evitar eventuais impactos no lado das despesas do orçamento;</w:t>
      </w:r>
    </w:p>
    <w:p w14:paraId="7DDAF122" w14:textId="61F6CCC3" w:rsidR="00D94A32" w:rsidRPr="00E132F0" w:rsidRDefault="00D94A32" w:rsidP="00D94A32">
      <w:pPr>
        <w:pStyle w:val="NormalHanging12a"/>
      </w:pPr>
      <w:r w:rsidRPr="00E132F0">
        <w:t>7.</w:t>
      </w:r>
      <w:r w:rsidRPr="00E132F0">
        <w:tab/>
        <w:t xml:space="preserve">Reitera o seu apelo de longa data para receitas sustentáveis, previsíveis e resilientes para o orçamento da União, nos termos do artigo 310.º do TFUE, que devem corresponder ao lado das despesas e às prioridades estratégicas e às necessidades de financiamento identificadas da União; reafirma o </w:t>
      </w:r>
      <w:r w:rsidR="0024718F" w:rsidRPr="00E132F0">
        <w:t xml:space="preserve">seu </w:t>
      </w:r>
      <w:r w:rsidRPr="00E132F0">
        <w:t>forte compromisso relativamente à introdução de novos recursos próprios, não tendo só em vista o reembolso da dívida do IRUE mas também o financiamento das ambições políticas da União; recorda que, sem novos recursos próprios genuínos, os encargos financeiros recairão inevitavelmente sobre os Estados</w:t>
      </w:r>
      <w:r w:rsidRPr="00E132F0">
        <w:noBreakHyphen/>
        <w:t>Membros através do aumento das contribuições baseadas no RNB; considera, por conseguinte, que a introdução de novos fluxos genuínos de receitas no valor mínimo de 60 mil milhões de EUR/ano é uma condição essencial para um quadro financeiro plurianual ambicioso para os anos 2028 a 2034;</w:t>
      </w:r>
    </w:p>
    <w:p w14:paraId="536192D2" w14:textId="77777777" w:rsidR="00D94A32" w:rsidRPr="00E132F0" w:rsidRDefault="00D94A32" w:rsidP="00D94A32">
      <w:pPr>
        <w:pStyle w:val="NormalHanging12a"/>
      </w:pPr>
      <w:r w:rsidRPr="00E132F0">
        <w:t>8.</w:t>
      </w:r>
      <w:r w:rsidRPr="00E132F0">
        <w:tab/>
        <w:t>Aprova a posição do Conselho sobre o projeto de orçamento retificativo n.º 1/2026;</w:t>
      </w:r>
    </w:p>
    <w:p w14:paraId="614A6AAA" w14:textId="77777777" w:rsidR="00D94A32" w:rsidRPr="00E132F0" w:rsidRDefault="00D94A32" w:rsidP="00D94A32">
      <w:pPr>
        <w:pStyle w:val="NormalHanging12a"/>
      </w:pPr>
      <w:r w:rsidRPr="00E132F0">
        <w:lastRenderedPageBreak/>
        <w:t>9.</w:t>
      </w:r>
      <w:r w:rsidRPr="00E132F0">
        <w:tab/>
        <w:t xml:space="preserve">Encarrega a sua Presidente de declarar o orçamento retificativo n.º 1/2026 definitivamente aprovado e de prover à respetiva publicação no </w:t>
      </w:r>
      <w:r w:rsidRPr="00E132F0">
        <w:rPr>
          <w:i/>
          <w:iCs/>
        </w:rPr>
        <w:t>Jornal Oficial da União Europeia</w:t>
      </w:r>
      <w:r w:rsidRPr="00E132F0">
        <w:t>;</w:t>
      </w:r>
    </w:p>
    <w:p w14:paraId="7EEAD691" w14:textId="16CE3E28" w:rsidR="00C062E8" w:rsidRPr="00E132F0" w:rsidRDefault="00D94A32" w:rsidP="00C062E8">
      <w:pPr>
        <w:pStyle w:val="NormalHanging12a"/>
      </w:pPr>
      <w:r w:rsidRPr="00E132F0">
        <w:t>10.</w:t>
      </w:r>
      <w:r w:rsidRPr="00E132F0">
        <w:tab/>
        <w:t>Encarrega a sua Presidente de transmitir a presente resolução ao Conselho e à Comissão, às restantes Instituições e aos órgãos interessados, bem como aos parlamentos nacionais.</w:t>
      </w:r>
    </w:p>
    <w:p w14:paraId="4A63F2F4" w14:textId="1BD15A0A" w:rsidR="00E365E1" w:rsidRPr="00E132F0" w:rsidRDefault="00E365E1" w:rsidP="00FA3880"/>
    <w:sectPr w:rsidR="00E365E1" w:rsidRPr="00E132F0" w:rsidSect="00C062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C40DF" w14:textId="77777777" w:rsidR="00FA3880" w:rsidRPr="00C062E8" w:rsidRDefault="00FA3880">
      <w:r w:rsidRPr="00C062E8">
        <w:separator/>
      </w:r>
    </w:p>
  </w:endnote>
  <w:endnote w:type="continuationSeparator" w:id="0">
    <w:p w14:paraId="39372BA0" w14:textId="77777777" w:rsidR="00FA3880" w:rsidRPr="00C062E8" w:rsidRDefault="00FA3880">
      <w:r w:rsidRPr="00C062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90819" w14:textId="77777777" w:rsidR="00064002" w:rsidRPr="00C062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B1461" w14:textId="77777777" w:rsidR="00064002" w:rsidRPr="00C062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318E" w14:textId="77777777" w:rsidR="00064002" w:rsidRPr="00C062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502C0" w14:textId="77777777" w:rsidR="00FA3880" w:rsidRPr="00C062E8" w:rsidRDefault="00FA3880">
      <w:r w:rsidRPr="00C062E8">
        <w:separator/>
      </w:r>
    </w:p>
  </w:footnote>
  <w:footnote w:type="continuationSeparator" w:id="0">
    <w:p w14:paraId="39D40F16" w14:textId="77777777" w:rsidR="00FA3880" w:rsidRPr="00C062E8" w:rsidRDefault="00FA3880">
      <w:r w:rsidRPr="00C062E8">
        <w:continuationSeparator/>
      </w:r>
    </w:p>
  </w:footnote>
  <w:footnote w:id="1">
    <w:p w14:paraId="4FA297A8" w14:textId="6E71F3CC" w:rsidR="00D94A32" w:rsidRPr="006E73D8" w:rsidRDefault="00D94A32" w:rsidP="00C062E8">
      <w:pPr>
        <w:pStyle w:val="FootnoteText"/>
        <w:ind w:left="567" w:hanging="567"/>
        <w:rPr>
          <w:sz w:val="24"/>
          <w:lang w:val="fi-FI"/>
        </w:rPr>
      </w:pPr>
      <w:r w:rsidRPr="00C062E8">
        <w:rPr>
          <w:rStyle w:val="FootnoteReference"/>
          <w:sz w:val="24"/>
          <w:lang w:val="pt-PT"/>
        </w:rPr>
        <w:footnoteRef/>
      </w:r>
      <w:r w:rsidR="00C062E8" w:rsidRPr="006E73D8">
        <w:rPr>
          <w:sz w:val="24"/>
          <w:lang w:val="fi-FI"/>
        </w:rPr>
        <w:t xml:space="preserve"> </w:t>
      </w:r>
      <w:r w:rsidR="00C062E8" w:rsidRPr="006E73D8">
        <w:rPr>
          <w:sz w:val="24"/>
          <w:lang w:val="fi-FI"/>
        </w:rPr>
        <w:tab/>
      </w:r>
      <w:r w:rsidRPr="006E73D8">
        <w:rPr>
          <w:sz w:val="24"/>
          <w:lang w:val="fi-FI"/>
        </w:rPr>
        <w:t xml:space="preserve">JO L, 2024/2509, 26.9.2024, ELI: </w:t>
      </w:r>
      <w:hyperlink r:id="rId1" w:tooltip="http://data.europa.eu/eli/reg/2024/2509/oj" w:history="1">
        <w:r w:rsidRPr="006E73D8">
          <w:rPr>
            <w:rStyle w:val="Hyperlink"/>
            <w:sz w:val="24"/>
            <w:lang w:val="fi-FI"/>
          </w:rPr>
          <w:t>http://data.europa.eu/eli/reg/2024/2509/oj</w:t>
        </w:r>
      </w:hyperlink>
      <w:r w:rsidRPr="006E73D8">
        <w:rPr>
          <w:sz w:val="24"/>
          <w:lang w:val="fi-FI"/>
        </w:rPr>
        <w:t>.</w:t>
      </w:r>
    </w:p>
  </w:footnote>
  <w:footnote w:id="2">
    <w:p w14:paraId="2BA0E219" w14:textId="1729DBCB" w:rsidR="00D94A32" w:rsidRPr="006E73D8" w:rsidRDefault="00D94A32" w:rsidP="00C062E8">
      <w:pPr>
        <w:pStyle w:val="FootnoteText"/>
        <w:ind w:left="567" w:hanging="567"/>
        <w:rPr>
          <w:sz w:val="24"/>
          <w:lang w:val="fi-FI"/>
        </w:rPr>
      </w:pPr>
      <w:r w:rsidRPr="00C062E8">
        <w:rPr>
          <w:rStyle w:val="FootnoteReference"/>
          <w:sz w:val="24"/>
          <w:lang w:val="pt-PT"/>
        </w:rPr>
        <w:footnoteRef/>
      </w:r>
      <w:r w:rsidR="00C062E8" w:rsidRPr="006E73D8">
        <w:rPr>
          <w:sz w:val="24"/>
          <w:lang w:val="fi-FI"/>
        </w:rPr>
        <w:t xml:space="preserve"> </w:t>
      </w:r>
      <w:r w:rsidR="00C062E8" w:rsidRPr="006E73D8">
        <w:rPr>
          <w:sz w:val="24"/>
          <w:lang w:val="fi-FI"/>
        </w:rPr>
        <w:tab/>
      </w:r>
      <w:r w:rsidRPr="006E73D8">
        <w:rPr>
          <w:sz w:val="24"/>
          <w:lang w:val="fi-FI"/>
        </w:rPr>
        <w:t xml:space="preserve">JO L, 2026/72, 26.2.2026, ELI: </w:t>
      </w:r>
      <w:hyperlink r:id="rId2" w:history="1">
        <w:r w:rsidRPr="006E73D8">
          <w:rPr>
            <w:rStyle w:val="Hyperlink"/>
            <w:sz w:val="24"/>
            <w:lang w:val="fi-FI"/>
          </w:rPr>
          <w:t>http://data.europa.eu/eli/budget/2026/72/oj</w:t>
        </w:r>
      </w:hyperlink>
      <w:r w:rsidRPr="006E73D8">
        <w:rPr>
          <w:sz w:val="24"/>
          <w:lang w:val="fi-FI"/>
        </w:rPr>
        <w:t>.</w:t>
      </w:r>
    </w:p>
  </w:footnote>
  <w:footnote w:id="3">
    <w:p w14:paraId="560E994B" w14:textId="5ED3D0A0" w:rsidR="00D94A32" w:rsidRPr="006E73D8" w:rsidRDefault="00D94A32" w:rsidP="00C062E8">
      <w:pPr>
        <w:pStyle w:val="FootnoteText"/>
        <w:ind w:left="567" w:hanging="567"/>
        <w:rPr>
          <w:sz w:val="24"/>
          <w:lang w:val="da-DK"/>
        </w:rPr>
      </w:pPr>
      <w:r w:rsidRPr="00C062E8">
        <w:rPr>
          <w:rStyle w:val="FootnoteReference"/>
          <w:sz w:val="24"/>
          <w:lang w:val="pt-PT"/>
        </w:rPr>
        <w:footnoteRef/>
      </w:r>
      <w:r w:rsidR="00C062E8" w:rsidRPr="006E73D8">
        <w:rPr>
          <w:sz w:val="24"/>
          <w:lang w:val="da-DK"/>
        </w:rPr>
        <w:t xml:space="preserve"> </w:t>
      </w:r>
      <w:r w:rsidR="00C062E8" w:rsidRPr="006E73D8">
        <w:rPr>
          <w:sz w:val="24"/>
          <w:lang w:val="da-DK"/>
        </w:rPr>
        <w:tab/>
      </w:r>
      <w:r w:rsidRPr="006E73D8">
        <w:rPr>
          <w:sz w:val="24"/>
          <w:lang w:val="da-DK"/>
        </w:rPr>
        <w:t xml:space="preserve">JO L 433 I de 22.12.2020, p. 11, ELI: </w:t>
      </w:r>
      <w:hyperlink r:id="rId3" w:history="1">
        <w:r w:rsidRPr="006E73D8">
          <w:rPr>
            <w:rStyle w:val="Hyperlink"/>
            <w:sz w:val="24"/>
            <w:lang w:val="da-DK"/>
          </w:rPr>
          <w:t>http://data.europa.eu/eli/reg/2020/2093/oj</w:t>
        </w:r>
      </w:hyperlink>
      <w:r w:rsidRPr="006E73D8">
        <w:rPr>
          <w:sz w:val="24"/>
          <w:lang w:val="da-DK"/>
        </w:rPr>
        <w:t>.</w:t>
      </w:r>
    </w:p>
  </w:footnote>
  <w:footnote w:id="4">
    <w:p w14:paraId="091BC5A4" w14:textId="737AEFA2" w:rsidR="00D94A32" w:rsidRPr="006E73D8" w:rsidRDefault="00D94A32" w:rsidP="00C062E8">
      <w:pPr>
        <w:pStyle w:val="FootnoteText"/>
        <w:ind w:left="567" w:hanging="567"/>
        <w:rPr>
          <w:sz w:val="24"/>
          <w:lang w:val="fi-FI"/>
        </w:rPr>
      </w:pPr>
      <w:r w:rsidRPr="00C062E8">
        <w:rPr>
          <w:rStyle w:val="FootnoteReference"/>
          <w:sz w:val="24"/>
          <w:lang w:val="pt-PT"/>
        </w:rPr>
        <w:footnoteRef/>
      </w:r>
      <w:r w:rsidR="00C062E8" w:rsidRPr="006E73D8">
        <w:rPr>
          <w:sz w:val="24"/>
          <w:lang w:val="fi-FI"/>
        </w:rPr>
        <w:t xml:space="preserve"> </w:t>
      </w:r>
      <w:r w:rsidR="00C062E8" w:rsidRPr="006E73D8">
        <w:rPr>
          <w:sz w:val="24"/>
          <w:lang w:val="fi-FI"/>
        </w:rPr>
        <w:tab/>
      </w:r>
      <w:r w:rsidRPr="006E73D8">
        <w:rPr>
          <w:sz w:val="24"/>
          <w:lang w:val="fi-FI"/>
        </w:rPr>
        <w:t xml:space="preserve">JO L, 2024/765, 29.2.2024, ELI: </w:t>
      </w:r>
      <w:hyperlink r:id="rId4" w:history="1">
        <w:r w:rsidRPr="006E73D8">
          <w:rPr>
            <w:rStyle w:val="Hyperlink"/>
            <w:sz w:val="24"/>
            <w:lang w:val="fi-FI"/>
          </w:rPr>
          <w:t>http://data.europa.eu/eli/reg/2024/765/oj</w:t>
        </w:r>
      </w:hyperlink>
      <w:r w:rsidRPr="006E73D8">
        <w:rPr>
          <w:sz w:val="24"/>
          <w:lang w:val="fi-FI"/>
        </w:rPr>
        <w:t>.</w:t>
      </w:r>
    </w:p>
  </w:footnote>
  <w:footnote w:id="5">
    <w:p w14:paraId="0979CD91" w14:textId="3D3F324D" w:rsidR="00D94A32" w:rsidRPr="006E73D8" w:rsidRDefault="00D94A32" w:rsidP="00C062E8">
      <w:pPr>
        <w:pStyle w:val="FootnoteText"/>
        <w:ind w:left="567" w:hanging="567"/>
        <w:rPr>
          <w:sz w:val="24"/>
          <w:lang w:val="fi-FI"/>
        </w:rPr>
      </w:pPr>
      <w:r w:rsidRPr="00C062E8">
        <w:rPr>
          <w:rStyle w:val="FootnoteReference"/>
          <w:sz w:val="24"/>
          <w:lang w:val="pt-PT"/>
        </w:rPr>
        <w:footnoteRef/>
      </w:r>
      <w:r w:rsidR="00C062E8" w:rsidRPr="006E73D8">
        <w:rPr>
          <w:sz w:val="24"/>
          <w:lang w:val="fi-FI"/>
        </w:rPr>
        <w:t xml:space="preserve"> </w:t>
      </w:r>
      <w:r w:rsidR="00C062E8" w:rsidRPr="006E73D8">
        <w:rPr>
          <w:sz w:val="24"/>
          <w:lang w:val="fi-FI"/>
        </w:rPr>
        <w:tab/>
      </w:r>
      <w:r w:rsidRPr="006E73D8">
        <w:rPr>
          <w:sz w:val="24"/>
          <w:lang w:val="fi-FI"/>
        </w:rPr>
        <w:t xml:space="preserve">JO L 433 de 22.12.2020, p. 28, ELI: </w:t>
      </w:r>
      <w:hyperlink r:id="rId5" w:history="1">
        <w:r w:rsidRPr="006E73D8">
          <w:rPr>
            <w:rStyle w:val="Hyperlink"/>
            <w:sz w:val="24"/>
            <w:lang w:val="fi-FI"/>
          </w:rPr>
          <w:t>http://data.europa.eu/eli/agree_interinstit/2020/1222/oj</w:t>
        </w:r>
      </w:hyperlink>
    </w:p>
  </w:footnote>
  <w:footnote w:id="6">
    <w:p w14:paraId="20CFF4DE" w14:textId="1E45161B" w:rsidR="00D94A32" w:rsidRPr="006E73D8" w:rsidRDefault="00D94A32" w:rsidP="00C062E8">
      <w:pPr>
        <w:pStyle w:val="FootnoteText"/>
        <w:ind w:left="567" w:hanging="567"/>
        <w:rPr>
          <w:sz w:val="24"/>
          <w:lang w:val="fi-FI"/>
        </w:rPr>
      </w:pPr>
      <w:r w:rsidRPr="00C062E8">
        <w:rPr>
          <w:rStyle w:val="FootnoteReference"/>
          <w:sz w:val="24"/>
          <w:lang w:val="pt-PT"/>
        </w:rPr>
        <w:footnoteRef/>
      </w:r>
      <w:r w:rsidR="00C062E8" w:rsidRPr="006E73D8">
        <w:rPr>
          <w:sz w:val="24"/>
          <w:lang w:val="fi-FI"/>
        </w:rPr>
        <w:t xml:space="preserve"> </w:t>
      </w:r>
      <w:r w:rsidR="00C062E8" w:rsidRPr="006E73D8">
        <w:rPr>
          <w:sz w:val="24"/>
          <w:lang w:val="fi-FI"/>
        </w:rPr>
        <w:tab/>
      </w:r>
      <w:r w:rsidRPr="006E73D8">
        <w:rPr>
          <w:sz w:val="24"/>
          <w:lang w:val="fi-FI"/>
        </w:rPr>
        <w:t xml:space="preserve">JO L 424 de 15.12.2020, p. 1, ELI: </w:t>
      </w:r>
      <w:hyperlink r:id="rId6" w:history="1">
        <w:r w:rsidRPr="006E73D8">
          <w:rPr>
            <w:rStyle w:val="Hyperlink"/>
            <w:sz w:val="24"/>
            <w:lang w:val="fi-FI"/>
          </w:rPr>
          <w:t>http://data.europa.eu/eli/dec/2020/2053/oj</w:t>
        </w:r>
      </w:hyperlink>
      <w:r w:rsidRPr="006E73D8">
        <w:rPr>
          <w:sz w:val="24"/>
          <w:lang w:val="fi-FI"/>
        </w:rPr>
        <w:t>.</w:t>
      </w:r>
    </w:p>
  </w:footnote>
  <w:footnote w:id="7">
    <w:p w14:paraId="64F19D2C" w14:textId="2113D0DE" w:rsidR="00D94A32" w:rsidRPr="00C062E8" w:rsidRDefault="00D94A32" w:rsidP="00C062E8">
      <w:pPr>
        <w:pStyle w:val="FootnoteText"/>
        <w:ind w:left="567" w:hanging="567"/>
        <w:rPr>
          <w:sz w:val="24"/>
          <w:lang w:val="pt-PT"/>
        </w:rPr>
      </w:pPr>
      <w:r w:rsidRPr="00C062E8">
        <w:rPr>
          <w:rStyle w:val="FootnoteReference"/>
          <w:sz w:val="24"/>
          <w:lang w:val="pt-PT"/>
        </w:rPr>
        <w:footnoteRef/>
      </w:r>
      <w:r w:rsidR="00C062E8" w:rsidRPr="00C062E8">
        <w:rPr>
          <w:sz w:val="24"/>
          <w:lang w:val="pt-PT"/>
        </w:rPr>
        <w:t xml:space="preserve"> </w:t>
      </w:r>
      <w:r w:rsidR="00C062E8" w:rsidRPr="00C062E8">
        <w:rPr>
          <w:sz w:val="24"/>
          <w:lang w:val="pt-PT"/>
        </w:rPr>
        <w:tab/>
      </w:r>
      <w:r w:rsidRPr="00C062E8">
        <w:rPr>
          <w:sz w:val="24"/>
          <w:lang w:val="pt-PT"/>
        </w:rPr>
        <w:t xml:space="preserve">Textos Aprovados, </w:t>
      </w:r>
      <w:hyperlink r:id="rId7" w:history="1">
        <w:r w:rsidRPr="00C062E8">
          <w:rPr>
            <w:rStyle w:val="Hyperlink"/>
            <w:sz w:val="24"/>
            <w:lang w:val="pt-PT"/>
          </w:rPr>
          <w:t>P10_</w:t>
        </w:r>
        <w:proofErr w:type="gramStart"/>
        <w:r w:rsidRPr="00C062E8">
          <w:rPr>
            <w:rStyle w:val="Hyperlink"/>
            <w:sz w:val="24"/>
            <w:lang w:val="pt-PT"/>
          </w:rPr>
          <w:t>TA(</w:t>
        </w:r>
        <w:proofErr w:type="gramEnd"/>
        <w:r w:rsidRPr="00C062E8">
          <w:rPr>
            <w:rStyle w:val="Hyperlink"/>
            <w:sz w:val="24"/>
            <w:lang w:val="pt-PT"/>
          </w:rPr>
          <w:t>2026)0111</w:t>
        </w:r>
      </w:hyperlink>
      <w:r w:rsidRPr="00C062E8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B7A6F" w14:textId="77777777" w:rsidR="00064002" w:rsidRPr="00C062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CF80D" w14:textId="77777777" w:rsidR="00064002" w:rsidRPr="00C062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48320" w14:textId="77777777" w:rsidR="00064002" w:rsidRPr="00C062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9908960">
    <w:abstractNumId w:val="9"/>
  </w:num>
  <w:num w:numId="2" w16cid:durableId="525292076">
    <w:abstractNumId w:val="9"/>
  </w:num>
  <w:num w:numId="3" w16cid:durableId="20326140">
    <w:abstractNumId w:val="7"/>
  </w:num>
  <w:num w:numId="4" w16cid:durableId="302539748">
    <w:abstractNumId w:val="7"/>
  </w:num>
  <w:num w:numId="5" w16cid:durableId="184951350">
    <w:abstractNumId w:val="6"/>
  </w:num>
  <w:num w:numId="6" w16cid:durableId="191192896">
    <w:abstractNumId w:val="6"/>
  </w:num>
  <w:num w:numId="7" w16cid:durableId="811556413">
    <w:abstractNumId w:val="5"/>
  </w:num>
  <w:num w:numId="8" w16cid:durableId="485242014">
    <w:abstractNumId w:val="5"/>
  </w:num>
  <w:num w:numId="9" w16cid:durableId="1314019666">
    <w:abstractNumId w:val="4"/>
  </w:num>
  <w:num w:numId="10" w16cid:durableId="16931881">
    <w:abstractNumId w:val="4"/>
  </w:num>
  <w:num w:numId="11" w16cid:durableId="590087399">
    <w:abstractNumId w:val="8"/>
  </w:num>
  <w:num w:numId="12" w16cid:durableId="1568496903">
    <w:abstractNumId w:val="8"/>
  </w:num>
  <w:num w:numId="13" w16cid:durableId="1727533738">
    <w:abstractNumId w:val="3"/>
  </w:num>
  <w:num w:numId="14" w16cid:durableId="199242336">
    <w:abstractNumId w:val="3"/>
  </w:num>
  <w:num w:numId="15" w16cid:durableId="2037072268">
    <w:abstractNumId w:val="2"/>
  </w:num>
  <w:num w:numId="16" w16cid:durableId="1925844493">
    <w:abstractNumId w:val="2"/>
  </w:num>
  <w:num w:numId="17" w16cid:durableId="212935886">
    <w:abstractNumId w:val="1"/>
  </w:num>
  <w:num w:numId="18" w16cid:durableId="766736245">
    <w:abstractNumId w:val="1"/>
  </w:num>
  <w:num w:numId="19" w16cid:durableId="1430588208">
    <w:abstractNumId w:val="0"/>
  </w:num>
  <w:num w:numId="20" w16cid:durableId="1479960838">
    <w:abstractNumId w:val="0"/>
  </w:num>
  <w:num w:numId="21" w16cid:durableId="1920557078">
    <w:abstractNumId w:val="9"/>
  </w:num>
  <w:num w:numId="22" w16cid:durableId="395977545">
    <w:abstractNumId w:val="7"/>
  </w:num>
  <w:num w:numId="23" w16cid:durableId="780881583">
    <w:abstractNumId w:val="6"/>
  </w:num>
  <w:num w:numId="24" w16cid:durableId="916130871">
    <w:abstractNumId w:val="5"/>
  </w:num>
  <w:num w:numId="25" w16cid:durableId="1497725362">
    <w:abstractNumId w:val="4"/>
  </w:num>
  <w:num w:numId="26" w16cid:durableId="753287292">
    <w:abstractNumId w:val="8"/>
  </w:num>
  <w:num w:numId="27" w16cid:durableId="1055857606">
    <w:abstractNumId w:val="3"/>
  </w:num>
  <w:num w:numId="28" w16cid:durableId="644356064">
    <w:abstractNumId w:val="2"/>
  </w:num>
  <w:num w:numId="29" w16cid:durableId="1036005229">
    <w:abstractNumId w:val="1"/>
  </w:num>
  <w:num w:numId="30" w16cid:durableId="612715370">
    <w:abstractNumId w:val="0"/>
  </w:num>
  <w:num w:numId="31" w16cid:durableId="910504130">
    <w:abstractNumId w:val="9"/>
  </w:num>
  <w:num w:numId="32" w16cid:durableId="569853414">
    <w:abstractNumId w:val="7"/>
  </w:num>
  <w:num w:numId="33" w16cid:durableId="1869368957">
    <w:abstractNumId w:val="6"/>
  </w:num>
  <w:num w:numId="34" w16cid:durableId="73741711">
    <w:abstractNumId w:val="5"/>
  </w:num>
  <w:num w:numId="35" w16cid:durableId="240599264">
    <w:abstractNumId w:val="4"/>
  </w:num>
  <w:num w:numId="36" w16cid:durableId="1517503611">
    <w:abstractNumId w:val="8"/>
  </w:num>
  <w:num w:numId="37" w16cid:durableId="808204486">
    <w:abstractNumId w:val="3"/>
  </w:num>
  <w:num w:numId="38" w16cid:durableId="943851197">
    <w:abstractNumId w:val="2"/>
  </w:num>
  <w:num w:numId="39" w16cid:durableId="952982069">
    <w:abstractNumId w:val="1"/>
  </w:num>
  <w:num w:numId="40" w16cid:durableId="1162431857">
    <w:abstractNumId w:val="0"/>
  </w:num>
  <w:num w:numId="41" w16cid:durableId="515851854">
    <w:abstractNumId w:val="10"/>
  </w:num>
  <w:num w:numId="42" w16cid:durableId="1574197509">
    <w:abstractNumId w:val="10"/>
  </w:num>
  <w:num w:numId="43" w16cid:durableId="332531867">
    <w:abstractNumId w:val="10"/>
  </w:num>
  <w:num w:numId="44" w16cid:durableId="9067686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6"/>
    <w:docVar w:name="dvlangue" w:val="PT"/>
    <w:docVar w:name="dvnumam" w:val="0"/>
    <w:docVar w:name="dvpe" w:val="787.947"/>
    <w:docVar w:name="dvrapporteur" w:val="Relator: "/>
    <w:docVar w:name="dvtitre" w:val="Resolução do Parlamento Europeu, de ... de ... de 2026,_x000d__x000a_ referente à posição do Conselho sobre o projeto de orçamento retificativo n.º 1/2026 da União Europeia para o exercício de 2026, que inscreve o excedente do exercício de 2025(09919/2026 – C10-0145/2026 – 2026/0090(BUD))"/>
  </w:docVars>
  <w:rsids>
    <w:rsidRoot w:val="00FA3880"/>
    <w:rsid w:val="00002272"/>
    <w:rsid w:val="00064002"/>
    <w:rsid w:val="000677B9"/>
    <w:rsid w:val="000831BA"/>
    <w:rsid w:val="000A42CC"/>
    <w:rsid w:val="000E7DD9"/>
    <w:rsid w:val="0010095E"/>
    <w:rsid w:val="00125B37"/>
    <w:rsid w:val="001576F7"/>
    <w:rsid w:val="00187494"/>
    <w:rsid w:val="001F32AE"/>
    <w:rsid w:val="001F463D"/>
    <w:rsid w:val="0024718F"/>
    <w:rsid w:val="002767FF"/>
    <w:rsid w:val="002B18FE"/>
    <w:rsid w:val="002B5493"/>
    <w:rsid w:val="00332D52"/>
    <w:rsid w:val="00343214"/>
    <w:rsid w:val="00361C00"/>
    <w:rsid w:val="00385BF9"/>
    <w:rsid w:val="00395FA1"/>
    <w:rsid w:val="003E15D4"/>
    <w:rsid w:val="00411CCE"/>
    <w:rsid w:val="0041666E"/>
    <w:rsid w:val="00421060"/>
    <w:rsid w:val="00471C19"/>
    <w:rsid w:val="00477F7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73D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525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2E8"/>
    <w:rsid w:val="00C23CD4"/>
    <w:rsid w:val="00C61C0C"/>
    <w:rsid w:val="00C665AF"/>
    <w:rsid w:val="00C941CB"/>
    <w:rsid w:val="00CC2357"/>
    <w:rsid w:val="00CF071A"/>
    <w:rsid w:val="00D058B8"/>
    <w:rsid w:val="00D56C11"/>
    <w:rsid w:val="00D834A0"/>
    <w:rsid w:val="00D872DF"/>
    <w:rsid w:val="00D91E21"/>
    <w:rsid w:val="00D94A32"/>
    <w:rsid w:val="00DA7FCD"/>
    <w:rsid w:val="00DC5B9F"/>
    <w:rsid w:val="00DF57DB"/>
    <w:rsid w:val="00E132F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88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EB7B00"/>
  <w15:chartTrackingRefBased/>
  <w15:docId w15:val="{19CA677E-6290-4AF4-83FC-088C7636A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R,FR1,FR2,FR3,Footnote,Footnote Reference Number,Footnote number,Footnote reference number,Footnote symbol,Footnotemark,Footnotemark1,Footnotemark2,Footnotemark3,Footnotemark4,Times 10 Point,Voetnootverwijzing,fr,o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94A32"/>
    <w:pPr>
      <w:spacing w:before="480" w:after="240"/>
    </w:pPr>
  </w:style>
  <w:style w:type="paragraph" w:customStyle="1" w:styleId="NormalHanging12a">
    <w:name w:val="NormalHanging12a"/>
    <w:basedOn w:val="Normal"/>
    <w:rsid w:val="00D94A32"/>
    <w:pPr>
      <w:spacing w:after="240"/>
      <w:ind w:left="567" w:hanging="567"/>
    </w:pPr>
  </w:style>
  <w:style w:type="character" w:styleId="Hyperlink">
    <w:name w:val="Hyperlink"/>
    <w:basedOn w:val="DefaultParagraphFont"/>
    <w:rsid w:val="00D94A3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4718F"/>
    <w:rPr>
      <w:sz w:val="24"/>
      <w:lang w:val="pt-PT"/>
    </w:rPr>
  </w:style>
  <w:style w:type="character" w:styleId="CommentReference">
    <w:name w:val="annotation reference"/>
    <w:basedOn w:val="DefaultParagraphFont"/>
    <w:rsid w:val="00385B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5BF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85BF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85B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5BF9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385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7" Type="http://schemas.openxmlformats.org/officeDocument/2006/relationships/hyperlink" Target="https://www.europarl.europa.eu/doceo/document/TA-10-2026-0111_PT.html" TargetMode="External"/><Relationship Id="rId2" Type="http://schemas.openxmlformats.org/officeDocument/2006/relationships/hyperlink" Target="http://data.europa.eu/eli/budget/2026/72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dec/2020/2053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1259</Words>
  <Characters>6711</Characters>
  <Application>Microsoft Office Word</Application>
  <DocSecurity>0</DocSecurity>
  <Lines>372</Lines>
  <Paragraphs>257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2026-07-07T12:28:00Z</dcterms:created>
  <dcterms:modified xsi:type="dcterms:W3CDTF">2026-07-07T12:28:00Z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A10-0180/2026</vt:lpwstr>
  </property>
  <property fmtid="{D5CDD505-2E9C-101B-9397-08002B2CF9AE}" pid="4" name="&lt;Type&gt;">
    <vt:lpwstr>RR</vt:lpwstr>
  </property>
</Properties>
</file>