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7BDB" w14:paraId="0ABBCFD6" w14:textId="77777777" w:rsidTr="0010095E">
        <w:trPr>
          <w:trHeight w:hRule="exact" w:val="1418"/>
        </w:trPr>
        <w:tc>
          <w:tcPr>
            <w:tcW w:w="6804" w:type="dxa"/>
            <w:shd w:val="clear" w:color="auto" w:fill="auto"/>
            <w:vAlign w:val="center"/>
          </w:tcPr>
          <w:p w14:paraId="4C8F305B" w14:textId="77777777" w:rsidR="00751A4A" w:rsidRPr="00B07BDB" w:rsidRDefault="002C1AD7" w:rsidP="0010095E">
            <w:pPr>
              <w:pStyle w:val="EPName"/>
            </w:pPr>
            <w:r w:rsidRPr="00B07BDB">
              <w:t>Parlamentul European</w:t>
            </w:r>
          </w:p>
          <w:p w14:paraId="2C3EE9E7" w14:textId="77777777" w:rsidR="00751A4A" w:rsidRPr="00B07BDB" w:rsidRDefault="005F1B17" w:rsidP="005F1B17">
            <w:pPr>
              <w:pStyle w:val="EPTerm"/>
              <w:rPr>
                <w:rStyle w:val="HideTWBExt"/>
                <w:noProof w:val="0"/>
                <w:vanish w:val="0"/>
                <w:color w:val="auto"/>
              </w:rPr>
            </w:pPr>
            <w:r w:rsidRPr="00B07BDB">
              <w:t>2024</w:t>
            </w:r>
            <w:r w:rsidR="00817416" w:rsidRPr="00B07BDB">
              <w:t>-202</w:t>
            </w:r>
            <w:r w:rsidRPr="00B07BDB">
              <w:t>9</w:t>
            </w:r>
          </w:p>
        </w:tc>
        <w:tc>
          <w:tcPr>
            <w:tcW w:w="2268" w:type="dxa"/>
            <w:shd w:val="clear" w:color="auto" w:fill="auto"/>
          </w:tcPr>
          <w:p w14:paraId="04A00A67" w14:textId="77777777" w:rsidR="00751A4A" w:rsidRPr="00B07BDB" w:rsidRDefault="00187494" w:rsidP="0010095E">
            <w:pPr>
              <w:pStyle w:val="EPLogo"/>
            </w:pPr>
            <w:r w:rsidRPr="00B07BDB">
              <w:rPr>
                <w:noProof/>
                <w:lang w:eastAsia="ja-JP"/>
              </w:rPr>
              <w:drawing>
                <wp:inline distT="0" distB="0" distL="0" distR="0" wp14:anchorId="532D2630" wp14:editId="061ED7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2103FB" w14:textId="77777777" w:rsidR="00D058B8" w:rsidRPr="00B07BDB" w:rsidRDefault="00D058B8" w:rsidP="004C5D52">
      <w:pPr>
        <w:pStyle w:val="LineTop"/>
      </w:pPr>
    </w:p>
    <w:p w14:paraId="27A299B7" w14:textId="77777777" w:rsidR="00680577" w:rsidRPr="00B07BDB" w:rsidRDefault="002C1AD7" w:rsidP="00680577">
      <w:pPr>
        <w:pStyle w:val="EPBodyTA1"/>
      </w:pPr>
      <w:r w:rsidRPr="00B07BDB">
        <w:t>TEXTE ADOPTATE</w:t>
      </w:r>
    </w:p>
    <w:p w14:paraId="23EFB9AE" w14:textId="77777777" w:rsidR="00D058B8" w:rsidRPr="00B07BDB" w:rsidRDefault="00D058B8" w:rsidP="00D058B8">
      <w:pPr>
        <w:pStyle w:val="LineBottom"/>
      </w:pPr>
    </w:p>
    <w:p w14:paraId="3EB30487" w14:textId="4FAE4491" w:rsidR="002C1AD7" w:rsidRPr="00B07BDB" w:rsidRDefault="002C1AD7" w:rsidP="002C1AD7">
      <w:pPr>
        <w:pStyle w:val="ATHeading1"/>
      </w:pPr>
      <w:bookmarkStart w:id="0" w:name="TANumber"/>
      <w:r w:rsidRPr="00B07BDB">
        <w:t>P10_TA(2026)0</w:t>
      </w:r>
      <w:r w:rsidR="00B07BDB" w:rsidRPr="00B07BDB">
        <w:t>242</w:t>
      </w:r>
      <w:bookmarkEnd w:id="0"/>
    </w:p>
    <w:p w14:paraId="74C19159" w14:textId="77777777" w:rsidR="002C1AD7" w:rsidRPr="00B07BDB" w:rsidRDefault="002C1AD7" w:rsidP="002C1AD7">
      <w:pPr>
        <w:pStyle w:val="ATHeading2"/>
      </w:pPr>
      <w:bookmarkStart w:id="1" w:name="title"/>
      <w:r w:rsidRPr="00B07BDB">
        <w:t>Proiectul de buget rectificativ nr. 1/2026: înregistrarea excedentului aferent exercițiului financiar 2025</w:t>
      </w:r>
      <w:bookmarkEnd w:id="1"/>
    </w:p>
    <w:p w14:paraId="40F1E929" w14:textId="77777777" w:rsidR="002C1AD7" w:rsidRPr="00B07BDB" w:rsidRDefault="002C1AD7" w:rsidP="002C1AD7">
      <w:pPr>
        <w:rPr>
          <w:i/>
          <w:vanish/>
        </w:rPr>
      </w:pPr>
      <w:r w:rsidRPr="00B07BDB">
        <w:rPr>
          <w:i/>
        </w:rPr>
        <w:fldChar w:fldCharType="begin"/>
      </w:r>
      <w:r w:rsidRPr="00B07BDB">
        <w:rPr>
          <w:i/>
        </w:rPr>
        <w:instrText xml:space="preserve"> TC"(</w:instrText>
      </w:r>
      <w:bookmarkStart w:id="2" w:name="DocNumber"/>
      <w:r w:rsidRPr="00B07BDB">
        <w:rPr>
          <w:i/>
        </w:rPr>
        <w:instrText>A10-0180/2026</w:instrText>
      </w:r>
      <w:bookmarkEnd w:id="2"/>
      <w:r w:rsidRPr="00B07BDB">
        <w:rPr>
          <w:i/>
        </w:rPr>
        <w:instrText xml:space="preserve"> - Raportor: Andrzej Halicki)"\l3 \n&gt; \* MERGEFORMAT </w:instrText>
      </w:r>
      <w:r w:rsidRPr="00B07BDB">
        <w:rPr>
          <w:i/>
        </w:rPr>
        <w:fldChar w:fldCharType="end"/>
      </w:r>
    </w:p>
    <w:p w14:paraId="1B8A9E0B" w14:textId="77777777" w:rsidR="002C1AD7" w:rsidRPr="00B07BDB" w:rsidRDefault="002C1AD7" w:rsidP="002C1AD7">
      <w:pPr>
        <w:rPr>
          <w:vanish/>
        </w:rPr>
      </w:pPr>
      <w:bookmarkStart w:id="3" w:name="Commission"/>
      <w:r w:rsidRPr="00B07BDB">
        <w:rPr>
          <w:vanish/>
        </w:rPr>
        <w:t>Comisia pentru bugete</w:t>
      </w:r>
      <w:bookmarkEnd w:id="3"/>
    </w:p>
    <w:p w14:paraId="2FDDBECC" w14:textId="77777777" w:rsidR="002C1AD7" w:rsidRPr="00B07BDB" w:rsidRDefault="002C1AD7" w:rsidP="002C1AD7">
      <w:pPr>
        <w:rPr>
          <w:vanish/>
        </w:rPr>
      </w:pPr>
      <w:bookmarkStart w:id="4" w:name="PE"/>
      <w:r w:rsidRPr="00B07BDB">
        <w:rPr>
          <w:vanish/>
        </w:rPr>
        <w:t>PE787.947</w:t>
      </w:r>
      <w:bookmarkEnd w:id="4"/>
    </w:p>
    <w:p w14:paraId="68ED77CA" w14:textId="77777777" w:rsidR="002C1AD7" w:rsidRPr="00B07BDB" w:rsidRDefault="002C1AD7" w:rsidP="002C1AD7">
      <w:pPr>
        <w:pStyle w:val="ATHeading3"/>
      </w:pPr>
      <w:bookmarkStart w:id="5" w:name="Sujet"/>
      <w:r w:rsidRPr="00B07BDB">
        <w:t>Rezoluția Parlamentului European din 7 iulie 2026 referitoare la poziția Consiliului privind proiectul de buget rectificativ nr. 1/2026 al Uniunii Europene pentru exercițiul financiar 2026, de înregistrare a excedentului aferent exercițiului financiar 2025</w:t>
      </w:r>
      <w:bookmarkEnd w:id="5"/>
      <w:r w:rsidRPr="00B07BDB">
        <w:t xml:space="preserve"> </w:t>
      </w:r>
      <w:bookmarkStart w:id="6" w:name="References"/>
      <w:r w:rsidRPr="00B07BDB">
        <w:t>(09919/2026 – C10-0145/2026 – 2026/0090(BUD))</w:t>
      </w:r>
      <w:bookmarkEnd w:id="6"/>
    </w:p>
    <w:p w14:paraId="2D641FE9" w14:textId="77777777" w:rsidR="00066EEC" w:rsidRPr="00B07BDB" w:rsidRDefault="00066EEC" w:rsidP="00066EEC">
      <w:pPr>
        <w:pStyle w:val="EPComma"/>
      </w:pPr>
      <w:bookmarkStart w:id="7" w:name="TextBodyBegin"/>
      <w:bookmarkEnd w:id="7"/>
      <w:r w:rsidRPr="00B07BDB">
        <w:rPr>
          <w:i/>
        </w:rPr>
        <w:t>Parlamentul European</w:t>
      </w:r>
      <w:r w:rsidRPr="00B07BDB">
        <w:t>,</w:t>
      </w:r>
    </w:p>
    <w:p w14:paraId="75290874" w14:textId="77777777" w:rsidR="00066EEC" w:rsidRPr="00B07BDB" w:rsidRDefault="00066EEC" w:rsidP="00066EEC">
      <w:pPr>
        <w:pStyle w:val="NormalHanging12a"/>
      </w:pPr>
      <w:r w:rsidRPr="00B07BDB">
        <w:t>–</w:t>
      </w:r>
      <w:r w:rsidRPr="00B07BDB">
        <w:tab/>
        <w:t>având în vedere articolul 314 din Tratatul privind funcționarea Uniunii Europene,</w:t>
      </w:r>
    </w:p>
    <w:p w14:paraId="4236500A" w14:textId="77777777" w:rsidR="00066EEC" w:rsidRPr="00B07BDB" w:rsidRDefault="00066EEC" w:rsidP="00066EEC">
      <w:pPr>
        <w:pStyle w:val="NormalHanging12a"/>
      </w:pPr>
      <w:r w:rsidRPr="00B07BDB">
        <w:t>–</w:t>
      </w:r>
      <w:r w:rsidRPr="00B07BDB">
        <w:tab/>
        <w:t>având în vedere articolul 106a din Tratatul de instituire a Comunității Europene a Energiei Atomice,</w:t>
      </w:r>
    </w:p>
    <w:p w14:paraId="38A959E3" w14:textId="77777777" w:rsidR="00066EEC" w:rsidRPr="00B07BDB" w:rsidRDefault="00066EEC" w:rsidP="00066EEC">
      <w:pPr>
        <w:pStyle w:val="NormalHanging12a"/>
      </w:pPr>
      <w:r w:rsidRPr="00B07BDB">
        <w:t>–</w:t>
      </w:r>
      <w:r w:rsidRPr="00B07BDB">
        <w:tab/>
        <w:t>având în vedere Regulamentul (UE, Euratom) 2024/2509 al Parlamentului European și al Consiliului din 23 septembrie 2024 privind normele financiare aplicabile bugetului general al Uniunii</w:t>
      </w:r>
      <w:r w:rsidRPr="00B07BDB">
        <w:rPr>
          <w:rStyle w:val="FootnoteReference"/>
        </w:rPr>
        <w:footnoteReference w:id="1"/>
      </w:r>
      <w:r w:rsidRPr="00B07BDB">
        <w:t>, în special articolul 44,</w:t>
      </w:r>
    </w:p>
    <w:p w14:paraId="53EA3387" w14:textId="77777777" w:rsidR="00066EEC" w:rsidRPr="00B07BDB" w:rsidRDefault="00066EEC" w:rsidP="00066EEC">
      <w:pPr>
        <w:pStyle w:val="NormalHanging12a"/>
      </w:pPr>
      <w:r w:rsidRPr="00B07BDB">
        <w:t>–</w:t>
      </w:r>
      <w:r w:rsidRPr="00B07BDB">
        <w:tab/>
        <w:t>având în vedere bugetul general al Uniunii Europene pentru exercițiul financiar 2026, adoptat definitiv la 26 noiembrie 2025</w:t>
      </w:r>
      <w:r w:rsidRPr="00B07BDB">
        <w:rPr>
          <w:vertAlign w:val="superscript"/>
        </w:rPr>
        <w:footnoteReference w:id="2"/>
      </w:r>
      <w:r w:rsidRPr="00B07BDB">
        <w:t xml:space="preserve">, </w:t>
      </w:r>
    </w:p>
    <w:p w14:paraId="5AC7A89E" w14:textId="77777777" w:rsidR="00066EEC" w:rsidRPr="00B07BDB" w:rsidRDefault="00066EEC" w:rsidP="00066EEC">
      <w:pPr>
        <w:pStyle w:val="NormalHanging12a"/>
      </w:pPr>
      <w:r w:rsidRPr="00B07BDB">
        <w:t>–</w:t>
      </w:r>
      <w:r w:rsidRPr="00B07BDB">
        <w:tab/>
        <w:t>având în vedere Regulamentul (UE, Euratom) 2020/2093 al Consiliului din 17 decembrie 2020 de stabilire a cadrului financiar multianual pentru perioada 2021-2027</w:t>
      </w:r>
      <w:r w:rsidRPr="00B07BDB">
        <w:rPr>
          <w:vertAlign w:val="superscript"/>
        </w:rPr>
        <w:footnoteReference w:id="3"/>
      </w:r>
      <w:r w:rsidRPr="00B07BDB">
        <w:t xml:space="preserve">, </w:t>
      </w:r>
    </w:p>
    <w:p w14:paraId="389CA8CA" w14:textId="77777777" w:rsidR="00066EEC" w:rsidRPr="00B07BDB" w:rsidRDefault="00066EEC" w:rsidP="00066EEC">
      <w:pPr>
        <w:pStyle w:val="NormalHanging12a"/>
      </w:pPr>
      <w:r w:rsidRPr="00B07BDB">
        <w:t>–</w:t>
      </w:r>
      <w:r w:rsidRPr="00B07BDB">
        <w:tab/>
        <w:t>având în vedere Regulamentul (UE, Euratom) 2024/765 al Consiliului de modificare a Regulamentului (UE, Euratom) 2020/2093 de stabilire a cadrului financiar multianual pentru perioada 2021-2027</w:t>
      </w:r>
      <w:r w:rsidRPr="00B07BDB">
        <w:rPr>
          <w:vertAlign w:val="superscript"/>
        </w:rPr>
        <w:footnoteReference w:id="4"/>
      </w:r>
      <w:r w:rsidRPr="00B07BDB">
        <w:t>,</w:t>
      </w:r>
    </w:p>
    <w:p w14:paraId="6D041CBB" w14:textId="77777777" w:rsidR="00066EEC" w:rsidRPr="00B07BDB" w:rsidRDefault="00066EEC" w:rsidP="00066EEC">
      <w:pPr>
        <w:pStyle w:val="NormalHanging12a"/>
      </w:pPr>
      <w:r w:rsidRPr="00B07BDB">
        <w:t>–</w:t>
      </w:r>
      <w:r w:rsidRPr="00B07BDB">
        <w:tab/>
        <w:t xml:space="preserve">având în vedere Acordul interinstituțional din 16 decembrie 2020 dintre Parlamentul European, Consiliul Uniunii Europene și Comisia Europeană privind disciplina </w:t>
      </w:r>
      <w:r w:rsidRPr="00B07BDB">
        <w:lastRenderedPageBreak/>
        <w:t>bugetară, cooperarea în chestiuni bugetare și buna gestiune financiară, precum și privind noile resurse proprii, inclusiv o foaie de parcurs în vederea introducerii de noi resurse proprii</w:t>
      </w:r>
      <w:r w:rsidRPr="00B07BDB">
        <w:rPr>
          <w:vertAlign w:val="superscript"/>
        </w:rPr>
        <w:footnoteReference w:id="5"/>
      </w:r>
      <w:r w:rsidRPr="00B07BDB">
        <w:t>,</w:t>
      </w:r>
    </w:p>
    <w:p w14:paraId="51CF197C" w14:textId="77777777" w:rsidR="00066EEC" w:rsidRPr="00B07BDB" w:rsidRDefault="00066EEC" w:rsidP="00066EEC">
      <w:pPr>
        <w:pStyle w:val="NormalHanging12a"/>
      </w:pPr>
      <w:r w:rsidRPr="00B07BDB">
        <w:t>–</w:t>
      </w:r>
      <w:r w:rsidRPr="00B07BDB">
        <w:tab/>
        <w:t>având în vedere Decizia (UE, Euratom) 2020/2053 a Consiliului din 14 decembrie 2020 privind sistemul de resurse proprii ale Uniunii Europene și de abrogare a Deciziei 2014/335/UE, Euratom</w:t>
      </w:r>
      <w:r w:rsidRPr="00B07BDB">
        <w:rPr>
          <w:vertAlign w:val="superscript"/>
        </w:rPr>
        <w:footnoteReference w:id="6"/>
      </w:r>
      <w:r w:rsidRPr="00B07BDB">
        <w:t xml:space="preserve">, </w:t>
      </w:r>
    </w:p>
    <w:p w14:paraId="11118517" w14:textId="77777777" w:rsidR="00066EEC" w:rsidRPr="00B07BDB" w:rsidRDefault="00066EEC" w:rsidP="00066EEC">
      <w:pPr>
        <w:pStyle w:val="NormalHanging12a"/>
      </w:pPr>
      <w:r w:rsidRPr="00B07BDB">
        <w:t>–</w:t>
      </w:r>
      <w:r w:rsidRPr="00B07BDB">
        <w:tab/>
        <w:t>având în vedere rezoluția sa din 28 aprilie 2026 referitoare la propunerea de regulament al Consiliului de stabilire a cadrului financiar multianual pentru perioada 2028-2034</w:t>
      </w:r>
      <w:r w:rsidRPr="00B07BDB">
        <w:rPr>
          <w:rStyle w:val="FootnoteReference"/>
        </w:rPr>
        <w:footnoteReference w:id="7"/>
      </w:r>
      <w:r w:rsidRPr="00B07BDB">
        <w:t xml:space="preserve">, </w:t>
      </w:r>
    </w:p>
    <w:p w14:paraId="682B6B11" w14:textId="77777777" w:rsidR="00066EEC" w:rsidRPr="00B07BDB" w:rsidRDefault="00066EEC" w:rsidP="00066EEC">
      <w:pPr>
        <w:pStyle w:val="NormalHanging12a"/>
      </w:pPr>
      <w:bookmarkStart w:id="8" w:name="_Hlk229564682"/>
      <w:r w:rsidRPr="00B07BDB">
        <w:t>–</w:t>
      </w:r>
      <w:r w:rsidRPr="00B07BDB">
        <w:tab/>
        <w:t>având în vedere proiectul de buget rectificativ nr. 1/2026 adoptat de Comisie la 10 aprilie 2026 (COM(2026)0450),</w:t>
      </w:r>
      <w:bookmarkEnd w:id="8"/>
    </w:p>
    <w:p w14:paraId="64B74F5A" w14:textId="77777777" w:rsidR="00066EEC" w:rsidRPr="00B07BDB" w:rsidRDefault="00066EEC" w:rsidP="00066EEC">
      <w:pPr>
        <w:pStyle w:val="NormalHanging12a"/>
      </w:pPr>
      <w:r w:rsidRPr="00B07BDB">
        <w:t>–</w:t>
      </w:r>
      <w:r w:rsidRPr="00B07BDB">
        <w:tab/>
        <w:t>având în vedere poziția privind proiectul de buget rectificativ nr. 1/2026, adoptată de Consiliu la 16 iunie 2026 și transmisă Parlamentului European la 18 iunie 2026 (09919/2026),</w:t>
      </w:r>
    </w:p>
    <w:p w14:paraId="676C2A47" w14:textId="77777777" w:rsidR="00066EEC" w:rsidRPr="00B07BDB" w:rsidRDefault="00066EEC" w:rsidP="00066EEC">
      <w:pPr>
        <w:pStyle w:val="NormalHanging12a"/>
      </w:pPr>
      <w:r w:rsidRPr="00B07BDB">
        <w:t>–</w:t>
      </w:r>
      <w:r w:rsidRPr="00B07BDB">
        <w:tab/>
        <w:t>având în vedere articolele 96 și 98 din Regulamentul său de procedură,</w:t>
      </w:r>
    </w:p>
    <w:p w14:paraId="3B9EC5ED" w14:textId="77777777" w:rsidR="00066EEC" w:rsidRPr="00B07BDB" w:rsidRDefault="00066EEC" w:rsidP="00066EEC">
      <w:pPr>
        <w:pStyle w:val="NormalHanging12a"/>
      </w:pPr>
      <w:r w:rsidRPr="00B07BDB">
        <w:t>–</w:t>
      </w:r>
      <w:r w:rsidRPr="00B07BDB">
        <w:tab/>
        <w:t>având în vedere raportul Comisiei pentru bugete (A10-0180/2026),</w:t>
      </w:r>
    </w:p>
    <w:p w14:paraId="551BF0A9" w14:textId="77777777" w:rsidR="00066EEC" w:rsidRPr="00B07BDB" w:rsidRDefault="00066EEC" w:rsidP="00066EEC">
      <w:pPr>
        <w:pStyle w:val="NormalHanging12a"/>
      </w:pPr>
      <w:r w:rsidRPr="00B07BDB">
        <w:t>A.</w:t>
      </w:r>
      <w:r w:rsidRPr="00B07BDB">
        <w:tab/>
        <w:t>întrucât proiectul de buget rectificativ nr. 1/2026 este menit să înscrie în bugetul pe 2026 excedentul rezultat din execuția exercițiului financiar 2025, care se ridică la 2 095 de milioane EUR;</w:t>
      </w:r>
    </w:p>
    <w:p w14:paraId="2BEC5BE3" w14:textId="77777777" w:rsidR="00066EEC" w:rsidRPr="00B07BDB" w:rsidRDefault="00066EEC" w:rsidP="00066EEC">
      <w:pPr>
        <w:pStyle w:val="NormalHanging12a"/>
      </w:pPr>
      <w:r w:rsidRPr="00B07BDB">
        <w:t>B.</w:t>
      </w:r>
      <w:r w:rsidRPr="00B07BDB">
        <w:tab/>
        <w:t>întrucât principalele elemente ale acestui excedent sunt un sold pozitiv al veniturilor de 1 994 de milioane EUR și o subutilizare a cheltuielilor de 101 milioane EUR;</w:t>
      </w:r>
    </w:p>
    <w:p w14:paraId="258DDACC" w14:textId="77777777" w:rsidR="00066EEC" w:rsidRPr="00B07BDB" w:rsidRDefault="00066EEC" w:rsidP="00066EEC">
      <w:pPr>
        <w:pStyle w:val="NormalHanging12a"/>
      </w:pPr>
      <w:r w:rsidRPr="00B07BDB">
        <w:t>C.</w:t>
      </w:r>
      <w:r w:rsidRPr="00B07BDB">
        <w:tab/>
        <w:t xml:space="preserve">întrucât, în ceea ce privește veniturile, excedentul este determinat în principal de </w:t>
      </w:r>
      <w:bookmarkStart w:id="9" w:name="_Hlk233197369"/>
      <w:r w:rsidRPr="00B07BDB">
        <w:t>o colectare a taxelor vamale mai mare decât se preconizase, în valoare de 860 de milioane EUR</w:t>
      </w:r>
      <w:bookmarkEnd w:id="9"/>
      <w:r w:rsidRPr="00B07BDB">
        <w:t xml:space="preserve">; întrucât al doilea factor determinant al volumului excedentului este o sumă de 840 de milioane EUR, care reprezintă venituri financiare, dobânzi de întârziere și amenzi; </w:t>
      </w:r>
    </w:p>
    <w:p w14:paraId="4E0F9AF3" w14:textId="77777777" w:rsidR="00066EEC" w:rsidRPr="00B07BDB" w:rsidRDefault="00066EEC" w:rsidP="00066EEC">
      <w:pPr>
        <w:pStyle w:val="NormalHanging12a"/>
      </w:pPr>
      <w:r w:rsidRPr="00B07BDB">
        <w:t>D.</w:t>
      </w:r>
      <w:r w:rsidRPr="00B07BDB">
        <w:tab/>
        <w:t xml:space="preserve">întrucât, în ceea ce privește cheltuielile, faptul că toate instituțiile au </w:t>
      </w:r>
      <w:proofErr w:type="spellStart"/>
      <w:r w:rsidRPr="00B07BDB">
        <w:t>subutilizat</w:t>
      </w:r>
      <w:proofErr w:type="spellEnd"/>
      <w:r w:rsidRPr="00B07BDB">
        <w:t xml:space="preserve"> credite de plată, anulând inclusiv credite reportate, s-a ridicat la 111 milioane EUR (reprezentând 0,04 % din creditele de plată autorizate),</w:t>
      </w:r>
    </w:p>
    <w:p w14:paraId="47B84A1F" w14:textId="77777777" w:rsidR="00066EEC" w:rsidRPr="00B07BDB" w:rsidRDefault="00066EEC" w:rsidP="00066EEC">
      <w:pPr>
        <w:pStyle w:val="NormalHanging12a"/>
      </w:pPr>
      <w:r w:rsidRPr="00B07BDB">
        <w:t>1.</w:t>
      </w:r>
      <w:r w:rsidRPr="00B07BDB">
        <w:tab/>
        <w:t>ia act de proiectul de buget rectificativ nr. 1/2026, astfel cum a fost prezentat de Comisie, consacrat înscrierii în buget a excedentului din 2025, cu suma de 2 095 de milioane EUR, în conformitate cu articolul 18 alineatul (3) din Regulamentul financiar;</w:t>
      </w:r>
      <w:sdt>
        <w:sdtPr>
          <w:tag w:val="goog_rdk_0"/>
          <w:id w:val="1937094721"/>
        </w:sdtPr>
        <w:sdtEndPr/>
        <w:sdtContent/>
      </w:sdt>
    </w:p>
    <w:p w14:paraId="04006C0B" w14:textId="3160B69D" w:rsidR="00066EEC" w:rsidRPr="00B07BDB" w:rsidRDefault="00066EEC" w:rsidP="00066EEC">
      <w:pPr>
        <w:pStyle w:val="NormalHanging12a"/>
      </w:pPr>
      <w:r w:rsidRPr="00B07BDB">
        <w:t>2.</w:t>
      </w:r>
      <w:r w:rsidRPr="00B07BDB">
        <w:tab/>
      </w:r>
      <w:r w:rsidR="00FE0641" w:rsidRPr="00B07BDB">
        <w:t xml:space="preserve">salută faptul </w:t>
      </w:r>
      <w:r w:rsidRPr="00B07BDB">
        <w:t xml:space="preserve">că excedentul din 2025 este determinat în principal de o creștere a variației de la titlurile 1 (Resurse proprii, în special taxe de import) și 4 (Venituri financiare, dobânzi de întârziere și amenzi), în timp ce excedentul de cheltuieli rămâne foarte </w:t>
      </w:r>
      <w:r w:rsidRPr="00B07BDB">
        <w:lastRenderedPageBreak/>
        <w:t xml:space="preserve">modest, în valoare de 101 milioane EUR; </w:t>
      </w:r>
    </w:p>
    <w:p w14:paraId="1F3DA13D" w14:textId="77777777" w:rsidR="00066EEC" w:rsidRPr="00B07BDB" w:rsidRDefault="00066EEC" w:rsidP="00066EEC">
      <w:pPr>
        <w:pStyle w:val="NormalHanging12a"/>
      </w:pPr>
      <w:r w:rsidRPr="00B07BDB">
        <w:t>3.</w:t>
      </w:r>
      <w:r w:rsidRPr="00B07BDB">
        <w:tab/>
        <w:t xml:space="preserve">regretă că înscrierea în buget a excedentului reduce contribuția totală la resursele proprii bazate pe VNB a statelor membre la finanțarea bugetului 2026 cu o sumă proporțională; subliniază că, într-un moment în care nevoile de finanțare rămân ridicate, în special pentru costurile de serviciu a datoriei EURI, iar marja de manevră din cadrul bugetului Uniunii rămâne foarte limitată, bugetul ar trebui să păstreze suficientă flexibilitate în ultimii ani ai MFF-ului în curs pentru a face față evenimentelor neprevăzute; evidențiază că flexibilitatea bugetului Uniunii este unul dintre aspectele-cheie care trebuie tratate în negocierile pentru cadrul financiar multianual 2028-2034; </w:t>
      </w:r>
    </w:p>
    <w:p w14:paraId="1A5F6054" w14:textId="77777777" w:rsidR="00066EEC" w:rsidRPr="00B07BDB" w:rsidRDefault="00066EEC" w:rsidP="00066EEC">
      <w:pPr>
        <w:pStyle w:val="NormalHanging12a"/>
      </w:pPr>
      <w:r w:rsidRPr="00B07BDB">
        <w:t>4.</w:t>
      </w:r>
      <w:r w:rsidRPr="00B07BDB">
        <w:tab/>
        <w:t>își reamintește poziția de mult adoptată potrivit căreia veniturile excepționale obținute din amenzi și taxe sau sume echivalente ar trebui considerate venituri suplimentare la bugetul Uniunii și nu ar trebui să determine scăderea echivalentă a contribuțiilor bazate pe VNB;</w:t>
      </w:r>
    </w:p>
    <w:p w14:paraId="57FF2EB6" w14:textId="664A6206" w:rsidR="00066EEC" w:rsidRPr="00B07BDB" w:rsidRDefault="00066EEC" w:rsidP="00066EEC">
      <w:pPr>
        <w:pStyle w:val="NormalHanging12a"/>
      </w:pPr>
      <w:r w:rsidRPr="00B07BDB">
        <w:t>5.</w:t>
      </w:r>
      <w:r w:rsidRPr="00B07BDB">
        <w:tab/>
        <w:t xml:space="preserve">ia act de calculul reducerilor forfetare anuale ajustate bazate pe VNB pentru cele cinci state membre beneficiare, care se ridică la aproximativ 5,8 miliarde EUR net; subliniază că aceste reduceri sunt corelate cu inflația și, prin urmare, au crescut într-un ritm mai mare decât plafoanele CFM, care sunt ajustate anual pe baza </w:t>
      </w:r>
      <w:proofErr w:type="spellStart"/>
      <w:r w:rsidRPr="00B07BDB">
        <w:t>deflatorului</w:t>
      </w:r>
      <w:proofErr w:type="spellEnd"/>
      <w:r w:rsidRPr="00B07BDB">
        <w:t xml:space="preserve"> de 2 %; </w:t>
      </w:r>
      <w:r w:rsidR="005438E9" w:rsidRPr="00B07BDB">
        <w:t xml:space="preserve">subliniază </w:t>
      </w:r>
      <w:r w:rsidRPr="00B07BDB">
        <w:t>că această anomalie accentuează povara asupra celorlalte state membre;</w:t>
      </w:r>
    </w:p>
    <w:p w14:paraId="73AFDECB" w14:textId="77777777" w:rsidR="00066EEC" w:rsidRPr="00B07BDB" w:rsidRDefault="00066EEC" w:rsidP="00066EEC">
      <w:pPr>
        <w:pStyle w:val="NormalHanging12a"/>
      </w:pPr>
      <w:r w:rsidRPr="00B07BDB">
        <w:t>6.</w:t>
      </w:r>
      <w:r w:rsidRPr="00B07BDB">
        <w:tab/>
        <w:t>ia act de postul cu venituri negative de la noul articol 425, care totalizează 54 de milioane EUR, și consideră oportună această metodă prin care se integrează în buget costurile ce decurg din plățile efectuate în cadrul acordurilor de plată care generează dobânzi compensatorii și compensații pentru dobânzile de întârziere aferente rambursării amenzilor în materie de concurență anulate sau reduse, în conformitate cu hotărârile pertinente ale Curții de Justiție; reamintește că, atunci când a negociat reformarea din 2024 a Regulamentului financiar, Parlamentul a insistat să se aplice această abordare, deoarece, altfel, ar fi trebuit să se adauge credite pentru cheltuieli suplimentare la rubrica 7, care era deja suprasolicitată; reamintește că această soluție se încheie la 31 decembrie 2027; invită Comisia să propună o soluție definitivă pentru următorul CFM, care să realizeze același obiectiv de a evita orice impact asupra părții de cheltuieli a bugetului;</w:t>
      </w:r>
    </w:p>
    <w:p w14:paraId="3D031A6A" w14:textId="4E9F7AD6" w:rsidR="00066EEC" w:rsidRPr="00B07BDB" w:rsidRDefault="00066EEC" w:rsidP="00066EEC">
      <w:pPr>
        <w:pStyle w:val="NormalHanging12a"/>
      </w:pPr>
      <w:r w:rsidRPr="00B07BDB">
        <w:t>7.</w:t>
      </w:r>
      <w:r w:rsidRPr="00B07BDB">
        <w:tab/>
        <w:t xml:space="preserve">își reiterează apelul de lungă durată pentru venituri sustenabile, previzibile și </w:t>
      </w:r>
      <w:proofErr w:type="spellStart"/>
      <w:r w:rsidRPr="00B07BDB">
        <w:t>reziliente</w:t>
      </w:r>
      <w:proofErr w:type="spellEnd"/>
      <w:r w:rsidRPr="00B07BDB">
        <w:t xml:space="preserve"> la bugetul Uniunii, în temeiul articolului 310 din TFUE, care ar trebui să corespundă cheltuielilor, priorităților strategice și nevoilor de finanțare identificate ale Uniunii; reafirmă angajamentul </w:t>
      </w:r>
      <w:r w:rsidR="0050539B" w:rsidRPr="00B07BDB">
        <w:t xml:space="preserve">său </w:t>
      </w:r>
      <w:r w:rsidRPr="00B07BDB">
        <w:t>ferm față de introducerea unor resurse proprii noi, care sunt necesare nu doar pentru rambursarea datoriei aferente NGEU, ci și pentru a finanța ambițiile politice mai mari ale Uniunii; reamintește că, fără noi resurse reale, sarcina financiară va reveni inevitabil statelor membre sub forma unei creșteri a contribuțiilor bazate pe VNB; consideră, prin urmare, că introducerea unor noi fluxuri reale de venituri de cel puțin 60 de miliarde EUR pe an este o condiție esențială pentru un cadru financiar multianual ambițios pentru perioada 2028-2034;</w:t>
      </w:r>
    </w:p>
    <w:p w14:paraId="3B193A56" w14:textId="77777777" w:rsidR="00066EEC" w:rsidRPr="00B07BDB" w:rsidRDefault="00066EEC" w:rsidP="00066EEC">
      <w:pPr>
        <w:pStyle w:val="NormalHanging12a"/>
      </w:pPr>
      <w:r w:rsidRPr="00B07BDB">
        <w:t>8.</w:t>
      </w:r>
      <w:r w:rsidRPr="00B07BDB">
        <w:tab/>
        <w:t>aprobă poziția Consiliului privind proiectul de buget rectificativ nr. 1/2026;</w:t>
      </w:r>
    </w:p>
    <w:p w14:paraId="51DFC950" w14:textId="77777777" w:rsidR="00066EEC" w:rsidRPr="00B07BDB" w:rsidRDefault="00066EEC" w:rsidP="00066EEC">
      <w:pPr>
        <w:pStyle w:val="NormalHanging12a"/>
      </w:pPr>
      <w:r w:rsidRPr="00B07BDB">
        <w:t>9.</w:t>
      </w:r>
      <w:r w:rsidRPr="00B07BDB">
        <w:tab/>
        <w:t xml:space="preserve">încredințează Președintei sarcina de a constata adoptarea definitivă a bugetului rectificativ nr. 1/2026 și de a asigura publicarea acestuia în </w:t>
      </w:r>
      <w:r w:rsidRPr="00B07BDB">
        <w:rPr>
          <w:i/>
        </w:rPr>
        <w:t>Jurnalul Oficial al Uniunii Europene</w:t>
      </w:r>
      <w:r w:rsidRPr="00B07BDB">
        <w:t>;</w:t>
      </w:r>
    </w:p>
    <w:p w14:paraId="345FBD3D" w14:textId="0B74ED66" w:rsidR="00E365E1" w:rsidRPr="00B07BDB" w:rsidRDefault="00066EEC" w:rsidP="00B07BDB">
      <w:pPr>
        <w:pStyle w:val="NormalHanging12a"/>
      </w:pPr>
      <w:r w:rsidRPr="00B07BDB">
        <w:lastRenderedPageBreak/>
        <w:t>10.</w:t>
      </w:r>
      <w:r w:rsidRPr="00B07BDB">
        <w:tab/>
        <w:t>încredințează Președintei sarcina de a transmite prezenta rezoluție Consiliului și Comisiei, precum și celorlalte instituții și organelor interesate și parlamentelor naționale.</w:t>
      </w:r>
    </w:p>
    <w:sectPr w:rsidR="00E365E1" w:rsidRPr="00B07BDB" w:rsidSect="007574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F2D03" w14:textId="77777777" w:rsidR="002C1AD7" w:rsidRPr="0075747C" w:rsidRDefault="002C1AD7">
      <w:r w:rsidRPr="0075747C">
        <w:separator/>
      </w:r>
    </w:p>
  </w:endnote>
  <w:endnote w:type="continuationSeparator" w:id="0">
    <w:p w14:paraId="601EC215" w14:textId="77777777" w:rsidR="002C1AD7" w:rsidRPr="0075747C" w:rsidRDefault="002C1AD7">
      <w:r w:rsidRPr="007574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CE64" w14:textId="77777777" w:rsidR="00064002" w:rsidRPr="007574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D44DE" w14:textId="77777777" w:rsidR="00064002" w:rsidRPr="007574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071C" w14:textId="77777777" w:rsidR="00064002" w:rsidRPr="007574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E0EA" w14:textId="77777777" w:rsidR="002C1AD7" w:rsidRPr="0075747C" w:rsidRDefault="002C1AD7">
      <w:r w:rsidRPr="0075747C">
        <w:separator/>
      </w:r>
    </w:p>
  </w:footnote>
  <w:footnote w:type="continuationSeparator" w:id="0">
    <w:p w14:paraId="721D97E9" w14:textId="77777777" w:rsidR="002C1AD7" w:rsidRPr="0075747C" w:rsidRDefault="002C1AD7">
      <w:r w:rsidRPr="0075747C">
        <w:continuationSeparator/>
      </w:r>
    </w:p>
  </w:footnote>
  <w:footnote w:id="1">
    <w:p w14:paraId="18EDCBC9" w14:textId="36435DF6" w:rsidR="00066EEC" w:rsidRPr="0075747C" w:rsidRDefault="00066EEC" w:rsidP="0075747C">
      <w:pPr>
        <w:pStyle w:val="FootnoteText"/>
        <w:ind w:left="567" w:hanging="567"/>
        <w:rPr>
          <w:sz w:val="24"/>
          <w:lang w:val="ro-RO"/>
        </w:rPr>
      </w:pPr>
      <w:r w:rsidRPr="0075747C">
        <w:rPr>
          <w:rStyle w:val="FootnoteReference"/>
          <w:sz w:val="24"/>
          <w:lang w:val="ro-RO"/>
        </w:rPr>
        <w:footnoteRef/>
      </w:r>
      <w:r w:rsidR="0075747C" w:rsidRPr="0075747C">
        <w:rPr>
          <w:sz w:val="24"/>
          <w:lang w:val="ro-RO"/>
        </w:rPr>
        <w:t xml:space="preserve"> </w:t>
      </w:r>
      <w:r w:rsidR="0075747C" w:rsidRPr="0075747C">
        <w:rPr>
          <w:sz w:val="24"/>
          <w:lang w:val="ro-RO"/>
        </w:rPr>
        <w:tab/>
      </w:r>
      <w:r w:rsidRPr="0075747C">
        <w:rPr>
          <w:sz w:val="24"/>
          <w:lang w:val="ro-RO"/>
        </w:rPr>
        <w:t xml:space="preserve">JO L, 2024/2509, 26.9.2024, ELI: </w:t>
      </w:r>
      <w:hyperlink r:id="rId1" w:tooltip="http://data.europa.eu/eli/reg/2024/2509/oj" w:history="1">
        <w:r w:rsidRPr="0075747C">
          <w:rPr>
            <w:rStyle w:val="Hyperlink"/>
            <w:sz w:val="24"/>
            <w:lang w:val="ro-RO"/>
          </w:rPr>
          <w:t>http://data.europa.eu/eli/reg/2024/2509/oj</w:t>
        </w:r>
      </w:hyperlink>
      <w:r w:rsidRPr="0075747C">
        <w:rPr>
          <w:sz w:val="24"/>
          <w:lang w:val="ro-RO"/>
        </w:rPr>
        <w:t>.</w:t>
      </w:r>
    </w:p>
  </w:footnote>
  <w:footnote w:id="2">
    <w:p w14:paraId="75AF8F65" w14:textId="1687E6AE" w:rsidR="00066EEC" w:rsidRPr="0075747C" w:rsidRDefault="00066EEC" w:rsidP="0075747C">
      <w:pPr>
        <w:pStyle w:val="FootnoteText"/>
        <w:ind w:left="567" w:hanging="567"/>
        <w:rPr>
          <w:sz w:val="24"/>
          <w:lang w:val="ro-RO"/>
        </w:rPr>
      </w:pPr>
      <w:r w:rsidRPr="0075747C">
        <w:rPr>
          <w:rStyle w:val="FootnoteReference"/>
          <w:sz w:val="24"/>
          <w:lang w:val="ro-RO"/>
        </w:rPr>
        <w:footnoteRef/>
      </w:r>
      <w:r w:rsidR="0075747C" w:rsidRPr="0075747C">
        <w:rPr>
          <w:sz w:val="24"/>
          <w:lang w:val="ro-RO"/>
        </w:rPr>
        <w:t xml:space="preserve"> </w:t>
      </w:r>
      <w:r w:rsidR="0075747C" w:rsidRPr="0075747C">
        <w:rPr>
          <w:sz w:val="24"/>
          <w:lang w:val="ro-RO"/>
        </w:rPr>
        <w:tab/>
      </w:r>
      <w:r w:rsidRPr="0075747C">
        <w:rPr>
          <w:sz w:val="24"/>
          <w:lang w:val="ro-RO"/>
        </w:rPr>
        <w:t xml:space="preserve">JO L, 2026/72, 26.2.2026, ELI: </w:t>
      </w:r>
      <w:hyperlink r:id="rId2" w:history="1">
        <w:r w:rsidRPr="0075747C">
          <w:rPr>
            <w:rStyle w:val="Hyperlink"/>
            <w:sz w:val="24"/>
            <w:lang w:val="ro-RO"/>
          </w:rPr>
          <w:t>http://data.europa.eu/eli/budget/2026/72/oj</w:t>
        </w:r>
      </w:hyperlink>
      <w:r w:rsidRPr="0075747C">
        <w:rPr>
          <w:sz w:val="24"/>
          <w:lang w:val="ro-RO"/>
        </w:rPr>
        <w:t>.</w:t>
      </w:r>
    </w:p>
  </w:footnote>
  <w:footnote w:id="3">
    <w:p w14:paraId="6B1D0A6D" w14:textId="59BB0EC1" w:rsidR="00066EEC" w:rsidRPr="0075747C" w:rsidRDefault="00066EEC" w:rsidP="0075747C">
      <w:pPr>
        <w:pStyle w:val="FootnoteText"/>
        <w:ind w:left="567" w:hanging="567"/>
        <w:rPr>
          <w:sz w:val="24"/>
          <w:lang w:val="ro-RO"/>
        </w:rPr>
      </w:pPr>
      <w:r w:rsidRPr="0075747C">
        <w:rPr>
          <w:rStyle w:val="FootnoteReference"/>
          <w:sz w:val="24"/>
          <w:lang w:val="ro-RO"/>
        </w:rPr>
        <w:footnoteRef/>
      </w:r>
      <w:r w:rsidR="0075747C" w:rsidRPr="0075747C">
        <w:rPr>
          <w:sz w:val="24"/>
          <w:lang w:val="ro-RO"/>
        </w:rPr>
        <w:t xml:space="preserve"> </w:t>
      </w:r>
      <w:r w:rsidR="0075747C" w:rsidRPr="0075747C">
        <w:rPr>
          <w:sz w:val="24"/>
          <w:lang w:val="ro-RO"/>
        </w:rPr>
        <w:tab/>
      </w:r>
      <w:r w:rsidRPr="0075747C">
        <w:rPr>
          <w:sz w:val="24"/>
          <w:lang w:val="ro-RO"/>
        </w:rPr>
        <w:t xml:space="preserve">JO L 433 I, 22.12.2020, p. </w:t>
      </w:r>
      <w:r w:rsidRPr="0075747C">
        <w:rPr>
          <w:sz w:val="24"/>
          <w:lang w:val="ro-RO"/>
        </w:rPr>
        <w:t xml:space="preserve">11, ELI: </w:t>
      </w:r>
      <w:hyperlink r:id="rId3" w:history="1">
        <w:r w:rsidRPr="0075747C">
          <w:rPr>
            <w:rStyle w:val="Hyperlink"/>
            <w:sz w:val="24"/>
            <w:lang w:val="ro-RO"/>
          </w:rPr>
          <w:t>http://data.europa.eu/eli/reg/2020/2093/oj</w:t>
        </w:r>
      </w:hyperlink>
      <w:r w:rsidRPr="0075747C">
        <w:rPr>
          <w:sz w:val="24"/>
          <w:lang w:val="ro-RO"/>
        </w:rPr>
        <w:t>.</w:t>
      </w:r>
    </w:p>
  </w:footnote>
  <w:footnote w:id="4">
    <w:p w14:paraId="5425F7CD" w14:textId="2D84DDA8" w:rsidR="00066EEC" w:rsidRPr="0075747C" w:rsidRDefault="00066EEC" w:rsidP="0075747C">
      <w:pPr>
        <w:pStyle w:val="FootnoteText"/>
        <w:ind w:left="567" w:hanging="567"/>
        <w:rPr>
          <w:sz w:val="24"/>
          <w:lang w:val="ro-RO"/>
        </w:rPr>
      </w:pPr>
      <w:r w:rsidRPr="0075747C">
        <w:rPr>
          <w:rStyle w:val="FootnoteReference"/>
          <w:sz w:val="24"/>
          <w:lang w:val="ro-RO"/>
        </w:rPr>
        <w:footnoteRef/>
      </w:r>
      <w:r w:rsidR="0075747C" w:rsidRPr="0075747C">
        <w:rPr>
          <w:sz w:val="24"/>
          <w:lang w:val="ro-RO"/>
        </w:rPr>
        <w:t xml:space="preserve"> </w:t>
      </w:r>
      <w:r w:rsidR="0075747C" w:rsidRPr="0075747C">
        <w:rPr>
          <w:sz w:val="24"/>
          <w:lang w:val="ro-RO"/>
        </w:rPr>
        <w:tab/>
      </w:r>
      <w:r w:rsidRPr="0075747C">
        <w:rPr>
          <w:sz w:val="24"/>
          <w:lang w:val="ro-RO"/>
        </w:rPr>
        <w:t xml:space="preserve">JO L, 2024/765, 29.2.2024, ELI: </w:t>
      </w:r>
      <w:hyperlink r:id="rId4" w:history="1">
        <w:r w:rsidRPr="0075747C">
          <w:rPr>
            <w:rStyle w:val="Hyperlink"/>
            <w:sz w:val="24"/>
            <w:lang w:val="ro-RO"/>
          </w:rPr>
          <w:t>http://data.europa.eu/eli/reg/2024/765/oj</w:t>
        </w:r>
      </w:hyperlink>
      <w:r w:rsidRPr="0075747C">
        <w:rPr>
          <w:sz w:val="24"/>
          <w:lang w:val="ro-RO"/>
        </w:rPr>
        <w:t>.</w:t>
      </w:r>
    </w:p>
  </w:footnote>
  <w:footnote w:id="5">
    <w:p w14:paraId="4FA04538" w14:textId="01EE52F2" w:rsidR="00066EEC" w:rsidRPr="00B07BDB" w:rsidRDefault="00066EEC" w:rsidP="0075747C">
      <w:pPr>
        <w:pStyle w:val="FootnoteText"/>
        <w:ind w:left="567" w:hanging="567"/>
        <w:rPr>
          <w:sz w:val="24"/>
          <w:szCs w:val="24"/>
          <w:lang w:val="ro-RO"/>
        </w:rPr>
      </w:pPr>
      <w:r w:rsidRPr="00B07BDB">
        <w:rPr>
          <w:rStyle w:val="FootnoteReference"/>
          <w:sz w:val="24"/>
          <w:szCs w:val="24"/>
          <w:lang w:val="ro-RO"/>
        </w:rPr>
        <w:footnoteRef/>
      </w:r>
      <w:r w:rsidR="0075747C" w:rsidRPr="00B07BDB">
        <w:rPr>
          <w:sz w:val="24"/>
          <w:szCs w:val="24"/>
          <w:lang w:val="ro-RO"/>
        </w:rPr>
        <w:t xml:space="preserve"> </w:t>
      </w:r>
      <w:r w:rsidR="0075747C" w:rsidRPr="00B07BDB">
        <w:rPr>
          <w:sz w:val="24"/>
          <w:szCs w:val="24"/>
          <w:lang w:val="ro-RO"/>
        </w:rPr>
        <w:tab/>
      </w:r>
      <w:r w:rsidRPr="00B07BDB">
        <w:rPr>
          <w:sz w:val="24"/>
          <w:szCs w:val="24"/>
          <w:lang w:val="ro-RO"/>
        </w:rPr>
        <w:t>JO L 433 I, 22.12.2020, p. 28, ELI:</w:t>
      </w:r>
      <w:r w:rsidR="0050539B" w:rsidRPr="00B07BDB">
        <w:rPr>
          <w:sz w:val="24"/>
          <w:szCs w:val="24"/>
          <w:lang w:val="ro-RO"/>
        </w:rPr>
        <w:t> </w:t>
      </w:r>
      <w:hyperlink r:id="rId5" w:history="1">
        <w:r w:rsidRPr="00B07BDB">
          <w:rPr>
            <w:rStyle w:val="Hyperlink"/>
            <w:sz w:val="24"/>
            <w:szCs w:val="24"/>
            <w:lang w:val="ro-RO"/>
          </w:rPr>
          <w:t>http://data.europa.eu/eli/agree_interinstit/2020/1222/oj</w:t>
        </w:r>
      </w:hyperlink>
    </w:p>
  </w:footnote>
  <w:footnote w:id="6">
    <w:p w14:paraId="528C55B3" w14:textId="38342015" w:rsidR="00066EEC" w:rsidRPr="00B07BDB" w:rsidRDefault="00066EEC" w:rsidP="0075747C">
      <w:pPr>
        <w:pStyle w:val="FootnoteText"/>
        <w:ind w:left="567" w:hanging="567"/>
        <w:rPr>
          <w:sz w:val="24"/>
          <w:szCs w:val="24"/>
          <w:lang w:val="ro-RO"/>
        </w:rPr>
      </w:pPr>
      <w:r w:rsidRPr="00B07BDB">
        <w:rPr>
          <w:rStyle w:val="FootnoteReference"/>
          <w:sz w:val="24"/>
          <w:szCs w:val="24"/>
          <w:lang w:val="ro-RO"/>
        </w:rPr>
        <w:footnoteRef/>
      </w:r>
      <w:r w:rsidR="0075747C" w:rsidRPr="00B07BDB">
        <w:rPr>
          <w:sz w:val="24"/>
          <w:szCs w:val="24"/>
          <w:lang w:val="ro-RO"/>
        </w:rPr>
        <w:t xml:space="preserve"> </w:t>
      </w:r>
      <w:r w:rsidR="0075747C" w:rsidRPr="00B07BDB">
        <w:rPr>
          <w:sz w:val="24"/>
          <w:szCs w:val="24"/>
          <w:lang w:val="ro-RO"/>
        </w:rPr>
        <w:tab/>
      </w:r>
      <w:r w:rsidRPr="00B07BDB">
        <w:rPr>
          <w:sz w:val="24"/>
          <w:szCs w:val="24"/>
          <w:lang w:val="ro-RO"/>
        </w:rPr>
        <w:t xml:space="preserve">JO L 424, 15.12.2020, p. 1, ELI: </w:t>
      </w:r>
      <w:hyperlink r:id="rId6" w:history="1">
        <w:r w:rsidRPr="00B07BDB">
          <w:rPr>
            <w:rStyle w:val="Hyperlink"/>
            <w:sz w:val="24"/>
            <w:szCs w:val="24"/>
            <w:lang w:val="ro-RO"/>
          </w:rPr>
          <w:t>http://data.europa.eu/eli/dec/2020/2053/oj</w:t>
        </w:r>
      </w:hyperlink>
      <w:r w:rsidRPr="00B07BDB">
        <w:rPr>
          <w:sz w:val="24"/>
          <w:szCs w:val="24"/>
          <w:lang w:val="ro-RO"/>
        </w:rPr>
        <w:t>.</w:t>
      </w:r>
    </w:p>
  </w:footnote>
  <w:footnote w:id="7">
    <w:p w14:paraId="6CC0A47E" w14:textId="4902B68C" w:rsidR="00066EEC" w:rsidRPr="0075747C" w:rsidRDefault="00066EEC" w:rsidP="0075747C">
      <w:pPr>
        <w:pStyle w:val="FootnoteText"/>
        <w:ind w:left="567" w:hanging="567"/>
        <w:rPr>
          <w:sz w:val="24"/>
          <w:lang w:val="ro-RO"/>
        </w:rPr>
      </w:pPr>
      <w:r w:rsidRPr="00B07BDB">
        <w:rPr>
          <w:rStyle w:val="FootnoteReference"/>
          <w:sz w:val="24"/>
          <w:szCs w:val="24"/>
          <w:lang w:val="ro-RO"/>
        </w:rPr>
        <w:footnoteRef/>
      </w:r>
      <w:r w:rsidR="0075747C" w:rsidRPr="00B07BDB">
        <w:rPr>
          <w:sz w:val="24"/>
          <w:szCs w:val="24"/>
          <w:lang w:val="ro-RO"/>
        </w:rPr>
        <w:t xml:space="preserve"> </w:t>
      </w:r>
      <w:r w:rsidR="0075747C" w:rsidRPr="00B07BDB">
        <w:rPr>
          <w:sz w:val="24"/>
          <w:szCs w:val="24"/>
          <w:lang w:val="ro-RO"/>
        </w:rPr>
        <w:tab/>
      </w:r>
      <w:r w:rsidRPr="00B07BDB">
        <w:rPr>
          <w:sz w:val="24"/>
          <w:szCs w:val="24"/>
          <w:lang w:val="ro-RO"/>
        </w:rPr>
        <w:t xml:space="preserve">Texte adoptate, </w:t>
      </w:r>
      <w:hyperlink r:id="rId7" w:history="1">
        <w:r w:rsidRPr="00B07BDB">
          <w:rPr>
            <w:rStyle w:val="Hyperlink"/>
            <w:sz w:val="24"/>
            <w:szCs w:val="24"/>
            <w:lang w:val="ro-RO"/>
          </w:rPr>
          <w:t>P10_TA(2026)0111</w:t>
        </w:r>
      </w:hyperlink>
      <w:r w:rsidRPr="00B07BDB">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A867" w14:textId="77777777" w:rsidR="00064002" w:rsidRPr="007574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037F" w14:textId="77777777" w:rsidR="00064002" w:rsidRPr="007574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DF9E" w14:textId="77777777" w:rsidR="00064002" w:rsidRPr="007574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9560873">
    <w:abstractNumId w:val="9"/>
  </w:num>
  <w:num w:numId="2" w16cid:durableId="1970625305">
    <w:abstractNumId w:val="9"/>
  </w:num>
  <w:num w:numId="3" w16cid:durableId="1259213148">
    <w:abstractNumId w:val="7"/>
  </w:num>
  <w:num w:numId="4" w16cid:durableId="1543201734">
    <w:abstractNumId w:val="7"/>
  </w:num>
  <w:num w:numId="5" w16cid:durableId="1306005341">
    <w:abstractNumId w:val="6"/>
  </w:num>
  <w:num w:numId="6" w16cid:durableId="952790364">
    <w:abstractNumId w:val="6"/>
  </w:num>
  <w:num w:numId="7" w16cid:durableId="914360005">
    <w:abstractNumId w:val="5"/>
  </w:num>
  <w:num w:numId="8" w16cid:durableId="1459372043">
    <w:abstractNumId w:val="5"/>
  </w:num>
  <w:num w:numId="9" w16cid:durableId="173420255">
    <w:abstractNumId w:val="4"/>
  </w:num>
  <w:num w:numId="10" w16cid:durableId="192882086">
    <w:abstractNumId w:val="4"/>
  </w:num>
  <w:num w:numId="11" w16cid:durableId="1257594387">
    <w:abstractNumId w:val="8"/>
  </w:num>
  <w:num w:numId="12" w16cid:durableId="1297567135">
    <w:abstractNumId w:val="8"/>
  </w:num>
  <w:num w:numId="13" w16cid:durableId="1452943614">
    <w:abstractNumId w:val="3"/>
  </w:num>
  <w:num w:numId="14" w16cid:durableId="174463685">
    <w:abstractNumId w:val="3"/>
  </w:num>
  <w:num w:numId="15" w16cid:durableId="424035188">
    <w:abstractNumId w:val="2"/>
  </w:num>
  <w:num w:numId="16" w16cid:durableId="450363770">
    <w:abstractNumId w:val="2"/>
  </w:num>
  <w:num w:numId="17" w16cid:durableId="1506944920">
    <w:abstractNumId w:val="1"/>
  </w:num>
  <w:num w:numId="18" w16cid:durableId="1749502520">
    <w:abstractNumId w:val="1"/>
  </w:num>
  <w:num w:numId="19" w16cid:durableId="1791313885">
    <w:abstractNumId w:val="0"/>
  </w:num>
  <w:num w:numId="20" w16cid:durableId="739596768">
    <w:abstractNumId w:val="0"/>
  </w:num>
  <w:num w:numId="21" w16cid:durableId="994452739">
    <w:abstractNumId w:val="9"/>
  </w:num>
  <w:num w:numId="22" w16cid:durableId="1673950988">
    <w:abstractNumId w:val="7"/>
  </w:num>
  <w:num w:numId="23" w16cid:durableId="676807755">
    <w:abstractNumId w:val="6"/>
  </w:num>
  <w:num w:numId="24" w16cid:durableId="498692959">
    <w:abstractNumId w:val="5"/>
  </w:num>
  <w:num w:numId="25" w16cid:durableId="1918663108">
    <w:abstractNumId w:val="4"/>
  </w:num>
  <w:num w:numId="26" w16cid:durableId="2079132520">
    <w:abstractNumId w:val="8"/>
  </w:num>
  <w:num w:numId="27" w16cid:durableId="1529224026">
    <w:abstractNumId w:val="3"/>
  </w:num>
  <w:num w:numId="28" w16cid:durableId="1456292694">
    <w:abstractNumId w:val="2"/>
  </w:num>
  <w:num w:numId="29" w16cid:durableId="1608733601">
    <w:abstractNumId w:val="1"/>
  </w:num>
  <w:num w:numId="30" w16cid:durableId="297033202">
    <w:abstractNumId w:val="0"/>
  </w:num>
  <w:num w:numId="31" w16cid:durableId="1631934923">
    <w:abstractNumId w:val="9"/>
  </w:num>
  <w:num w:numId="32" w16cid:durableId="1949584839">
    <w:abstractNumId w:val="7"/>
  </w:num>
  <w:num w:numId="33" w16cid:durableId="842935817">
    <w:abstractNumId w:val="6"/>
  </w:num>
  <w:num w:numId="34" w16cid:durableId="1918324185">
    <w:abstractNumId w:val="5"/>
  </w:num>
  <w:num w:numId="35" w16cid:durableId="93745701">
    <w:abstractNumId w:val="4"/>
  </w:num>
  <w:num w:numId="36" w16cid:durableId="100730780">
    <w:abstractNumId w:val="8"/>
  </w:num>
  <w:num w:numId="37" w16cid:durableId="559943562">
    <w:abstractNumId w:val="3"/>
  </w:num>
  <w:num w:numId="38" w16cid:durableId="1898083728">
    <w:abstractNumId w:val="2"/>
  </w:num>
  <w:num w:numId="39" w16cid:durableId="1372337097">
    <w:abstractNumId w:val="1"/>
  </w:num>
  <w:num w:numId="40" w16cid:durableId="200242409">
    <w:abstractNumId w:val="0"/>
  </w:num>
  <w:num w:numId="41" w16cid:durableId="1046296942">
    <w:abstractNumId w:val="10"/>
  </w:num>
  <w:num w:numId="42" w16cid:durableId="1005746817">
    <w:abstractNumId w:val="10"/>
  </w:num>
  <w:num w:numId="43" w16cid:durableId="1121266909">
    <w:abstractNumId w:val="10"/>
  </w:num>
  <w:num w:numId="44" w16cid:durableId="647830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RO"/>
    <w:docVar w:name="dvnumam" w:val="0"/>
    <w:docVar w:name="dvpe" w:val="787.947"/>
    <w:docVar w:name="dvrapporteur" w:val="Raportor: "/>
    <w:docVar w:name="dvtitre" w:val="Rezoluția Parlamentului European din 7 iulie 2026 referitoare la poziția Consiliului privind proiectul de buget rectificativ nr. 1/2026 al Uniunii Europene pentru exercițiul financiar 2026, de înregistrare a excedentului aferent exercițiului financiar 2025(09919/2026 – C10-0145/2026 – 2026/0090(BUD))"/>
  </w:docVars>
  <w:rsids>
    <w:rsidRoot w:val="002C1AD7"/>
    <w:rsid w:val="00002272"/>
    <w:rsid w:val="00064002"/>
    <w:rsid w:val="00066EEC"/>
    <w:rsid w:val="000677B9"/>
    <w:rsid w:val="000831BA"/>
    <w:rsid w:val="000A42CC"/>
    <w:rsid w:val="000E7DD9"/>
    <w:rsid w:val="0010095E"/>
    <w:rsid w:val="00125B37"/>
    <w:rsid w:val="00187494"/>
    <w:rsid w:val="001F32AE"/>
    <w:rsid w:val="002719AC"/>
    <w:rsid w:val="002767FF"/>
    <w:rsid w:val="002B18FE"/>
    <w:rsid w:val="002B5493"/>
    <w:rsid w:val="002C1AD7"/>
    <w:rsid w:val="00343214"/>
    <w:rsid w:val="00361C00"/>
    <w:rsid w:val="00395FA1"/>
    <w:rsid w:val="003E15D4"/>
    <w:rsid w:val="00411CCE"/>
    <w:rsid w:val="0041666E"/>
    <w:rsid w:val="00421060"/>
    <w:rsid w:val="00444783"/>
    <w:rsid w:val="00471C19"/>
    <w:rsid w:val="004867E3"/>
    <w:rsid w:val="00494A28"/>
    <w:rsid w:val="004C0004"/>
    <w:rsid w:val="004C5D52"/>
    <w:rsid w:val="0050519A"/>
    <w:rsid w:val="0050539B"/>
    <w:rsid w:val="005072A1"/>
    <w:rsid w:val="00514517"/>
    <w:rsid w:val="005438E9"/>
    <w:rsid w:val="00545827"/>
    <w:rsid w:val="00560270"/>
    <w:rsid w:val="005C2568"/>
    <w:rsid w:val="005D0FC8"/>
    <w:rsid w:val="005F1B17"/>
    <w:rsid w:val="006037C0"/>
    <w:rsid w:val="006631B6"/>
    <w:rsid w:val="00680577"/>
    <w:rsid w:val="006F74FA"/>
    <w:rsid w:val="00731ADD"/>
    <w:rsid w:val="00734777"/>
    <w:rsid w:val="00747932"/>
    <w:rsid w:val="00751A4A"/>
    <w:rsid w:val="00756632"/>
    <w:rsid w:val="0075747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FA"/>
    <w:rsid w:val="00AB6293"/>
    <w:rsid w:val="00AE0928"/>
    <w:rsid w:val="00AF3B82"/>
    <w:rsid w:val="00B07BD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6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C4598"/>
  <w15:chartTrackingRefBased/>
  <w15:docId w15:val="{C0049BB4-0036-40B5-90B3-5FB5DB39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6EEC"/>
    <w:pPr>
      <w:spacing w:before="480" w:after="240"/>
    </w:pPr>
  </w:style>
  <w:style w:type="paragraph" w:customStyle="1" w:styleId="NormalHanging12a">
    <w:name w:val="NormalHanging12a"/>
    <w:basedOn w:val="Normal"/>
    <w:rsid w:val="00066EEC"/>
    <w:pPr>
      <w:spacing w:after="240"/>
      <w:ind w:left="567" w:hanging="567"/>
    </w:pPr>
  </w:style>
  <w:style w:type="character" w:styleId="Hyperlink">
    <w:name w:val="Hyperlink"/>
    <w:basedOn w:val="DefaultParagraphFont"/>
    <w:rsid w:val="00066EEC"/>
    <w:rPr>
      <w:color w:val="0563C1" w:themeColor="hyperlink"/>
      <w:u w:val="single"/>
    </w:rPr>
  </w:style>
  <w:style w:type="paragraph" w:styleId="Revision">
    <w:name w:val="Revision"/>
    <w:hidden/>
    <w:uiPriority w:val="99"/>
    <w:semiHidden/>
    <w:rsid w:val="0050539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RO.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1123</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2026-07-07T13:02:00Z</dcterms:created>
  <dcterms:modified xsi:type="dcterms:W3CDTF">2026-07-07T13:02:00Z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A10-0180/2026</vt:lpwstr>
  </property>
  <property fmtid="{D5CDD505-2E9C-101B-9397-08002B2CF9AE}" pid="4" name="&lt;Type&gt;">
    <vt:lpwstr>RR</vt:lpwstr>
  </property>
</Properties>
</file>