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2DEA" w14:paraId="75D6D8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E1AC21" w14:textId="77777777" w:rsidR="00751A4A" w:rsidRPr="00E02DEA" w:rsidRDefault="00123045" w:rsidP="0010095E">
            <w:pPr>
              <w:pStyle w:val="EPName"/>
            </w:pPr>
            <w:r w:rsidRPr="00E02DEA">
              <w:t>Európsky parlament</w:t>
            </w:r>
          </w:p>
          <w:p w14:paraId="2E9546A1" w14:textId="77777777" w:rsidR="00751A4A" w:rsidRPr="00E02D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2DEA">
              <w:t>2024</w:t>
            </w:r>
            <w:r w:rsidR="00817416" w:rsidRPr="00E02DEA">
              <w:t>-202</w:t>
            </w:r>
            <w:r w:rsidRPr="00E02DEA">
              <w:t>9</w:t>
            </w:r>
          </w:p>
        </w:tc>
        <w:tc>
          <w:tcPr>
            <w:tcW w:w="2268" w:type="dxa"/>
            <w:shd w:val="clear" w:color="auto" w:fill="auto"/>
          </w:tcPr>
          <w:p w14:paraId="2FC363C2" w14:textId="77777777" w:rsidR="00751A4A" w:rsidRPr="00E02DEA" w:rsidRDefault="00187494" w:rsidP="0010095E">
            <w:pPr>
              <w:pStyle w:val="EPLogo"/>
            </w:pPr>
            <w:r w:rsidRPr="00E02DEA">
              <w:rPr>
                <w:noProof/>
                <w:lang w:eastAsia="ja-JP"/>
              </w:rPr>
              <w:drawing>
                <wp:inline distT="0" distB="0" distL="0" distR="0" wp14:anchorId="360C6A79" wp14:editId="155D86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C3F7F" w14:textId="77777777" w:rsidR="00D058B8" w:rsidRPr="00E02DEA" w:rsidRDefault="00D058B8" w:rsidP="004C5D52">
      <w:pPr>
        <w:pStyle w:val="LineTop"/>
      </w:pPr>
    </w:p>
    <w:p w14:paraId="128CC8E0" w14:textId="77777777" w:rsidR="00680577" w:rsidRPr="00E02DEA" w:rsidRDefault="00123045" w:rsidP="00680577">
      <w:pPr>
        <w:pStyle w:val="EPBodyTA1"/>
      </w:pPr>
      <w:r w:rsidRPr="00E02DEA">
        <w:t>PRIJATÉ TEXTY</w:t>
      </w:r>
    </w:p>
    <w:p w14:paraId="3E02F5C5" w14:textId="77777777" w:rsidR="00D058B8" w:rsidRPr="00E02DEA" w:rsidRDefault="00D058B8" w:rsidP="00D058B8">
      <w:pPr>
        <w:pStyle w:val="LineBottom"/>
      </w:pPr>
    </w:p>
    <w:p w14:paraId="129B497B" w14:textId="0654E718" w:rsidR="00123045" w:rsidRPr="00E02DEA" w:rsidRDefault="00123045" w:rsidP="00123045">
      <w:pPr>
        <w:pStyle w:val="ATHeading1"/>
      </w:pPr>
      <w:bookmarkStart w:id="0" w:name="TANumber"/>
      <w:r w:rsidRPr="00E02DEA">
        <w:t>P10_TA(2026)</w:t>
      </w:r>
      <w:r w:rsidR="00E02DEA" w:rsidRPr="00E02DEA">
        <w:t>0242</w:t>
      </w:r>
      <w:bookmarkEnd w:id="0"/>
    </w:p>
    <w:p w14:paraId="6A5EAF06" w14:textId="0A8E75B6" w:rsidR="00123045" w:rsidRPr="00E02DEA" w:rsidRDefault="00123045" w:rsidP="00123045">
      <w:pPr>
        <w:pStyle w:val="ATHeading2"/>
      </w:pPr>
      <w:bookmarkStart w:id="1" w:name="title"/>
      <w:r w:rsidRPr="00E02DEA">
        <w:t>Návrh opravného rozpočtu č. 1</w:t>
      </w:r>
      <w:r w:rsidR="00E02DEA" w:rsidRPr="00E02DEA">
        <w:t>/2026</w:t>
      </w:r>
      <w:r w:rsidRPr="00E02DEA">
        <w:t>: zahrnutie prebytku z rozpočtového roka 2025</w:t>
      </w:r>
      <w:bookmarkEnd w:id="1"/>
    </w:p>
    <w:p w14:paraId="4D6D73FD" w14:textId="77777777" w:rsidR="00123045" w:rsidRPr="00E02DEA" w:rsidRDefault="00123045" w:rsidP="00123045">
      <w:pPr>
        <w:rPr>
          <w:i/>
          <w:vanish/>
        </w:rPr>
      </w:pPr>
      <w:r w:rsidRPr="00E02DEA">
        <w:rPr>
          <w:i/>
        </w:rPr>
        <w:fldChar w:fldCharType="begin"/>
      </w:r>
      <w:r w:rsidRPr="00E02DEA">
        <w:rPr>
          <w:i/>
        </w:rPr>
        <w:instrText xml:space="preserve"> TC"(</w:instrText>
      </w:r>
      <w:bookmarkStart w:id="2" w:name="DocNumber"/>
      <w:r w:rsidRPr="00E02DEA">
        <w:rPr>
          <w:i/>
        </w:rPr>
        <w:instrText>A10-0180/2026</w:instrText>
      </w:r>
      <w:bookmarkEnd w:id="2"/>
      <w:r w:rsidRPr="00E02DEA">
        <w:rPr>
          <w:i/>
        </w:rPr>
        <w:instrText xml:space="preserve"> - Spravodajca: Andrzej Halicki)"\l3 \n&gt; \* MERGEFORMAT </w:instrText>
      </w:r>
      <w:r w:rsidRPr="00E02DEA">
        <w:rPr>
          <w:i/>
        </w:rPr>
        <w:fldChar w:fldCharType="end"/>
      </w:r>
    </w:p>
    <w:p w14:paraId="7B077F95" w14:textId="77777777" w:rsidR="00123045" w:rsidRPr="00E02DEA" w:rsidRDefault="00123045" w:rsidP="00123045">
      <w:pPr>
        <w:rPr>
          <w:vanish/>
        </w:rPr>
      </w:pPr>
      <w:bookmarkStart w:id="3" w:name="Commission"/>
      <w:r w:rsidRPr="00E02DEA">
        <w:rPr>
          <w:vanish/>
        </w:rPr>
        <w:t>Výbor pre rozpočet</w:t>
      </w:r>
      <w:bookmarkEnd w:id="3"/>
    </w:p>
    <w:p w14:paraId="69B66CB0" w14:textId="77777777" w:rsidR="00123045" w:rsidRPr="00E02DEA" w:rsidRDefault="00123045" w:rsidP="00123045">
      <w:pPr>
        <w:rPr>
          <w:vanish/>
        </w:rPr>
      </w:pPr>
      <w:bookmarkStart w:id="4" w:name="PE"/>
      <w:r w:rsidRPr="00E02DEA">
        <w:rPr>
          <w:vanish/>
        </w:rPr>
        <w:t>PE787.947</w:t>
      </w:r>
      <w:bookmarkEnd w:id="4"/>
    </w:p>
    <w:p w14:paraId="16749BFE" w14:textId="646ED972" w:rsidR="00123045" w:rsidRPr="00E02DEA" w:rsidRDefault="00123045" w:rsidP="00123045">
      <w:pPr>
        <w:pStyle w:val="ATHeading3"/>
      </w:pPr>
      <w:bookmarkStart w:id="5" w:name="Sujet"/>
      <w:r w:rsidRPr="00E02DEA">
        <w:t xml:space="preserve">Uznesenie Európskeho parlamentu zo </w:t>
      </w:r>
      <w:r w:rsidR="009324BC" w:rsidRPr="00E02DEA">
        <w:t>7</w:t>
      </w:r>
      <w:r w:rsidRPr="00E02DEA">
        <w:t xml:space="preserve">. </w:t>
      </w:r>
      <w:r w:rsidR="009324BC" w:rsidRPr="00E02DEA">
        <w:t xml:space="preserve">júla </w:t>
      </w:r>
      <w:r w:rsidRPr="00E02DEA">
        <w:t>2026 o pozícii Rady k návrhu opravného rozpočtu Európskej únie č. 1/2026 na rozpočtový rok 2026: zahrnutie prebytku z rozpočtového roka 2025</w:t>
      </w:r>
      <w:bookmarkEnd w:id="5"/>
      <w:r w:rsidRPr="00E02DEA">
        <w:t xml:space="preserve"> </w:t>
      </w:r>
      <w:bookmarkStart w:id="6" w:name="References"/>
      <w:r w:rsidRPr="00E02DEA">
        <w:t>(09919/2026 – C10-0145/2026 – 2026/0090(BUD))</w:t>
      </w:r>
      <w:bookmarkEnd w:id="6"/>
    </w:p>
    <w:p w14:paraId="4EB2BDE0" w14:textId="77777777" w:rsidR="00875242" w:rsidRPr="00E02DEA" w:rsidRDefault="00875242" w:rsidP="00875242">
      <w:pPr>
        <w:pStyle w:val="EPComma"/>
      </w:pPr>
      <w:bookmarkStart w:id="7" w:name="TextBodyBegin"/>
      <w:bookmarkEnd w:id="7"/>
      <w:r w:rsidRPr="00E02DEA">
        <w:rPr>
          <w:i/>
        </w:rPr>
        <w:t>Európsky parlament</w:t>
      </w:r>
      <w:r w:rsidRPr="00E02DEA">
        <w:t>,</w:t>
      </w:r>
    </w:p>
    <w:p w14:paraId="3A2B1F87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>so zreteľom na článok 314 Zmluvy o fungovaní Európskej únie,</w:t>
      </w:r>
    </w:p>
    <w:p w14:paraId="23656020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>so zreteľom na článok 106a Zmluvy o založení Európskeho spoločenstva pre atómovú energiu,</w:t>
      </w:r>
    </w:p>
    <w:p w14:paraId="03257C8D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 xml:space="preserve">so zreteľom na nariadenie Európskeho parlamentu a Rady (EÚ, </w:t>
      </w:r>
      <w:proofErr w:type="spellStart"/>
      <w:r w:rsidRPr="00E02DEA">
        <w:t>Euratom</w:t>
      </w:r>
      <w:proofErr w:type="spellEnd"/>
      <w:r w:rsidRPr="00E02DEA">
        <w:t>) 2024/2509 z 23. septembra 2024 o rozpočtových pravidlách, ktoré sa vzťahujú na všeobecný rozpočet Únie</w:t>
      </w:r>
      <w:r w:rsidRPr="00E02DEA">
        <w:rPr>
          <w:rStyle w:val="FootnoteReference"/>
        </w:rPr>
        <w:footnoteReference w:id="1"/>
      </w:r>
      <w:r w:rsidRPr="00E02DEA">
        <w:t>, a najmä na jeho článok 44,</w:t>
      </w:r>
    </w:p>
    <w:p w14:paraId="5027E74B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>so zreteľom na všeobecný rozpočet Európskej únie na rozpočtový rok 2026 prijatý s konečnou platnosťou 26. novembra 2025</w:t>
      </w:r>
      <w:r w:rsidRPr="00E02DEA">
        <w:rPr>
          <w:vertAlign w:val="superscript"/>
        </w:rPr>
        <w:footnoteReference w:id="2"/>
      </w:r>
      <w:r w:rsidRPr="00E02DEA">
        <w:t xml:space="preserve">, </w:t>
      </w:r>
    </w:p>
    <w:p w14:paraId="25E0F953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 xml:space="preserve">so zreteľom na nariadenie Rady (EÚ, </w:t>
      </w:r>
      <w:proofErr w:type="spellStart"/>
      <w:r w:rsidRPr="00E02DEA">
        <w:t>Euratom</w:t>
      </w:r>
      <w:proofErr w:type="spellEnd"/>
      <w:r w:rsidRPr="00E02DEA">
        <w:t>) 2020/2093 zo 17. decembra 2020, ktorým sa stanovuje viacročný finančný rámec na roky 2021 až 2027</w:t>
      </w:r>
      <w:r w:rsidRPr="00E02DEA">
        <w:rPr>
          <w:vertAlign w:val="superscript"/>
        </w:rPr>
        <w:footnoteReference w:id="3"/>
      </w:r>
      <w:r w:rsidRPr="00E02DEA">
        <w:t xml:space="preserve">, </w:t>
      </w:r>
    </w:p>
    <w:p w14:paraId="42C99DCC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 xml:space="preserve">so zreteľom na nariadenie Rady (EÚ, </w:t>
      </w:r>
      <w:proofErr w:type="spellStart"/>
      <w:r w:rsidRPr="00E02DEA">
        <w:t>Euratom</w:t>
      </w:r>
      <w:proofErr w:type="spellEnd"/>
      <w:r w:rsidRPr="00E02DEA">
        <w:t xml:space="preserve">) 2024/765, ktorým sa mení nariadenie (EÚ, </w:t>
      </w:r>
      <w:proofErr w:type="spellStart"/>
      <w:r w:rsidRPr="00E02DEA">
        <w:t>Euratom</w:t>
      </w:r>
      <w:proofErr w:type="spellEnd"/>
      <w:r w:rsidRPr="00E02DEA">
        <w:t>) 2020/2093, ktorým sa stanovuje viacročný finančný rámec na roky 2021 až 2027</w:t>
      </w:r>
      <w:r w:rsidRPr="00E02DEA">
        <w:rPr>
          <w:vertAlign w:val="superscript"/>
        </w:rPr>
        <w:footnoteReference w:id="4"/>
      </w:r>
      <w:r w:rsidRPr="00E02DEA">
        <w:t>,</w:t>
      </w:r>
    </w:p>
    <w:p w14:paraId="4BB7813C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 xml:space="preserve">so zreteľom na </w:t>
      </w:r>
      <w:proofErr w:type="spellStart"/>
      <w:r w:rsidRPr="00E02DEA">
        <w:t>Medziinštitucionálnu</w:t>
      </w:r>
      <w:proofErr w:type="spellEnd"/>
      <w:r w:rsidRPr="00E02DEA">
        <w:t xml:space="preserve"> dohodu zo 16. decembra 2020 medzi Európskym parlamentom, Radou Európskej únie a Európskou komisiou o rozpočtovej disciplíne, spolupráci v rozpočtových záležitostiach a správnom finančnom riadení, ako aj </w:t>
      </w:r>
      <w:r w:rsidRPr="00E02DEA">
        <w:lastRenderedPageBreak/>
        <w:t>o nových vlastných zdrojoch vrátane plánu na zavedenie nových vlastných zdrojov</w:t>
      </w:r>
      <w:r w:rsidRPr="00E02DEA">
        <w:rPr>
          <w:vertAlign w:val="superscript"/>
        </w:rPr>
        <w:footnoteReference w:id="5"/>
      </w:r>
      <w:r w:rsidRPr="00E02DEA">
        <w:t>,</w:t>
      </w:r>
    </w:p>
    <w:p w14:paraId="59E5CABD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 xml:space="preserve">so zreteľom na rozhodnutie Rady (EÚ, </w:t>
      </w:r>
      <w:proofErr w:type="spellStart"/>
      <w:r w:rsidRPr="00E02DEA">
        <w:t>Euratom</w:t>
      </w:r>
      <w:proofErr w:type="spellEnd"/>
      <w:r w:rsidRPr="00E02DEA">
        <w:t xml:space="preserve">) 2020/2053 zo 14. decembra 2020 o systéme vlastných zdrojov Európskej únie a o zrušení rozhodnutia 2014/335/EÚ, </w:t>
      </w:r>
      <w:proofErr w:type="spellStart"/>
      <w:r w:rsidRPr="00E02DEA">
        <w:t>Euratom</w:t>
      </w:r>
      <w:proofErr w:type="spellEnd"/>
      <w:r w:rsidRPr="00E02DEA">
        <w:rPr>
          <w:vertAlign w:val="superscript"/>
        </w:rPr>
        <w:footnoteReference w:id="6"/>
      </w:r>
      <w:r w:rsidRPr="00E02DEA">
        <w:t xml:space="preserve">, </w:t>
      </w:r>
    </w:p>
    <w:p w14:paraId="5F9F9CBC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>so zreteľom na svoje uznesenie z 28. apríla 2026 o návrhu nariadenia Rady, ktorým sa stanovuje viacročný finančný rámec na roky 2028 – 2034</w:t>
      </w:r>
      <w:r w:rsidRPr="00E02DEA">
        <w:rPr>
          <w:rStyle w:val="FootnoteReference"/>
        </w:rPr>
        <w:footnoteReference w:id="7"/>
      </w:r>
      <w:r w:rsidRPr="00E02DEA">
        <w:t xml:space="preserve">, </w:t>
      </w:r>
    </w:p>
    <w:p w14:paraId="094CBD9B" w14:textId="77777777" w:rsidR="00875242" w:rsidRPr="00E02DEA" w:rsidRDefault="00875242" w:rsidP="00875242">
      <w:pPr>
        <w:pStyle w:val="NormalHanging12a"/>
      </w:pPr>
      <w:bookmarkStart w:id="8" w:name="_Hlk229564682"/>
      <w:r w:rsidRPr="00E02DEA">
        <w:t>–</w:t>
      </w:r>
      <w:r w:rsidRPr="00E02DEA">
        <w:tab/>
        <w:t>so zreteľom na návrh opravného rozpočtu č. 1/2026, ktorý prijala Komisia 10. apríla 2026 (COM(2026)0450),</w:t>
      </w:r>
      <w:bookmarkEnd w:id="8"/>
    </w:p>
    <w:p w14:paraId="60128699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>so zreteľom na pozíciu k návrhu opravného rozpočtu č. 1/2026, ktorú prijala Rada 16. júna 2026 a postúpila Európskemu parlamentu 18. júna 2026 (09919/2026),</w:t>
      </w:r>
    </w:p>
    <w:p w14:paraId="41C28AA0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>so zreteľom na články 96 a 98 rokovacieho poriadku,</w:t>
      </w:r>
    </w:p>
    <w:p w14:paraId="5F4CFD4E" w14:textId="77777777" w:rsidR="00875242" w:rsidRPr="00E02DEA" w:rsidRDefault="00875242" w:rsidP="00875242">
      <w:pPr>
        <w:pStyle w:val="NormalHanging12a"/>
      </w:pPr>
      <w:r w:rsidRPr="00E02DEA">
        <w:t>–</w:t>
      </w:r>
      <w:r w:rsidRPr="00E02DEA">
        <w:tab/>
        <w:t>so zreteľom na správu Výboru pre rozpočet (A10-0180/2026),</w:t>
      </w:r>
    </w:p>
    <w:p w14:paraId="279E89BB" w14:textId="112CC1DD" w:rsidR="00875242" w:rsidRPr="00E02DEA" w:rsidRDefault="00875242" w:rsidP="00875242">
      <w:pPr>
        <w:pStyle w:val="NormalHanging12a"/>
      </w:pPr>
      <w:r w:rsidRPr="00E02DEA">
        <w:t>A.</w:t>
      </w:r>
      <w:r w:rsidRPr="00E02DEA">
        <w:tab/>
        <w:t>keďže účelom návrhu opravného rozpočtu č. 1/2026 je zahrnúť do rozpočtu na rok 2026 prebytok vyplývajúci z plnenia rozpočtového roka 2025, ktorý predstavuje 2 095</w:t>
      </w:r>
      <w:r w:rsidR="009324BC" w:rsidRPr="00E02DEA">
        <w:t> </w:t>
      </w:r>
      <w:r w:rsidRPr="00E02DEA">
        <w:t>miliónov EUR;</w:t>
      </w:r>
    </w:p>
    <w:p w14:paraId="08169019" w14:textId="77777777" w:rsidR="00875242" w:rsidRPr="00E02DEA" w:rsidRDefault="00875242" w:rsidP="00875242">
      <w:pPr>
        <w:pStyle w:val="NormalHanging12a"/>
      </w:pPr>
      <w:r w:rsidRPr="00E02DEA">
        <w:t>B.</w:t>
      </w:r>
      <w:r w:rsidRPr="00E02DEA">
        <w:tab/>
        <w:t>keďže hlavnými zložkami tohto prebytku sú kladný výsledok plnenia rozpočtu na strane príjmov vo výške 1 994 miliónov EUR, ako aj nevyčerpané prostriedky vo výške 101 miliónov EUR;</w:t>
      </w:r>
    </w:p>
    <w:p w14:paraId="64A2B54B" w14:textId="77777777" w:rsidR="00875242" w:rsidRPr="00E02DEA" w:rsidRDefault="00875242" w:rsidP="00875242">
      <w:pPr>
        <w:pStyle w:val="NormalHanging12a"/>
      </w:pPr>
      <w:r w:rsidRPr="00E02DEA">
        <w:t>C.</w:t>
      </w:r>
      <w:r w:rsidRPr="00E02DEA">
        <w:tab/>
        <w:t xml:space="preserve">keďže na strane príjmov je prebytok spôsobený najmä </w:t>
      </w:r>
      <w:bookmarkStart w:id="9" w:name="_Hlk233197369"/>
      <w:r w:rsidRPr="00E02DEA">
        <w:t>vyššou sumou ciel, než sa očakávalo, a to 860 miliónov EUR</w:t>
      </w:r>
      <w:bookmarkEnd w:id="9"/>
      <w:r w:rsidRPr="00E02DEA">
        <w:t xml:space="preserve">; keďže druhou hlavnou príčinou objemu prebytku je suma 840 miliónov EUR vo finančných príjmoch, úrokoch z omeškania a pokutách; </w:t>
      </w:r>
    </w:p>
    <w:p w14:paraId="5111F083" w14:textId="77777777" w:rsidR="00875242" w:rsidRPr="00E02DEA" w:rsidRDefault="00875242" w:rsidP="00875242">
      <w:pPr>
        <w:pStyle w:val="NormalHanging12a"/>
      </w:pPr>
      <w:r w:rsidRPr="00E02DEA">
        <w:t>D.</w:t>
      </w:r>
      <w:r w:rsidRPr="00E02DEA">
        <w:tab/>
        <w:t>keďže na strane výdavkov dosiahlo nedostatočné plnenie platieb všetkých inštitúcií vrátane zrušených prenesených rozpočtových prostriedkov celkovú výšku 111 miliónov EUR (čo predstavuje 0,04 % schválených platobných rozpočtových prostriedkov);</w:t>
      </w:r>
    </w:p>
    <w:p w14:paraId="3844AB81" w14:textId="77777777" w:rsidR="00875242" w:rsidRPr="00E02DEA" w:rsidRDefault="00875242" w:rsidP="00875242">
      <w:pPr>
        <w:pStyle w:val="NormalHanging12a"/>
      </w:pPr>
      <w:r w:rsidRPr="00E02DEA">
        <w:t>1.</w:t>
      </w:r>
      <w:r w:rsidRPr="00E02DEA">
        <w:tab/>
        <w:t>berie na vedomie návrh opravného rozpočtu č. 1/2026 predložený Komisiou, ktorého cieľom je zahrnúť do rozpočtu prebytok z roku 2025 vo výške 2 095 miliónov EUR v súlade s článkom 18 ods. 3 nariadenia o rozpočtových pravidlách;</w:t>
      </w:r>
      <w:sdt>
        <w:sdtPr>
          <w:tag w:val="goog_rdk_0"/>
          <w:id w:val="1937094721"/>
        </w:sdtPr>
        <w:sdtEndPr/>
        <w:sdtContent/>
      </w:sdt>
    </w:p>
    <w:p w14:paraId="3D744C81" w14:textId="77777777" w:rsidR="00875242" w:rsidRPr="00E02DEA" w:rsidRDefault="00875242" w:rsidP="00875242">
      <w:pPr>
        <w:pStyle w:val="NormalHanging12a"/>
      </w:pPr>
      <w:r w:rsidRPr="00E02DEA">
        <w:t>2.</w:t>
      </w:r>
      <w:r w:rsidRPr="00E02DEA">
        <w:tab/>
        <w:t xml:space="preserve">víta skutočnosť, že prebytok za rok 2025 je spôsobený najmä zvýšením zmien v hlave 1 (Vlastné zdroje, najmä clá) a hlave 4 (Finančné príjmy, úroky z omeškania a pokuty), zatiaľ čo prebytok výdavkov zostáva veľmi nízky na úrovni 101 miliónov EUR; </w:t>
      </w:r>
    </w:p>
    <w:p w14:paraId="31A7C622" w14:textId="77777777" w:rsidR="00875242" w:rsidRPr="00E02DEA" w:rsidRDefault="00875242" w:rsidP="00875242">
      <w:pPr>
        <w:pStyle w:val="NormalHanging12a"/>
      </w:pPr>
      <w:r w:rsidRPr="00E02DEA">
        <w:t>3.</w:t>
      </w:r>
      <w:r w:rsidRPr="00E02DEA">
        <w:tab/>
        <w:t xml:space="preserve">vyjadruje poľutovanie nad tým, že zahrnutím prebytku do rozpočtu sa znižuje o zodpovedajúcu sumu celkový príspevok členských štátov k financovaniu rozpočtu na rok 2026 založený na HND; zdôrazňuje, že v čase, keď sú potreby financovania naďalej vysoké, najmä pokiaľ ide o náklady na dlhovú službu Nástroja Európskej únie </w:t>
      </w:r>
      <w:r w:rsidRPr="00E02DEA">
        <w:lastRenderedPageBreak/>
        <w:t xml:space="preserve">na obnovu, a manévrovací priestor v rámci rozpočtu Únie zostáva mimoriadne obmedzený, rozpočet by si mal zachovať dostatočnú úroveň flexibility v posledných rokoch súčasného VFR, aby Únia dokázala čeliť nepredvídaným udalostiam; zdôrazňuje, že flexibilita rozpočtu Únie je jednou z kľúčových otázok, ktoré treba riešiť pri rokovaniach o viacročnom finančnom rámci na obdobie 2028 – 2034; </w:t>
      </w:r>
    </w:p>
    <w:p w14:paraId="0C68D4F4" w14:textId="77777777" w:rsidR="00875242" w:rsidRPr="00E02DEA" w:rsidRDefault="00875242" w:rsidP="00875242">
      <w:pPr>
        <w:pStyle w:val="NormalHanging12a"/>
      </w:pPr>
      <w:r w:rsidRPr="00E02DEA">
        <w:t>4.</w:t>
      </w:r>
      <w:r w:rsidRPr="00E02DEA">
        <w:tab/>
        <w:t>pripomína svoju dlhodobú pozíciu, že neočakávané zisky z pokút a poplatkov alebo ich ekvivalentné sumy by sa mali použiť ako dodatočný príjem do rozpočtu Únie a nemali by viesť k zodpovedajúcemu zníženiu príspevkov založených na HND;</w:t>
      </w:r>
    </w:p>
    <w:p w14:paraId="2CBE5CDF" w14:textId="77777777" w:rsidR="00875242" w:rsidRPr="00E02DEA" w:rsidRDefault="00875242" w:rsidP="00875242">
      <w:pPr>
        <w:pStyle w:val="NormalHanging12a"/>
      </w:pPr>
      <w:r w:rsidRPr="00E02DEA">
        <w:t>5.</w:t>
      </w:r>
      <w:r w:rsidRPr="00E02DEA">
        <w:tab/>
        <w:t>berie na vedomie výpočet upravených ročných paušálnych znížení HND pre päť prijímajúcich členských štátov, ktoré predstavujú približne 5,8 miliardy EUR netto; zdôrazňuje, že tieto zľavy súvisia s infláciou, a preto sa zvýšili vyšším tempom ako stropy VFR, ktoré sa každoročne upravujú na základe deflátora vo výške 2 %; zdôrazňuje, že táto anomália zvyšuje zaťaženie ostatných členských štátov;</w:t>
      </w:r>
    </w:p>
    <w:p w14:paraId="1DFDB4C0" w14:textId="77777777" w:rsidR="00875242" w:rsidRPr="00E02DEA" w:rsidRDefault="00875242" w:rsidP="00875242">
      <w:pPr>
        <w:pStyle w:val="NormalHanging12a"/>
      </w:pPr>
      <w:r w:rsidRPr="00E02DEA">
        <w:t>6.</w:t>
      </w:r>
      <w:r w:rsidRPr="00E02DEA">
        <w:tab/>
        <w:t>berie na vedomie zápornú príjmovú položku v rámci článku 425 vo výške 54 miliónov EUR a víta tento spôsob zahrnutia rozpočtových nákladov vyplývajúcich z platieb uskutočnených na základe dohody o urovnaní, ktorý zahŕňa kompenzačné úroky a náhradu úrokov z omeškania v súvislosti s vrátením zrušených alebo znížených pokút za hospodársku súťaž v súlade s príslušnými rozsudkami Súdneho dvora; pripomína, že Parlament pri rokovaniach o prepracovanom znení nariadenia o rozpočtových pravidlách z roku 2024 trval na uplatňovaní tohto prístupu, aby sa zabránilo vytváraniu dodatočných výdavkových rozpočtových prostriedkov v už preťaženom okruhu 7; pripomína, že toto riešenie sa skončí 31. decembra 2027; vyzýva Komisiu, aby pre nasledujúci VFR navrhla konečné riešenie, ktorým sa dosiahne rovnaký cieľ, a to vyhnúť sa akémukoľvek vplyvu na výdavkovú časť rozpočtu;</w:t>
      </w:r>
    </w:p>
    <w:p w14:paraId="290BE625" w14:textId="27911E13" w:rsidR="00875242" w:rsidRPr="00E02DEA" w:rsidRDefault="00875242" w:rsidP="00875242">
      <w:pPr>
        <w:pStyle w:val="NormalHanging12a"/>
      </w:pPr>
      <w:r w:rsidRPr="00E02DEA">
        <w:t>7.</w:t>
      </w:r>
      <w:r w:rsidRPr="00E02DEA">
        <w:tab/>
        <w:t xml:space="preserve">opakuje svoju dlhodobú výzvu na zabezpečenie udržateľných, predvídateľných a odolných príjmov do rozpočtu Únie podľa článku 310 ZFEÚ, ktoré by mali zodpovedať strane výdavkov a strategickým prioritám a identifikovaným potrebám financovania Únie; opätovne potvrdzuje </w:t>
      </w:r>
      <w:r w:rsidR="001A1C8F" w:rsidRPr="00E02DEA">
        <w:t xml:space="preserve">svoj </w:t>
      </w:r>
      <w:r w:rsidRPr="00E02DEA">
        <w:t>silný záväzok zaviesť nové vlastné zdroje, a to nielen na splácanie dlhu v rámci NGEU, ale aj na financovanie ambicióznejších politických cieľov Únie; pripomína, že bez nových skutočných vlastných zdrojov budú finančnú záťaž nevyhnutne znášať členské štáty prostredníctvom zvýšených príspevkov založených na HND; domnieva sa preto, že zavedenie skutočných nových tokov príjmov vo výške najmenej 60 miliárd EUR ročne je základnou podmienkou ambiciózneho viacročného finančného rámca na roky 2028 až 2034;</w:t>
      </w:r>
    </w:p>
    <w:p w14:paraId="4888DC5A" w14:textId="77777777" w:rsidR="00875242" w:rsidRPr="00E02DEA" w:rsidRDefault="00875242" w:rsidP="00875242">
      <w:pPr>
        <w:pStyle w:val="NormalHanging12a"/>
      </w:pPr>
      <w:r w:rsidRPr="00E02DEA">
        <w:t>8.</w:t>
      </w:r>
      <w:r w:rsidRPr="00E02DEA">
        <w:tab/>
        <w:t>schvaľuje pozíciu Rady k návrhu opravného rozpočtu č. 1/2026;</w:t>
      </w:r>
    </w:p>
    <w:p w14:paraId="457A4A67" w14:textId="77777777" w:rsidR="00875242" w:rsidRPr="00E02DEA" w:rsidRDefault="00875242" w:rsidP="00875242">
      <w:pPr>
        <w:pStyle w:val="NormalHanging12a"/>
      </w:pPr>
      <w:r w:rsidRPr="00E02DEA">
        <w:t>9.</w:t>
      </w:r>
      <w:r w:rsidRPr="00E02DEA">
        <w:tab/>
        <w:t xml:space="preserve">poveruje svoju predsedníčku, aby vyhlásila opravný rozpočet č. 1/2026 za prijatý s konečnou platnosťou a aby zabezpečila jeho uverejnenie v </w:t>
      </w:r>
      <w:r w:rsidRPr="00E02DEA">
        <w:rPr>
          <w:i/>
          <w:iCs/>
        </w:rPr>
        <w:t>Úradnom vestníku Európskej únie</w:t>
      </w:r>
      <w:r w:rsidRPr="00E02DEA">
        <w:t>;</w:t>
      </w:r>
    </w:p>
    <w:p w14:paraId="7F8525DC" w14:textId="4A75FEF0" w:rsidR="00A4111B" w:rsidRPr="00E02DEA" w:rsidRDefault="00875242" w:rsidP="00A4111B">
      <w:pPr>
        <w:pStyle w:val="NormalHanging12a"/>
      </w:pPr>
      <w:r w:rsidRPr="00E02DEA">
        <w:t>10.</w:t>
      </w:r>
      <w:r w:rsidRPr="00E02DEA">
        <w:tab/>
        <w:t>poveruje svoju predsedníčku, aby postúpila toto uznesenie Rade, Komisii a ďalším príslušným inštitúciám a orgánom, ako aj národným parlamentom.</w:t>
      </w:r>
    </w:p>
    <w:p w14:paraId="3B83C7E6" w14:textId="0E95353B" w:rsidR="00E365E1" w:rsidRPr="00E02DEA" w:rsidRDefault="00E365E1" w:rsidP="00123045"/>
    <w:sectPr w:rsidR="00E365E1" w:rsidRPr="00E02DEA" w:rsidSect="00A411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3B9C7" w14:textId="77777777" w:rsidR="00123045" w:rsidRPr="00A4111B" w:rsidRDefault="00123045">
      <w:r w:rsidRPr="00A4111B">
        <w:separator/>
      </w:r>
    </w:p>
  </w:endnote>
  <w:endnote w:type="continuationSeparator" w:id="0">
    <w:p w14:paraId="47B6532F" w14:textId="77777777" w:rsidR="00123045" w:rsidRPr="00A4111B" w:rsidRDefault="00123045">
      <w:r w:rsidRPr="00A411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72C6B" w14:textId="77777777" w:rsidR="00064002" w:rsidRPr="00A411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60636" w14:textId="77777777" w:rsidR="00064002" w:rsidRPr="00A411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C6FF7" w14:textId="77777777" w:rsidR="00064002" w:rsidRPr="00A411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B1596" w14:textId="77777777" w:rsidR="00123045" w:rsidRPr="00A4111B" w:rsidRDefault="00123045">
      <w:r w:rsidRPr="00A4111B">
        <w:separator/>
      </w:r>
    </w:p>
  </w:footnote>
  <w:footnote w:type="continuationSeparator" w:id="0">
    <w:p w14:paraId="6264FE4F" w14:textId="77777777" w:rsidR="00123045" w:rsidRPr="00A4111B" w:rsidRDefault="00123045">
      <w:r w:rsidRPr="00A4111B">
        <w:continuationSeparator/>
      </w:r>
    </w:p>
  </w:footnote>
  <w:footnote w:id="1">
    <w:p w14:paraId="2F87D508" w14:textId="530E1AF5" w:rsidR="00875242" w:rsidRPr="00A4111B" w:rsidRDefault="00875242" w:rsidP="00A4111B">
      <w:pPr>
        <w:pStyle w:val="FootnoteText"/>
        <w:ind w:left="567" w:hanging="567"/>
        <w:rPr>
          <w:sz w:val="24"/>
          <w:lang w:val="sk-SK"/>
        </w:rPr>
      </w:pPr>
      <w:r w:rsidRPr="00A4111B">
        <w:rPr>
          <w:rStyle w:val="FootnoteReference"/>
          <w:sz w:val="24"/>
          <w:lang w:val="sk-SK"/>
        </w:rPr>
        <w:footnoteRef/>
      </w:r>
      <w:r w:rsidR="00A4111B" w:rsidRPr="00A4111B">
        <w:rPr>
          <w:sz w:val="24"/>
          <w:lang w:val="sk-SK"/>
        </w:rPr>
        <w:t xml:space="preserve"> </w:t>
      </w:r>
      <w:r w:rsidR="00A4111B" w:rsidRPr="00A4111B">
        <w:rPr>
          <w:sz w:val="24"/>
          <w:lang w:val="sk-SK"/>
        </w:rPr>
        <w:tab/>
      </w:r>
      <w:r w:rsidRPr="00A4111B">
        <w:rPr>
          <w:sz w:val="24"/>
          <w:lang w:val="sk-SK"/>
        </w:rPr>
        <w:t xml:space="preserve">Ú. v. EÚ L, 2024/2509, 26.9.2024, ELI: </w:t>
      </w:r>
      <w:hyperlink r:id="rId1" w:tooltip="http://data.europa.eu/eli/reg/2024/2509/oj" w:history="1">
        <w:r w:rsidRPr="00A4111B">
          <w:rPr>
            <w:rStyle w:val="Hyperlink"/>
            <w:sz w:val="24"/>
            <w:lang w:val="sk-SK"/>
          </w:rPr>
          <w:t>http://data.europa.eu/eli/reg/2024/2509/oj</w:t>
        </w:r>
      </w:hyperlink>
      <w:r w:rsidRPr="00A4111B">
        <w:rPr>
          <w:sz w:val="24"/>
          <w:lang w:val="sk-SK"/>
        </w:rPr>
        <w:t>.</w:t>
      </w:r>
    </w:p>
  </w:footnote>
  <w:footnote w:id="2">
    <w:p w14:paraId="09046ECC" w14:textId="5BFB53D7" w:rsidR="00875242" w:rsidRPr="00A4111B" w:rsidRDefault="00875242" w:rsidP="00A4111B">
      <w:pPr>
        <w:pStyle w:val="FootnoteText"/>
        <w:ind w:left="567" w:hanging="567"/>
        <w:rPr>
          <w:sz w:val="24"/>
          <w:lang w:val="sk-SK"/>
        </w:rPr>
      </w:pPr>
      <w:r w:rsidRPr="00A4111B">
        <w:rPr>
          <w:rStyle w:val="FootnoteReference"/>
          <w:sz w:val="24"/>
          <w:lang w:val="sk-SK"/>
        </w:rPr>
        <w:footnoteRef/>
      </w:r>
      <w:r w:rsidR="00A4111B" w:rsidRPr="00A4111B">
        <w:rPr>
          <w:sz w:val="24"/>
          <w:lang w:val="sk-SK"/>
        </w:rPr>
        <w:t xml:space="preserve"> </w:t>
      </w:r>
      <w:r w:rsidR="00A4111B" w:rsidRPr="00A4111B">
        <w:rPr>
          <w:sz w:val="24"/>
          <w:lang w:val="sk-SK"/>
        </w:rPr>
        <w:tab/>
      </w:r>
      <w:r w:rsidRPr="00A4111B">
        <w:rPr>
          <w:sz w:val="24"/>
          <w:lang w:val="sk-SK"/>
        </w:rPr>
        <w:t xml:space="preserve">Ú. v. </w:t>
      </w:r>
      <w:r w:rsidRPr="00A4111B">
        <w:rPr>
          <w:sz w:val="24"/>
          <w:lang w:val="sk-SK"/>
        </w:rPr>
        <w:t xml:space="preserve">EÚ L, 2026/72, 26.2.2024, ELI: </w:t>
      </w:r>
      <w:hyperlink r:id="rId2" w:history="1">
        <w:r w:rsidRPr="00A4111B">
          <w:rPr>
            <w:rStyle w:val="Hyperlink"/>
            <w:sz w:val="24"/>
            <w:lang w:val="sk-SK"/>
          </w:rPr>
          <w:t>http://data.europa.eu/eli/budget/2026/72/oj</w:t>
        </w:r>
      </w:hyperlink>
      <w:r w:rsidRPr="00A4111B">
        <w:rPr>
          <w:sz w:val="24"/>
          <w:lang w:val="sk-SK"/>
        </w:rPr>
        <w:t>.</w:t>
      </w:r>
    </w:p>
  </w:footnote>
  <w:footnote w:id="3">
    <w:p w14:paraId="0A1B4840" w14:textId="5CF38A9C" w:rsidR="00875242" w:rsidRPr="00A4111B" w:rsidRDefault="00875242" w:rsidP="00A4111B">
      <w:pPr>
        <w:pStyle w:val="FootnoteText"/>
        <w:ind w:left="567" w:hanging="567"/>
        <w:rPr>
          <w:sz w:val="24"/>
          <w:lang w:val="sk-SK"/>
        </w:rPr>
      </w:pPr>
      <w:r w:rsidRPr="00A4111B">
        <w:rPr>
          <w:rStyle w:val="FootnoteReference"/>
          <w:sz w:val="24"/>
          <w:lang w:val="sk-SK"/>
        </w:rPr>
        <w:footnoteRef/>
      </w:r>
      <w:r w:rsidR="00A4111B" w:rsidRPr="00A4111B">
        <w:rPr>
          <w:sz w:val="24"/>
          <w:lang w:val="sk-SK"/>
        </w:rPr>
        <w:t xml:space="preserve"> </w:t>
      </w:r>
      <w:r w:rsidR="00A4111B" w:rsidRPr="00A4111B">
        <w:rPr>
          <w:sz w:val="24"/>
          <w:lang w:val="sk-SK"/>
        </w:rPr>
        <w:tab/>
      </w:r>
      <w:r w:rsidRPr="00A4111B">
        <w:rPr>
          <w:sz w:val="24"/>
          <w:lang w:val="sk-SK"/>
        </w:rPr>
        <w:t xml:space="preserve">Ú. v. EÚ L 433 I, 22.12.2020, s. </w:t>
      </w:r>
      <w:r w:rsidRPr="00A4111B">
        <w:rPr>
          <w:sz w:val="24"/>
          <w:lang w:val="sk-SK"/>
        </w:rPr>
        <w:t xml:space="preserve">11, ELI: </w:t>
      </w:r>
      <w:hyperlink r:id="rId3" w:history="1">
        <w:r w:rsidRPr="00A4111B">
          <w:rPr>
            <w:rStyle w:val="Hyperlink"/>
            <w:sz w:val="24"/>
            <w:lang w:val="sk-SK"/>
          </w:rPr>
          <w:t>http://data.europa.eu/eli/reg/2020/2093/oj</w:t>
        </w:r>
      </w:hyperlink>
      <w:r w:rsidRPr="00A4111B">
        <w:rPr>
          <w:sz w:val="24"/>
          <w:lang w:val="sk-SK"/>
        </w:rPr>
        <w:t>.</w:t>
      </w:r>
    </w:p>
  </w:footnote>
  <w:footnote w:id="4">
    <w:p w14:paraId="53AF854F" w14:textId="18F89CFE" w:rsidR="00875242" w:rsidRPr="00A4111B" w:rsidRDefault="00875242" w:rsidP="00A4111B">
      <w:pPr>
        <w:pStyle w:val="FootnoteText"/>
        <w:ind w:left="567" w:hanging="567"/>
        <w:rPr>
          <w:sz w:val="24"/>
          <w:lang w:val="sk-SK"/>
        </w:rPr>
      </w:pPr>
      <w:r w:rsidRPr="00A4111B">
        <w:rPr>
          <w:rStyle w:val="FootnoteReference"/>
          <w:sz w:val="24"/>
          <w:lang w:val="sk-SK"/>
        </w:rPr>
        <w:footnoteRef/>
      </w:r>
      <w:r w:rsidR="00A4111B" w:rsidRPr="00A4111B">
        <w:rPr>
          <w:sz w:val="24"/>
          <w:lang w:val="sk-SK"/>
        </w:rPr>
        <w:t xml:space="preserve"> </w:t>
      </w:r>
      <w:r w:rsidR="00A4111B" w:rsidRPr="00A4111B">
        <w:rPr>
          <w:sz w:val="24"/>
          <w:lang w:val="sk-SK"/>
        </w:rPr>
        <w:tab/>
      </w:r>
      <w:r w:rsidRPr="00A4111B">
        <w:rPr>
          <w:sz w:val="24"/>
          <w:lang w:val="sk-SK"/>
        </w:rPr>
        <w:t xml:space="preserve">Ú. v. </w:t>
      </w:r>
      <w:r w:rsidRPr="00A4111B">
        <w:rPr>
          <w:sz w:val="24"/>
          <w:lang w:val="sk-SK"/>
        </w:rPr>
        <w:t xml:space="preserve">EÚ L, 2024/765, 29.2.2024, ELI: </w:t>
      </w:r>
      <w:hyperlink r:id="rId4" w:history="1">
        <w:r w:rsidRPr="00A4111B">
          <w:rPr>
            <w:rStyle w:val="Hyperlink"/>
            <w:sz w:val="24"/>
            <w:lang w:val="sk-SK"/>
          </w:rPr>
          <w:t>http://data.europa.eu/eli/reg/2024/765/oj</w:t>
        </w:r>
      </w:hyperlink>
      <w:r w:rsidRPr="00A4111B">
        <w:rPr>
          <w:sz w:val="24"/>
          <w:lang w:val="sk-SK"/>
        </w:rPr>
        <w:t>.</w:t>
      </w:r>
    </w:p>
  </w:footnote>
  <w:footnote w:id="5">
    <w:p w14:paraId="0F99FB2C" w14:textId="12EA67E5" w:rsidR="00875242" w:rsidRPr="00A4111B" w:rsidRDefault="00875242" w:rsidP="00A4111B">
      <w:pPr>
        <w:pStyle w:val="FootnoteText"/>
        <w:ind w:left="567" w:hanging="567"/>
        <w:rPr>
          <w:sz w:val="24"/>
          <w:lang w:val="sk-SK"/>
        </w:rPr>
      </w:pPr>
      <w:r w:rsidRPr="00A4111B">
        <w:rPr>
          <w:rStyle w:val="FootnoteReference"/>
          <w:sz w:val="24"/>
          <w:lang w:val="sk-SK"/>
        </w:rPr>
        <w:footnoteRef/>
      </w:r>
      <w:r w:rsidR="00A4111B" w:rsidRPr="00A4111B">
        <w:rPr>
          <w:sz w:val="24"/>
          <w:lang w:val="sk-SK"/>
        </w:rPr>
        <w:t xml:space="preserve"> </w:t>
      </w:r>
      <w:r w:rsidR="00A4111B" w:rsidRPr="00A4111B">
        <w:rPr>
          <w:sz w:val="24"/>
          <w:lang w:val="sk-SK"/>
        </w:rPr>
        <w:tab/>
      </w:r>
      <w:r w:rsidRPr="00A4111B">
        <w:rPr>
          <w:sz w:val="24"/>
          <w:lang w:val="sk-SK"/>
        </w:rPr>
        <w:t>Ú. v. EÚ L 433 I, 22.12.2020, s. </w:t>
      </w:r>
      <w:r w:rsidRPr="00A4111B">
        <w:rPr>
          <w:sz w:val="24"/>
          <w:lang w:val="sk-SK"/>
        </w:rPr>
        <w:t xml:space="preserve">28, ELI: </w:t>
      </w:r>
      <w:hyperlink r:id="rId5" w:history="1">
        <w:r w:rsidRPr="00A4111B">
          <w:rPr>
            <w:rStyle w:val="Hyperlink"/>
            <w:sz w:val="24"/>
            <w:lang w:val="sk-SK"/>
          </w:rPr>
          <w:t>http://data.europa.eu/eli/agree_interinstit/2020/1222/oj</w:t>
        </w:r>
      </w:hyperlink>
    </w:p>
  </w:footnote>
  <w:footnote w:id="6">
    <w:p w14:paraId="214587CD" w14:textId="38AC107D" w:rsidR="00875242" w:rsidRPr="00A4111B" w:rsidRDefault="00875242" w:rsidP="00A4111B">
      <w:pPr>
        <w:pStyle w:val="FootnoteText"/>
        <w:ind w:left="567" w:hanging="567"/>
        <w:rPr>
          <w:sz w:val="24"/>
          <w:lang w:val="sk-SK"/>
        </w:rPr>
      </w:pPr>
      <w:r w:rsidRPr="00A4111B">
        <w:rPr>
          <w:rStyle w:val="FootnoteReference"/>
          <w:sz w:val="24"/>
          <w:lang w:val="sk-SK"/>
        </w:rPr>
        <w:footnoteRef/>
      </w:r>
      <w:r w:rsidR="00A4111B" w:rsidRPr="00A4111B">
        <w:rPr>
          <w:sz w:val="24"/>
          <w:lang w:val="sk-SK"/>
        </w:rPr>
        <w:t xml:space="preserve"> </w:t>
      </w:r>
      <w:r w:rsidR="00A4111B" w:rsidRPr="00A4111B">
        <w:rPr>
          <w:sz w:val="24"/>
          <w:lang w:val="sk-SK"/>
        </w:rPr>
        <w:tab/>
      </w:r>
      <w:r w:rsidRPr="00A4111B">
        <w:rPr>
          <w:sz w:val="24"/>
          <w:lang w:val="sk-SK"/>
        </w:rPr>
        <w:t xml:space="preserve">Ú. v. EÚ L 424,15.12.2020, s. </w:t>
      </w:r>
      <w:r w:rsidRPr="00A4111B">
        <w:rPr>
          <w:sz w:val="24"/>
          <w:lang w:val="sk-SK"/>
        </w:rPr>
        <w:t xml:space="preserve">1, ELI: </w:t>
      </w:r>
      <w:hyperlink r:id="rId6" w:history="1">
        <w:r w:rsidRPr="00A4111B">
          <w:rPr>
            <w:rStyle w:val="Hyperlink"/>
            <w:sz w:val="24"/>
            <w:lang w:val="sk-SK"/>
          </w:rPr>
          <w:t>http://data.europa.eu/eli/dec/2020/2053/oj</w:t>
        </w:r>
      </w:hyperlink>
      <w:r w:rsidRPr="00A4111B">
        <w:rPr>
          <w:sz w:val="24"/>
          <w:lang w:val="sk-SK"/>
        </w:rPr>
        <w:t>.</w:t>
      </w:r>
    </w:p>
  </w:footnote>
  <w:footnote w:id="7">
    <w:p w14:paraId="03777B86" w14:textId="1D4B31C7" w:rsidR="00875242" w:rsidRPr="00A4111B" w:rsidRDefault="00875242" w:rsidP="00A4111B">
      <w:pPr>
        <w:pStyle w:val="FootnoteText"/>
        <w:ind w:left="567" w:hanging="567"/>
        <w:rPr>
          <w:sz w:val="24"/>
          <w:lang w:val="sk-SK"/>
        </w:rPr>
      </w:pPr>
      <w:r w:rsidRPr="00A4111B">
        <w:rPr>
          <w:rStyle w:val="FootnoteReference"/>
          <w:sz w:val="24"/>
          <w:lang w:val="sk-SK"/>
        </w:rPr>
        <w:footnoteRef/>
      </w:r>
      <w:r w:rsidR="00A4111B" w:rsidRPr="00A4111B">
        <w:rPr>
          <w:sz w:val="24"/>
          <w:lang w:val="sk-SK"/>
        </w:rPr>
        <w:t xml:space="preserve"> </w:t>
      </w:r>
      <w:r w:rsidR="00A4111B" w:rsidRPr="00A4111B">
        <w:rPr>
          <w:sz w:val="24"/>
          <w:lang w:val="sk-SK"/>
        </w:rPr>
        <w:tab/>
      </w:r>
      <w:r w:rsidRPr="00A4111B">
        <w:rPr>
          <w:sz w:val="24"/>
          <w:lang w:val="sk-SK"/>
        </w:rPr>
        <w:t xml:space="preserve">Prijaté texty, </w:t>
      </w:r>
      <w:hyperlink r:id="rId7" w:history="1">
        <w:r w:rsidRPr="00A4111B">
          <w:rPr>
            <w:rStyle w:val="Hyperlink"/>
            <w:sz w:val="24"/>
            <w:lang w:val="sk-SK"/>
          </w:rPr>
          <w:t>P10_TA(2026)0111</w:t>
        </w:r>
      </w:hyperlink>
      <w:r w:rsidRPr="00A4111B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BA41" w14:textId="77777777" w:rsidR="00064002" w:rsidRPr="00A411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0A5" w14:textId="77777777" w:rsidR="00064002" w:rsidRPr="00A411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539A" w14:textId="77777777" w:rsidR="00064002" w:rsidRPr="00A411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0930052">
    <w:abstractNumId w:val="9"/>
  </w:num>
  <w:num w:numId="2" w16cid:durableId="149752666">
    <w:abstractNumId w:val="9"/>
  </w:num>
  <w:num w:numId="3" w16cid:durableId="1484857146">
    <w:abstractNumId w:val="7"/>
  </w:num>
  <w:num w:numId="4" w16cid:durableId="523322171">
    <w:abstractNumId w:val="7"/>
  </w:num>
  <w:num w:numId="5" w16cid:durableId="1269267353">
    <w:abstractNumId w:val="6"/>
  </w:num>
  <w:num w:numId="6" w16cid:durableId="1555895422">
    <w:abstractNumId w:val="6"/>
  </w:num>
  <w:num w:numId="7" w16cid:durableId="1526821347">
    <w:abstractNumId w:val="5"/>
  </w:num>
  <w:num w:numId="8" w16cid:durableId="472870904">
    <w:abstractNumId w:val="5"/>
  </w:num>
  <w:num w:numId="9" w16cid:durableId="657805325">
    <w:abstractNumId w:val="4"/>
  </w:num>
  <w:num w:numId="10" w16cid:durableId="672532238">
    <w:abstractNumId w:val="4"/>
  </w:num>
  <w:num w:numId="11" w16cid:durableId="67534668">
    <w:abstractNumId w:val="8"/>
  </w:num>
  <w:num w:numId="12" w16cid:durableId="587427753">
    <w:abstractNumId w:val="8"/>
  </w:num>
  <w:num w:numId="13" w16cid:durableId="1641568933">
    <w:abstractNumId w:val="3"/>
  </w:num>
  <w:num w:numId="14" w16cid:durableId="1726417398">
    <w:abstractNumId w:val="3"/>
  </w:num>
  <w:num w:numId="15" w16cid:durableId="655230579">
    <w:abstractNumId w:val="2"/>
  </w:num>
  <w:num w:numId="16" w16cid:durableId="1981304614">
    <w:abstractNumId w:val="2"/>
  </w:num>
  <w:num w:numId="17" w16cid:durableId="1300915796">
    <w:abstractNumId w:val="1"/>
  </w:num>
  <w:num w:numId="18" w16cid:durableId="1352218632">
    <w:abstractNumId w:val="1"/>
  </w:num>
  <w:num w:numId="19" w16cid:durableId="1334334677">
    <w:abstractNumId w:val="0"/>
  </w:num>
  <w:num w:numId="20" w16cid:durableId="846359758">
    <w:abstractNumId w:val="0"/>
  </w:num>
  <w:num w:numId="21" w16cid:durableId="857699287">
    <w:abstractNumId w:val="9"/>
  </w:num>
  <w:num w:numId="22" w16cid:durableId="1034771622">
    <w:abstractNumId w:val="7"/>
  </w:num>
  <w:num w:numId="23" w16cid:durableId="1454322009">
    <w:abstractNumId w:val="6"/>
  </w:num>
  <w:num w:numId="24" w16cid:durableId="593129298">
    <w:abstractNumId w:val="5"/>
  </w:num>
  <w:num w:numId="25" w16cid:durableId="846746227">
    <w:abstractNumId w:val="4"/>
  </w:num>
  <w:num w:numId="26" w16cid:durableId="390269651">
    <w:abstractNumId w:val="8"/>
  </w:num>
  <w:num w:numId="27" w16cid:durableId="1755320169">
    <w:abstractNumId w:val="3"/>
  </w:num>
  <w:num w:numId="28" w16cid:durableId="125050401">
    <w:abstractNumId w:val="2"/>
  </w:num>
  <w:num w:numId="29" w16cid:durableId="78138558">
    <w:abstractNumId w:val="1"/>
  </w:num>
  <w:num w:numId="30" w16cid:durableId="378940710">
    <w:abstractNumId w:val="0"/>
  </w:num>
  <w:num w:numId="31" w16cid:durableId="2067533316">
    <w:abstractNumId w:val="9"/>
  </w:num>
  <w:num w:numId="32" w16cid:durableId="876501698">
    <w:abstractNumId w:val="7"/>
  </w:num>
  <w:num w:numId="33" w16cid:durableId="670449691">
    <w:abstractNumId w:val="6"/>
  </w:num>
  <w:num w:numId="34" w16cid:durableId="110711995">
    <w:abstractNumId w:val="5"/>
  </w:num>
  <w:num w:numId="35" w16cid:durableId="484200861">
    <w:abstractNumId w:val="4"/>
  </w:num>
  <w:num w:numId="36" w16cid:durableId="843086738">
    <w:abstractNumId w:val="8"/>
  </w:num>
  <w:num w:numId="37" w16cid:durableId="39525372">
    <w:abstractNumId w:val="3"/>
  </w:num>
  <w:num w:numId="38" w16cid:durableId="1643533541">
    <w:abstractNumId w:val="2"/>
  </w:num>
  <w:num w:numId="39" w16cid:durableId="1969627918">
    <w:abstractNumId w:val="1"/>
  </w:num>
  <w:num w:numId="40" w16cid:durableId="492142475">
    <w:abstractNumId w:val="0"/>
  </w:num>
  <w:num w:numId="41" w16cid:durableId="1708749469">
    <w:abstractNumId w:val="10"/>
  </w:num>
  <w:num w:numId="42" w16cid:durableId="2146199468">
    <w:abstractNumId w:val="10"/>
  </w:num>
  <w:num w:numId="43" w16cid:durableId="1259022907">
    <w:abstractNumId w:val="10"/>
  </w:num>
  <w:num w:numId="44" w16cid:durableId="3981335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6"/>
    <w:docVar w:name="dvlangue" w:val="SK"/>
    <w:docVar w:name="dvnumam" w:val="0"/>
    <w:docVar w:name="dvpe" w:val="787.947"/>
    <w:docVar w:name="dvrapporteur" w:val="Spravodajca: "/>
    <w:docVar w:name="dvtitre" w:val="Uznesenie Európskeho parlamentu z/zo xx. xxx 2026 o pozícii Rady k návrhu opravného rozpočtu Európskej únie č. 1/2026 na rozpočtový rok 2026: zahrnutie prebytku z rozpočtového roka 2025(09919/2026 – C10-0145/2026 – 2026/0090(BUD))"/>
  </w:docVars>
  <w:rsids>
    <w:rsidRoot w:val="00123045"/>
    <w:rsid w:val="00002272"/>
    <w:rsid w:val="00064002"/>
    <w:rsid w:val="000677B9"/>
    <w:rsid w:val="000831BA"/>
    <w:rsid w:val="000A42CC"/>
    <w:rsid w:val="000E7DD9"/>
    <w:rsid w:val="0010095E"/>
    <w:rsid w:val="00123045"/>
    <w:rsid w:val="00125B37"/>
    <w:rsid w:val="00187494"/>
    <w:rsid w:val="001A1C8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6C0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242"/>
    <w:rsid w:val="00881A7B"/>
    <w:rsid w:val="008840E5"/>
    <w:rsid w:val="00887B3E"/>
    <w:rsid w:val="008C2AC6"/>
    <w:rsid w:val="0090221B"/>
    <w:rsid w:val="00930C23"/>
    <w:rsid w:val="0093193B"/>
    <w:rsid w:val="009324BC"/>
    <w:rsid w:val="009509D8"/>
    <w:rsid w:val="00950B64"/>
    <w:rsid w:val="00981893"/>
    <w:rsid w:val="00A1687D"/>
    <w:rsid w:val="00A4111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DEA"/>
    <w:rsid w:val="00E365E1"/>
    <w:rsid w:val="00E820A4"/>
    <w:rsid w:val="00EB006A"/>
    <w:rsid w:val="00EB4772"/>
    <w:rsid w:val="00ED169E"/>
    <w:rsid w:val="00ED4235"/>
    <w:rsid w:val="00EF158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FF507"/>
  <w15:chartTrackingRefBased/>
  <w15:docId w15:val="{98AC5930-AF2E-4E89-A4D6-D033543F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5242"/>
    <w:pPr>
      <w:spacing w:before="480" w:after="240"/>
    </w:pPr>
  </w:style>
  <w:style w:type="paragraph" w:customStyle="1" w:styleId="NormalHanging12a">
    <w:name w:val="NormalHanging12a"/>
    <w:basedOn w:val="Normal"/>
    <w:rsid w:val="00875242"/>
    <w:pPr>
      <w:spacing w:after="240"/>
      <w:ind w:left="567" w:hanging="567"/>
    </w:pPr>
  </w:style>
  <w:style w:type="character" w:styleId="Hyperlink">
    <w:name w:val="Hyperlink"/>
    <w:basedOn w:val="DefaultParagraphFont"/>
    <w:rsid w:val="0087524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324B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s://www.europarl.europa.eu/doceo/document/TA-10-2026-0111_SK.html" TargetMode="External"/><Relationship Id="rId2" Type="http://schemas.openxmlformats.org/officeDocument/2006/relationships/hyperlink" Target="http://data.europa.eu/eli/budget/2026/72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1013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2026-07-07T09:31:00Z</dcterms:created>
  <dcterms:modified xsi:type="dcterms:W3CDTF">2026-07-07T09:31:00Z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A10-0180/2026</vt:lpwstr>
  </property>
  <property fmtid="{D5CDD505-2E9C-101B-9397-08002B2CF9AE}" pid="4" name="&lt;Type&gt;">
    <vt:lpwstr>RR</vt:lpwstr>
  </property>
</Properties>
</file>