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F2A3E" w14:paraId="3F88AB54" w14:textId="77777777" w:rsidTr="0010095E">
        <w:trPr>
          <w:trHeight w:hRule="exact" w:val="1418"/>
        </w:trPr>
        <w:tc>
          <w:tcPr>
            <w:tcW w:w="6804" w:type="dxa"/>
            <w:shd w:val="clear" w:color="auto" w:fill="auto"/>
            <w:vAlign w:val="center"/>
          </w:tcPr>
          <w:p w14:paraId="274D9350" w14:textId="77777777" w:rsidR="00751A4A" w:rsidRPr="009F2A3E" w:rsidRDefault="00D90A18" w:rsidP="0010095E">
            <w:pPr>
              <w:pStyle w:val="EPName"/>
            </w:pPr>
            <w:r w:rsidRPr="009F2A3E">
              <w:t>Evropski parlament</w:t>
            </w:r>
          </w:p>
          <w:p w14:paraId="661929F8" w14:textId="77777777" w:rsidR="00751A4A" w:rsidRPr="009F2A3E" w:rsidRDefault="005F1B17" w:rsidP="005F1B17">
            <w:pPr>
              <w:pStyle w:val="EPTerm"/>
              <w:rPr>
                <w:rStyle w:val="HideTWBExt"/>
                <w:noProof w:val="0"/>
                <w:vanish w:val="0"/>
                <w:color w:val="auto"/>
              </w:rPr>
            </w:pPr>
            <w:r w:rsidRPr="009F2A3E">
              <w:t>2024</w:t>
            </w:r>
            <w:r w:rsidR="00817416" w:rsidRPr="009F2A3E">
              <w:t>-202</w:t>
            </w:r>
            <w:r w:rsidRPr="009F2A3E">
              <w:t>9</w:t>
            </w:r>
          </w:p>
        </w:tc>
        <w:tc>
          <w:tcPr>
            <w:tcW w:w="2268" w:type="dxa"/>
            <w:shd w:val="clear" w:color="auto" w:fill="auto"/>
          </w:tcPr>
          <w:p w14:paraId="6E6BFAFD" w14:textId="77777777" w:rsidR="00751A4A" w:rsidRPr="009F2A3E" w:rsidRDefault="00187494" w:rsidP="0010095E">
            <w:pPr>
              <w:pStyle w:val="EPLogo"/>
            </w:pPr>
            <w:r w:rsidRPr="009F2A3E">
              <w:rPr>
                <w:noProof/>
                <w:lang w:eastAsia="ja-JP"/>
              </w:rPr>
              <w:drawing>
                <wp:inline distT="0" distB="0" distL="0" distR="0" wp14:anchorId="4E9EEB5E" wp14:editId="41B8536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921933F" w14:textId="77777777" w:rsidR="00D058B8" w:rsidRPr="009F2A3E" w:rsidRDefault="00D058B8" w:rsidP="004C5D52">
      <w:pPr>
        <w:pStyle w:val="LineTop"/>
      </w:pPr>
    </w:p>
    <w:p w14:paraId="181AE102" w14:textId="77777777" w:rsidR="00680577" w:rsidRPr="009F2A3E" w:rsidRDefault="00D90A18" w:rsidP="00680577">
      <w:pPr>
        <w:pStyle w:val="EPBodyTA1"/>
      </w:pPr>
      <w:r w:rsidRPr="009F2A3E">
        <w:t>SPREJETA BESEDILA</w:t>
      </w:r>
    </w:p>
    <w:p w14:paraId="5A36CCC9" w14:textId="77777777" w:rsidR="00D058B8" w:rsidRPr="009F2A3E" w:rsidRDefault="00D058B8" w:rsidP="00D058B8">
      <w:pPr>
        <w:pStyle w:val="LineBottom"/>
      </w:pPr>
    </w:p>
    <w:p w14:paraId="035B2AAB" w14:textId="05B00B74" w:rsidR="00D90A18" w:rsidRPr="009F2A3E" w:rsidRDefault="00D90A18" w:rsidP="00D90A18">
      <w:pPr>
        <w:pStyle w:val="ATHeading1"/>
      </w:pPr>
      <w:bookmarkStart w:id="0" w:name="TANumber"/>
      <w:r w:rsidRPr="009F2A3E">
        <w:t>P10_TA(2026)</w:t>
      </w:r>
      <w:bookmarkEnd w:id="0"/>
      <w:r w:rsidR="00EA0234">
        <w:t>024</w:t>
      </w:r>
      <w:r w:rsidR="006421D7">
        <w:t>2</w:t>
      </w:r>
    </w:p>
    <w:p w14:paraId="5B8087F5" w14:textId="4DB41A03" w:rsidR="00D90A18" w:rsidRPr="009F2A3E" w:rsidRDefault="007E2B32" w:rsidP="007E2B32">
      <w:pPr>
        <w:pStyle w:val="ATHeading2"/>
      </w:pPr>
      <w:bookmarkStart w:id="1" w:name="title"/>
      <w:r w:rsidRPr="00FB4A1F">
        <w:t>Predlog spremembe proračuna št. 1</w:t>
      </w:r>
      <w:r w:rsidR="00364166" w:rsidRPr="00FB4A1F">
        <w:t>/</w:t>
      </w:r>
      <w:r w:rsidRPr="00FB4A1F">
        <w:t>2026</w:t>
      </w:r>
      <w:r w:rsidR="00364166" w:rsidRPr="00FB4A1F">
        <w:t xml:space="preserve">: </w:t>
      </w:r>
      <w:r w:rsidRPr="00FB4A1F">
        <w:t>vknjižba presežka iz proračunskega leta 2025</w:t>
      </w:r>
      <w:bookmarkEnd w:id="1"/>
    </w:p>
    <w:p w14:paraId="6CECB7CA" w14:textId="77777777" w:rsidR="00D90A18" w:rsidRPr="009F2A3E" w:rsidRDefault="00D90A18" w:rsidP="00D90A18">
      <w:pPr>
        <w:rPr>
          <w:i/>
          <w:vanish/>
        </w:rPr>
      </w:pPr>
      <w:r w:rsidRPr="009F2A3E">
        <w:rPr>
          <w:i/>
        </w:rPr>
        <w:fldChar w:fldCharType="begin"/>
      </w:r>
      <w:r w:rsidRPr="009F2A3E">
        <w:rPr>
          <w:i/>
        </w:rPr>
        <w:instrText xml:space="preserve"> TC"(</w:instrText>
      </w:r>
      <w:bookmarkStart w:id="2" w:name="DocNumber"/>
      <w:r w:rsidRPr="009F2A3E">
        <w:rPr>
          <w:i/>
        </w:rPr>
        <w:instrText>A10-0180/2026</w:instrText>
      </w:r>
      <w:bookmarkEnd w:id="2"/>
      <w:r w:rsidRPr="009F2A3E">
        <w:rPr>
          <w:i/>
        </w:rPr>
        <w:instrText xml:space="preserve"> - Poročevalec: </w:instrText>
      </w:r>
      <w:proofErr w:type="spellStart"/>
      <w:r w:rsidRPr="009F2A3E">
        <w:rPr>
          <w:i/>
        </w:rPr>
        <w:instrText>Andrzej</w:instrText>
      </w:r>
      <w:proofErr w:type="spellEnd"/>
      <w:r w:rsidRPr="009F2A3E">
        <w:rPr>
          <w:i/>
        </w:rPr>
        <w:instrText xml:space="preserve"> </w:instrText>
      </w:r>
      <w:proofErr w:type="spellStart"/>
      <w:r w:rsidRPr="009F2A3E">
        <w:rPr>
          <w:i/>
        </w:rPr>
        <w:instrText>Halicki</w:instrText>
      </w:r>
      <w:proofErr w:type="spellEnd"/>
      <w:r w:rsidRPr="009F2A3E">
        <w:rPr>
          <w:i/>
        </w:rPr>
        <w:instrText xml:space="preserve">)"\l3 \n&gt; \* MERGEFORMAT </w:instrText>
      </w:r>
      <w:r w:rsidRPr="009F2A3E">
        <w:rPr>
          <w:i/>
        </w:rPr>
        <w:fldChar w:fldCharType="end"/>
      </w:r>
    </w:p>
    <w:p w14:paraId="5053AEE7" w14:textId="319C98C1" w:rsidR="00D90A18" w:rsidRPr="009F2A3E" w:rsidRDefault="00D90A18" w:rsidP="00D90A18">
      <w:pPr>
        <w:rPr>
          <w:vanish/>
        </w:rPr>
      </w:pPr>
      <w:bookmarkStart w:id="3" w:name="Commission"/>
      <w:r w:rsidRPr="009F2A3E">
        <w:rPr>
          <w:vanish/>
        </w:rPr>
        <w:t>Odbor za proračun</w:t>
      </w:r>
      <w:bookmarkEnd w:id="3"/>
    </w:p>
    <w:p w14:paraId="3569AAC3" w14:textId="26CBE371" w:rsidR="00D90A18" w:rsidRPr="009F2A3E" w:rsidRDefault="00D90A18" w:rsidP="00D90A18">
      <w:pPr>
        <w:rPr>
          <w:vanish/>
        </w:rPr>
      </w:pPr>
      <w:bookmarkStart w:id="4" w:name="PE"/>
      <w:r w:rsidRPr="009F2A3E">
        <w:rPr>
          <w:vanish/>
        </w:rPr>
        <w:t>PE787.947</w:t>
      </w:r>
      <w:bookmarkEnd w:id="4"/>
    </w:p>
    <w:p w14:paraId="31C8C253" w14:textId="4861AC02" w:rsidR="00D90A18" w:rsidRPr="009F2A3E" w:rsidRDefault="00D90A18" w:rsidP="00D90A18">
      <w:pPr>
        <w:pStyle w:val="ATHeading3"/>
      </w:pPr>
      <w:bookmarkStart w:id="5" w:name="Sujet"/>
      <w:bookmarkStart w:id="6" w:name="_Hlk234325477"/>
      <w:r w:rsidRPr="009F2A3E">
        <w:t xml:space="preserve">Resolucija Evropskega parlamenta z dne </w:t>
      </w:r>
      <w:r w:rsidR="00FB4A1F">
        <w:t>7.</w:t>
      </w:r>
      <w:r w:rsidR="00FB4A1F" w:rsidRPr="009F2A3E">
        <w:t xml:space="preserve"> </w:t>
      </w:r>
      <w:r w:rsidR="00DC1DDA">
        <w:t xml:space="preserve">julija </w:t>
      </w:r>
      <w:r w:rsidRPr="009F2A3E">
        <w:t xml:space="preserve">2026 o stališču Sveta o predlogu spremembe proračuna Evropske unije št. 1/2026 za proračunsko leto 2026 </w:t>
      </w:r>
      <w:r w:rsidR="00E50368">
        <w:t xml:space="preserve">glede </w:t>
      </w:r>
      <w:r w:rsidRPr="009F2A3E">
        <w:t>vknjižb</w:t>
      </w:r>
      <w:r w:rsidR="00E50368">
        <w:t>e</w:t>
      </w:r>
      <w:r w:rsidRPr="009F2A3E">
        <w:t xml:space="preserve"> presežka iz proračunskega leta 2025</w:t>
      </w:r>
      <w:bookmarkEnd w:id="5"/>
      <w:r w:rsidRPr="009F2A3E">
        <w:t xml:space="preserve"> </w:t>
      </w:r>
      <w:bookmarkStart w:id="7" w:name="References"/>
      <w:r w:rsidRPr="009F2A3E">
        <w:t>(09919/2026 – C10-0145/2026 – 2026/0090(BUD))</w:t>
      </w:r>
      <w:bookmarkEnd w:id="7"/>
      <w:bookmarkEnd w:id="6"/>
    </w:p>
    <w:p w14:paraId="78677CCC" w14:textId="77777777" w:rsidR="005847AE" w:rsidRPr="009F2A3E" w:rsidRDefault="005847AE" w:rsidP="005847AE">
      <w:pPr>
        <w:pStyle w:val="EPComma"/>
      </w:pPr>
      <w:r w:rsidRPr="009F2A3E">
        <w:rPr>
          <w:i/>
        </w:rPr>
        <w:t>Evropski parlament</w:t>
      </w:r>
      <w:r w:rsidRPr="009F2A3E">
        <w:t>,</w:t>
      </w:r>
    </w:p>
    <w:p w14:paraId="352B99AB" w14:textId="77777777" w:rsidR="005847AE" w:rsidRPr="009F2A3E" w:rsidRDefault="005847AE" w:rsidP="005847AE">
      <w:pPr>
        <w:pStyle w:val="NormalHanging12a"/>
      </w:pPr>
      <w:r w:rsidRPr="009F2A3E">
        <w:t>–</w:t>
      </w:r>
      <w:r w:rsidRPr="009F2A3E">
        <w:tab/>
        <w:t>ob upoštevanju člena 314 Pogodbe o delovanju Evropske unije,</w:t>
      </w:r>
    </w:p>
    <w:p w14:paraId="64B2FCD3" w14:textId="77777777" w:rsidR="005847AE" w:rsidRPr="009F2A3E" w:rsidRDefault="005847AE" w:rsidP="005847AE">
      <w:pPr>
        <w:pStyle w:val="NormalHanging12a"/>
      </w:pPr>
      <w:r w:rsidRPr="009F2A3E">
        <w:t>–</w:t>
      </w:r>
      <w:r w:rsidRPr="009F2A3E">
        <w:tab/>
        <w:t>ob upoštevanju člena 106a Pogodbe o ustanovitvi Evropske skupnosti za atomsko energijo,</w:t>
      </w:r>
    </w:p>
    <w:p w14:paraId="419A2456" w14:textId="77777777" w:rsidR="005847AE" w:rsidRPr="009F2A3E" w:rsidRDefault="005847AE" w:rsidP="005847AE">
      <w:pPr>
        <w:pStyle w:val="NormalHanging12a"/>
      </w:pPr>
      <w:r w:rsidRPr="009F2A3E">
        <w:t>–</w:t>
      </w:r>
      <w:r w:rsidRPr="009F2A3E">
        <w:tab/>
        <w:t xml:space="preserve">ob upoštevanju Uredbe (EU, </w:t>
      </w:r>
      <w:proofErr w:type="spellStart"/>
      <w:r w:rsidRPr="009F2A3E">
        <w:t>Euratom</w:t>
      </w:r>
      <w:proofErr w:type="spellEnd"/>
      <w:r w:rsidRPr="009F2A3E">
        <w:t>) 2024/2509 Evropskega parlamenta in Sveta z dne 23. septembra 2024 o finančnih pravilih, ki se uporabljajo za splošni proračun Unije</w:t>
      </w:r>
      <w:r w:rsidRPr="009F2A3E">
        <w:rPr>
          <w:rStyle w:val="FootnoteReference"/>
        </w:rPr>
        <w:footnoteReference w:id="1"/>
      </w:r>
      <w:r w:rsidRPr="009F2A3E">
        <w:t>, in zlasti člena 44,</w:t>
      </w:r>
    </w:p>
    <w:p w14:paraId="5170D07B" w14:textId="72E2C26A" w:rsidR="005847AE" w:rsidRPr="009F2A3E" w:rsidRDefault="005847AE" w:rsidP="005847AE">
      <w:pPr>
        <w:pStyle w:val="NormalHanging12a"/>
      </w:pPr>
      <w:r w:rsidRPr="009F2A3E">
        <w:t>–</w:t>
      </w:r>
      <w:r w:rsidRPr="009F2A3E">
        <w:tab/>
        <w:t xml:space="preserve">ob upoštevanju splošnega proračuna Evropske unije za proračunsko leto 2026, </w:t>
      </w:r>
      <w:r w:rsidR="00364166">
        <w:t>ki</w:t>
      </w:r>
      <w:r w:rsidR="00364166" w:rsidRPr="009F2A3E">
        <w:t xml:space="preserve"> </w:t>
      </w:r>
      <w:r w:rsidRPr="009F2A3E">
        <w:t>je bil dokončno sprejet 26. novembra 2025</w:t>
      </w:r>
      <w:r w:rsidRPr="009F2A3E">
        <w:rPr>
          <w:vertAlign w:val="superscript"/>
        </w:rPr>
        <w:footnoteReference w:id="2"/>
      </w:r>
      <w:r w:rsidRPr="009F2A3E">
        <w:t>,</w:t>
      </w:r>
    </w:p>
    <w:p w14:paraId="6FFAE555" w14:textId="77777777" w:rsidR="005847AE" w:rsidRPr="009F2A3E" w:rsidRDefault="005847AE" w:rsidP="005847AE">
      <w:pPr>
        <w:pStyle w:val="NormalHanging12a"/>
      </w:pPr>
      <w:r w:rsidRPr="009F2A3E">
        <w:t>–</w:t>
      </w:r>
      <w:r w:rsidRPr="009F2A3E">
        <w:tab/>
        <w:t xml:space="preserve">ob upoštevanju Uredbe Sveta (EU, </w:t>
      </w:r>
      <w:proofErr w:type="spellStart"/>
      <w:r w:rsidRPr="009F2A3E">
        <w:t>Euratom</w:t>
      </w:r>
      <w:proofErr w:type="spellEnd"/>
      <w:r w:rsidRPr="009F2A3E">
        <w:t>) 2020/2093 z dne 17. decembra 2020 o določitvi večletnega finančnega okvira za obdobje 2021–2027</w:t>
      </w:r>
      <w:r w:rsidRPr="009F2A3E">
        <w:rPr>
          <w:vertAlign w:val="superscript"/>
        </w:rPr>
        <w:footnoteReference w:id="3"/>
      </w:r>
      <w:r w:rsidRPr="009F2A3E">
        <w:t>,</w:t>
      </w:r>
    </w:p>
    <w:p w14:paraId="073CE83E" w14:textId="77777777" w:rsidR="005847AE" w:rsidRPr="009F2A3E" w:rsidRDefault="005847AE" w:rsidP="005847AE">
      <w:pPr>
        <w:pStyle w:val="NormalHanging12a"/>
      </w:pPr>
      <w:r w:rsidRPr="009F2A3E">
        <w:t>–</w:t>
      </w:r>
      <w:r w:rsidRPr="009F2A3E">
        <w:tab/>
        <w:t xml:space="preserve">ob upoštevanju Uredbe Sveta (EU, </w:t>
      </w:r>
      <w:proofErr w:type="spellStart"/>
      <w:r w:rsidRPr="009F2A3E">
        <w:t>Euratom</w:t>
      </w:r>
      <w:proofErr w:type="spellEnd"/>
      <w:r w:rsidRPr="009F2A3E">
        <w:t xml:space="preserve">) 2024/765 o spremembi Uredbe (EU, </w:t>
      </w:r>
      <w:proofErr w:type="spellStart"/>
      <w:r w:rsidRPr="009F2A3E">
        <w:t>Euratom</w:t>
      </w:r>
      <w:proofErr w:type="spellEnd"/>
      <w:r w:rsidRPr="009F2A3E">
        <w:t>) 2020/2093 o določitvi večletnega finančnega okvira za obdobje 2021–2027</w:t>
      </w:r>
      <w:r w:rsidRPr="009F2A3E">
        <w:rPr>
          <w:vertAlign w:val="superscript"/>
        </w:rPr>
        <w:footnoteReference w:id="4"/>
      </w:r>
      <w:r w:rsidRPr="009F2A3E">
        <w:t>,</w:t>
      </w:r>
    </w:p>
    <w:p w14:paraId="46A63777" w14:textId="77777777" w:rsidR="005847AE" w:rsidRPr="009F2A3E" w:rsidRDefault="005847AE" w:rsidP="005847AE">
      <w:pPr>
        <w:pStyle w:val="NormalHanging12a"/>
      </w:pPr>
      <w:r w:rsidRPr="009F2A3E">
        <w:t>–</w:t>
      </w:r>
      <w:r w:rsidRPr="009F2A3E">
        <w:tab/>
        <w:t xml:space="preserve">ob upoštevanju Medinstitucionalnega sporazuma z dne 16. decembra 2020 med Evropskim parlamentom, Svetom Evropske unije in Evropsko komisijo o proračunski disciplini, sodelovanju v proračunskih zadevah in dobrem finančnem </w:t>
      </w:r>
      <w:proofErr w:type="spellStart"/>
      <w:r w:rsidRPr="009F2A3E">
        <w:t>poslovodenju</w:t>
      </w:r>
      <w:proofErr w:type="spellEnd"/>
      <w:r w:rsidRPr="009F2A3E">
        <w:t xml:space="preserve"> ter novih virih lastnih sredstev, vključno s časovnim načrtom za uvedbo novih virov lastnih </w:t>
      </w:r>
      <w:r w:rsidRPr="009F2A3E">
        <w:lastRenderedPageBreak/>
        <w:t>sredstev</w:t>
      </w:r>
      <w:r w:rsidRPr="009F2A3E">
        <w:rPr>
          <w:vertAlign w:val="superscript"/>
        </w:rPr>
        <w:footnoteReference w:id="5"/>
      </w:r>
      <w:r w:rsidRPr="009F2A3E">
        <w:t>,</w:t>
      </w:r>
    </w:p>
    <w:p w14:paraId="71AA98C2" w14:textId="77777777" w:rsidR="005847AE" w:rsidRPr="009F2A3E" w:rsidRDefault="005847AE" w:rsidP="005847AE">
      <w:pPr>
        <w:pStyle w:val="NormalHanging12a"/>
      </w:pPr>
      <w:r w:rsidRPr="009F2A3E">
        <w:t>–</w:t>
      </w:r>
      <w:r w:rsidRPr="009F2A3E">
        <w:tab/>
        <w:t xml:space="preserve">ob upoštevanju Sklepa Sveta (EU, </w:t>
      </w:r>
      <w:proofErr w:type="spellStart"/>
      <w:r w:rsidRPr="009F2A3E">
        <w:t>Euratom</w:t>
      </w:r>
      <w:proofErr w:type="spellEnd"/>
      <w:r w:rsidRPr="009F2A3E">
        <w:t xml:space="preserve">) 2020/2053 z dne 14. decembra 2020 o sistemu virov lastnih sredstev Evropske unije in razveljavitvi Sklepa 2014/335/EU, </w:t>
      </w:r>
      <w:proofErr w:type="spellStart"/>
      <w:r w:rsidRPr="009F2A3E">
        <w:t>Euratom</w:t>
      </w:r>
      <w:proofErr w:type="spellEnd"/>
      <w:r w:rsidRPr="009F2A3E">
        <w:rPr>
          <w:vertAlign w:val="superscript"/>
        </w:rPr>
        <w:footnoteReference w:id="6"/>
      </w:r>
      <w:r w:rsidRPr="009F2A3E">
        <w:t>,</w:t>
      </w:r>
    </w:p>
    <w:p w14:paraId="38B34416" w14:textId="77777777" w:rsidR="005847AE" w:rsidRPr="009F2A3E" w:rsidRDefault="005847AE" w:rsidP="005847AE">
      <w:pPr>
        <w:pStyle w:val="NormalHanging12a"/>
      </w:pPr>
      <w:r w:rsidRPr="009F2A3E">
        <w:t>–</w:t>
      </w:r>
      <w:r w:rsidRPr="009F2A3E">
        <w:tab/>
        <w:t>ob upoštevanju svoje resolucije z dne 28. aprila 2026 o predlogu uredbe Sveta o določitvi večletnega finančnega okvira za obdobje 2028–2034</w:t>
      </w:r>
      <w:r w:rsidRPr="009F2A3E">
        <w:rPr>
          <w:rStyle w:val="FootnoteReference"/>
        </w:rPr>
        <w:footnoteReference w:id="7"/>
      </w:r>
      <w:r w:rsidRPr="009F2A3E">
        <w:t>,</w:t>
      </w:r>
    </w:p>
    <w:p w14:paraId="5047D256" w14:textId="77777777" w:rsidR="005847AE" w:rsidRPr="009F2A3E" w:rsidRDefault="005847AE" w:rsidP="005847AE">
      <w:pPr>
        <w:pStyle w:val="NormalHanging12a"/>
      </w:pPr>
      <w:bookmarkStart w:id="8" w:name="_Hlk229564682"/>
      <w:r w:rsidRPr="009F2A3E">
        <w:t>–</w:t>
      </w:r>
      <w:r w:rsidRPr="009F2A3E">
        <w:tab/>
        <w:t>ob upoštevanju predloga spremembe proračuna št. 1/2026, ki ga je Komisija sprejela 10. aprila 2026 (COM(2026)0450),</w:t>
      </w:r>
      <w:bookmarkEnd w:id="8"/>
    </w:p>
    <w:p w14:paraId="6E5D1EFB" w14:textId="0AA04FE6" w:rsidR="005847AE" w:rsidRPr="009F2A3E" w:rsidRDefault="005847AE" w:rsidP="005847AE">
      <w:pPr>
        <w:pStyle w:val="NormalHanging12a"/>
      </w:pPr>
      <w:r w:rsidRPr="009F2A3E">
        <w:t>–</w:t>
      </w:r>
      <w:r w:rsidRPr="009F2A3E">
        <w:tab/>
        <w:t>ob upoštevanju stališča o predlogu spremembe proračuna št. 1/2026, ki ga je Svet sprejel 16. junija 2026 in ga 18. junija 2026 posredoval Evropskemu parlamentu (09919/2026),</w:t>
      </w:r>
    </w:p>
    <w:p w14:paraId="057A790D" w14:textId="77777777" w:rsidR="005847AE" w:rsidRPr="009F2A3E" w:rsidRDefault="005847AE" w:rsidP="005847AE">
      <w:pPr>
        <w:pStyle w:val="NormalHanging12a"/>
      </w:pPr>
      <w:r w:rsidRPr="009F2A3E">
        <w:t>–</w:t>
      </w:r>
      <w:r w:rsidRPr="009F2A3E">
        <w:tab/>
        <w:t>ob upoštevanju členov 96 in 98 Poslovnika,</w:t>
      </w:r>
    </w:p>
    <w:p w14:paraId="4682908F" w14:textId="77777777" w:rsidR="005847AE" w:rsidRPr="009F2A3E" w:rsidRDefault="005847AE" w:rsidP="005847AE">
      <w:pPr>
        <w:pStyle w:val="NormalHanging12a"/>
      </w:pPr>
      <w:r w:rsidRPr="009F2A3E">
        <w:t>–</w:t>
      </w:r>
      <w:r w:rsidRPr="009F2A3E">
        <w:tab/>
        <w:t>ob upoštevanju poročila Odbora za proračun (A10</w:t>
      </w:r>
      <w:r w:rsidRPr="009F2A3E">
        <w:noBreakHyphen/>
        <w:t>0180/2026),</w:t>
      </w:r>
    </w:p>
    <w:p w14:paraId="19F09791" w14:textId="77777777" w:rsidR="005847AE" w:rsidRPr="009F2A3E" w:rsidRDefault="005847AE" w:rsidP="005847AE">
      <w:pPr>
        <w:pStyle w:val="NormalHanging12a"/>
      </w:pPr>
      <w:r w:rsidRPr="009F2A3E">
        <w:t>A.</w:t>
      </w:r>
      <w:r w:rsidRPr="009F2A3E">
        <w:tab/>
        <w:t>ker je predlog spremembe proračuna št. 1/2026 namenjen temu, da se v proračun za leto 2026 vključi presežek iz proračunskega leta 2025, ki znaša 2 095 milijonov EUR;</w:t>
      </w:r>
    </w:p>
    <w:p w14:paraId="3DF35271" w14:textId="77777777" w:rsidR="005847AE" w:rsidRPr="009F2A3E" w:rsidRDefault="005847AE" w:rsidP="005847AE">
      <w:pPr>
        <w:pStyle w:val="NormalHanging12a"/>
      </w:pPr>
      <w:r w:rsidRPr="009F2A3E">
        <w:t>B.</w:t>
      </w:r>
      <w:r w:rsidRPr="009F2A3E">
        <w:tab/>
        <w:t>ker glavnino presežka sestavljajo pozitivna realizacija pri prihodkih v višini 1 994 milijonov EUR in neporabljena sredstva v višini 101 milijona EUR;</w:t>
      </w:r>
    </w:p>
    <w:p w14:paraId="3AAE9ECE" w14:textId="77777777" w:rsidR="005847AE" w:rsidRPr="009F2A3E" w:rsidRDefault="005847AE" w:rsidP="005847AE">
      <w:pPr>
        <w:pStyle w:val="NormalHanging12a"/>
      </w:pPr>
      <w:r w:rsidRPr="009F2A3E">
        <w:t>C.</w:t>
      </w:r>
      <w:r w:rsidRPr="009F2A3E">
        <w:tab/>
        <w:t xml:space="preserve">ker je presežek na strani prihodkov predvsem posledica carin, ki </w:t>
      </w:r>
      <w:bookmarkStart w:id="9" w:name="_Hlk233197369"/>
      <w:r w:rsidRPr="009F2A3E">
        <w:t>so bile višje od pričakovanih, in sicer 860 milijonov EUR</w:t>
      </w:r>
      <w:bookmarkEnd w:id="9"/>
      <w:r w:rsidRPr="009F2A3E">
        <w:t>; ker je drugi glavni razlog za obseg presežka znesek v višini 840 milijonov EUR, ki ga sestavljajo finančni prihodki, zamudne obresti in globe;</w:t>
      </w:r>
    </w:p>
    <w:p w14:paraId="580F11F0" w14:textId="77777777" w:rsidR="005847AE" w:rsidRPr="009F2A3E" w:rsidRDefault="005847AE" w:rsidP="005847AE">
      <w:pPr>
        <w:pStyle w:val="NormalHanging12a"/>
      </w:pPr>
      <w:r w:rsidRPr="009F2A3E">
        <w:t>D.</w:t>
      </w:r>
      <w:r w:rsidRPr="009F2A3E">
        <w:tab/>
        <w:t>ker je na strani odhodkov nezadostno izvrševanje plačil s strani vseh institucij, vključno z razveljavitvijo prenesenih odobritev, znašalo 111 milijonov EUR (kar je 0,04 % odobrenih odobritev plačil);</w:t>
      </w:r>
    </w:p>
    <w:p w14:paraId="552FFA81" w14:textId="77777777" w:rsidR="005847AE" w:rsidRPr="009F2A3E" w:rsidRDefault="005847AE" w:rsidP="005847AE">
      <w:pPr>
        <w:pStyle w:val="NormalHanging12a"/>
      </w:pPr>
      <w:r w:rsidRPr="009F2A3E">
        <w:t>1.</w:t>
      </w:r>
      <w:r w:rsidRPr="009F2A3E">
        <w:tab/>
        <w:t>je seznanjen s predlogom spremembe proračuna št. 1/2026, kot ga je predložila Komisija, ki je namenjen vknjižbi presežka iz leta 2025 v višini 2 095 milijonov EUR v proračun v skladu s členom 18(3) finančne uredbe;</w:t>
      </w:r>
      <w:sdt>
        <w:sdtPr>
          <w:tag w:val="goog_rdk_0"/>
          <w:id w:val="1937094721"/>
        </w:sdtPr>
        <w:sdtEndPr/>
        <w:sdtContent/>
      </w:sdt>
    </w:p>
    <w:p w14:paraId="2CAA0A4B" w14:textId="77777777" w:rsidR="005847AE" w:rsidRPr="009F2A3E" w:rsidRDefault="005847AE" w:rsidP="005847AE">
      <w:pPr>
        <w:pStyle w:val="NormalHanging12a"/>
      </w:pPr>
      <w:r w:rsidRPr="009F2A3E">
        <w:t>2.</w:t>
      </w:r>
      <w:r w:rsidRPr="009F2A3E">
        <w:tab/>
        <w:t>pozdravlja dejstvo, da je presežek za leto 2025 predvsem posledica povečanja razlik v naslovih 1 (Lastna sredstva, zlasti carine) in 4 (Finančni prihodki, zamudne obresti in globe), medtem ko je presežek odhodkov še vedno zelo skromen in znaša 101 milijon EUR;</w:t>
      </w:r>
    </w:p>
    <w:p w14:paraId="1259BA83" w14:textId="77777777" w:rsidR="005847AE" w:rsidRPr="009F2A3E" w:rsidRDefault="005847AE" w:rsidP="005847AE">
      <w:pPr>
        <w:pStyle w:val="NormalHanging12a"/>
      </w:pPr>
      <w:r w:rsidRPr="009F2A3E">
        <w:t>3.</w:t>
      </w:r>
      <w:r w:rsidRPr="009F2A3E">
        <w:tab/>
        <w:t xml:space="preserve">obžaluje, da se z vključitvijo presežka v proračun za sorazmeren znesek zmanjša skupni prispevek držav članic iz lastnih sredstev iz naslova BND k financiranju proračuna za leto 2026; poudarja, da bi moral proračun v času, ko so potrebe po financiranju še vedno </w:t>
      </w:r>
      <w:r w:rsidRPr="009F2A3E">
        <w:lastRenderedPageBreak/>
        <w:t>velike, zlasti za stroške servisiranja dolga Instrumenta Evropske unije za okrevanje, in je manevrski prostor v proračunu Unije še vedno zelo omejen, v zadnjih letih sedanjega večletnega finančnega okvira ohraniti zadostno raven prožnosti, da bi se Unija lahko odzivala na nepredvidene dogodke; poudarja, da je prožnost proračuna Unije eno od ključnih vprašanj, ki jih je treba načeti v pogajanjih o večletnem finančnem okviru za obdobje 2028–2034;</w:t>
      </w:r>
    </w:p>
    <w:p w14:paraId="1754F036" w14:textId="77777777" w:rsidR="005847AE" w:rsidRPr="009F2A3E" w:rsidRDefault="005847AE" w:rsidP="005847AE">
      <w:pPr>
        <w:pStyle w:val="NormalHanging12a"/>
      </w:pPr>
      <w:r w:rsidRPr="009F2A3E">
        <w:t>4.</w:t>
      </w:r>
      <w:r w:rsidRPr="009F2A3E">
        <w:tab/>
        <w:t>opozarja na svoje dolgoletno stališče, da bi bilo treba nepričakovane prihodke, ki izhajajo iz glob in pristojbin ali njihovih enakovrednih zneskov, uporabiti kot dodatne prihodke za proračun Unije in da se zaradi teh prihodkov ne bi smeli ustrezno zmanjšati prispevki iz naslova BND;</w:t>
      </w:r>
    </w:p>
    <w:p w14:paraId="308FF912" w14:textId="77777777" w:rsidR="005847AE" w:rsidRPr="009F2A3E" w:rsidRDefault="005847AE" w:rsidP="005847AE">
      <w:pPr>
        <w:pStyle w:val="NormalHanging12a"/>
      </w:pPr>
      <w:r w:rsidRPr="009F2A3E">
        <w:t>5.</w:t>
      </w:r>
      <w:r w:rsidRPr="009F2A3E">
        <w:tab/>
        <w:t>je seznanjen z izračunom prilagojenega letnega pavšalnega znižanja prispevkov iz naslova BND za pet držav članic upravičenk, ki znaša približno 5,8 milijarde EUR neto; poudarja, da so ta znižanja povezana z inflacijo in so se zato povečevala bolj kot zgornje meje večletnega finančnega okvira, ki se letno prilagajajo na podlagi 2-odstotnega deflatorja; poudarja, da ta izjema povečuje breme za druge države članice;</w:t>
      </w:r>
    </w:p>
    <w:p w14:paraId="1E52FCE3" w14:textId="6C99A159" w:rsidR="005847AE" w:rsidRPr="009F2A3E" w:rsidRDefault="005847AE" w:rsidP="005847AE">
      <w:pPr>
        <w:pStyle w:val="NormalHanging12a"/>
      </w:pPr>
      <w:r w:rsidRPr="009F2A3E">
        <w:t>6.</w:t>
      </w:r>
      <w:r w:rsidRPr="009F2A3E">
        <w:tab/>
        <w:t>ugotavlja, da je postavka prihodkov na podlagi člena 425 v znesku 54 milijonov EUR negativna, in pozdravlja to metodo, po kateri se v proračun vključijo stroški, ki izhajajo iz plačil na podlagi sporazuma o poravnavi in zajemajo kompenzacijske obresti in nadomestilo zamudnih obresti, povezane z vračilom razveljavljenih ali znižanih glob zaradi kršitev pravil konkurence v skladu z ustreznimi sodbami Sodišča; opozarja, da je Parlament pri pogajanjih o prenovitvi finančne uredbe iz leta 2024 vztrajal pri uporabi tega pristopa, da bi se izognili ustvarjanju dodatnih odobritev za odhodke v že tako preobremenjenem razdelku 7; želi spomniti, da bo ta rešitev prenehala veljati 31. decembra 2027; poziva Komisijo, naj predlaga dokončno rešitev za naslednji večletni finančni okvir, s katero bi dosegli isti cilj, da se prepreči vsak vpliv na odhodkovno stran proračuna;</w:t>
      </w:r>
    </w:p>
    <w:p w14:paraId="70BC3FAB" w14:textId="5CCFBF14" w:rsidR="005847AE" w:rsidRPr="009F2A3E" w:rsidRDefault="005847AE" w:rsidP="005847AE">
      <w:pPr>
        <w:pStyle w:val="NormalHanging12a"/>
      </w:pPr>
      <w:r w:rsidRPr="009F2A3E">
        <w:t>7.</w:t>
      </w:r>
      <w:r w:rsidRPr="009F2A3E">
        <w:tab/>
        <w:t>ponavlja svoj dolgoletni poziv k vzdržnim, predvidljivim in odpornim prihodkom za proračun Unije na podlagi člena 310 PDEU, ki bi morali ustrezati odhodkovni strani in strateškim prednostnim nalogam ter opredeljenim finančnim potrebam Unije; ponovno potrjuje</w:t>
      </w:r>
      <w:r w:rsidR="00364166">
        <w:t xml:space="preserve"> svojo zavezanost </w:t>
      </w:r>
      <w:r w:rsidRPr="009F2A3E">
        <w:t xml:space="preserve">uvedbi novih virov lastnih sredstev, ne le za odplačilo dolga v okviru instrumenta </w:t>
      </w:r>
      <w:proofErr w:type="spellStart"/>
      <w:r w:rsidRPr="009F2A3E">
        <w:t>NextGenerationEU</w:t>
      </w:r>
      <w:proofErr w:type="spellEnd"/>
      <w:r w:rsidRPr="009F2A3E">
        <w:t>, temveč tudi za financiranje povečanih političnih ambicij Unije; opozarja, da bodo brez novih resničnih virov lastnih sredstev finančno breme neizogibno nosile države članice z višjimi prispevki na podlagi BND; zato meni, da je uvedba resnično novih tokov prihodkov v višini vsaj 60 milijard EUR na leto bistven pogoj za ambiciozen večletni finančni okvir za obdobje 2028–2034;</w:t>
      </w:r>
    </w:p>
    <w:p w14:paraId="00E36D99" w14:textId="77777777" w:rsidR="005847AE" w:rsidRPr="009F2A3E" w:rsidRDefault="005847AE" w:rsidP="005847AE">
      <w:pPr>
        <w:pStyle w:val="NormalHanging12a"/>
      </w:pPr>
      <w:r w:rsidRPr="009F2A3E">
        <w:t>8.</w:t>
      </w:r>
      <w:r w:rsidRPr="009F2A3E">
        <w:tab/>
        <w:t>odobri stališče Sveta o predlogu spremembe proračuna št. 1/2026;</w:t>
      </w:r>
    </w:p>
    <w:p w14:paraId="2FF03E68" w14:textId="77777777" w:rsidR="005847AE" w:rsidRPr="009F2A3E" w:rsidRDefault="005847AE" w:rsidP="005847AE">
      <w:pPr>
        <w:pStyle w:val="NormalHanging12a"/>
      </w:pPr>
      <w:r w:rsidRPr="009F2A3E">
        <w:t>9.</w:t>
      </w:r>
      <w:r w:rsidRPr="009F2A3E">
        <w:tab/>
        <w:t xml:space="preserve">naroči svoji predsednici, naj razglasi, da je sprememba proračuna št. 1/2026 dokončno sprejeta, in poskrbi za njeno objavo v </w:t>
      </w:r>
      <w:r w:rsidRPr="009F2A3E">
        <w:rPr>
          <w:i/>
        </w:rPr>
        <w:t>Uradnem listu Evropske unije</w:t>
      </w:r>
      <w:r w:rsidRPr="009F2A3E">
        <w:t>;</w:t>
      </w:r>
    </w:p>
    <w:p w14:paraId="00A29153" w14:textId="109DFF2C" w:rsidR="00E365E1" w:rsidRPr="009F2A3E" w:rsidRDefault="005847AE" w:rsidP="00FB4A1F">
      <w:pPr>
        <w:pStyle w:val="NormalHanging12a"/>
      </w:pPr>
      <w:r w:rsidRPr="009F2A3E">
        <w:t>10.</w:t>
      </w:r>
      <w:r w:rsidRPr="009F2A3E">
        <w:tab/>
        <w:t>naroči svoji predsednici, naj to resolucijo posreduje Svetu in Komisiji, drugim zadevnim institucijam in organom ter nacionalnim parlamentom.</w:t>
      </w:r>
    </w:p>
    <w:sectPr w:rsidR="00E365E1" w:rsidRPr="009F2A3E" w:rsidSect="009F2A3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99810" w14:textId="77777777" w:rsidR="00D90A18" w:rsidRPr="009F2A3E" w:rsidRDefault="00D90A18">
      <w:r w:rsidRPr="009F2A3E">
        <w:separator/>
      </w:r>
    </w:p>
  </w:endnote>
  <w:endnote w:type="continuationSeparator" w:id="0">
    <w:p w14:paraId="7BF7DF9B" w14:textId="77777777" w:rsidR="00D90A18" w:rsidRPr="009F2A3E" w:rsidRDefault="00D90A18">
      <w:r w:rsidRPr="009F2A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565CE" w14:textId="77777777" w:rsidR="00064002" w:rsidRPr="009F2A3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02E2E" w14:textId="77777777" w:rsidR="00064002" w:rsidRPr="009F2A3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AF5BB" w14:textId="77777777" w:rsidR="00064002" w:rsidRPr="009F2A3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D8C211" w14:textId="77777777" w:rsidR="00D90A18" w:rsidRPr="009F2A3E" w:rsidRDefault="00D90A18">
      <w:r w:rsidRPr="009F2A3E">
        <w:separator/>
      </w:r>
    </w:p>
  </w:footnote>
  <w:footnote w:type="continuationSeparator" w:id="0">
    <w:p w14:paraId="0CC63906" w14:textId="77777777" w:rsidR="00D90A18" w:rsidRPr="009F2A3E" w:rsidRDefault="00D90A18">
      <w:r w:rsidRPr="009F2A3E">
        <w:continuationSeparator/>
      </w:r>
    </w:p>
  </w:footnote>
  <w:footnote w:id="1">
    <w:p w14:paraId="6C743ECF" w14:textId="63B5A8BB" w:rsidR="005847AE" w:rsidRPr="009F2A3E" w:rsidRDefault="005847AE" w:rsidP="009F2A3E">
      <w:pPr>
        <w:pStyle w:val="FootnoteText"/>
        <w:ind w:left="567" w:hanging="567"/>
        <w:rPr>
          <w:sz w:val="24"/>
          <w:lang w:val="sl-SI"/>
        </w:rPr>
      </w:pPr>
      <w:r w:rsidRPr="009F2A3E">
        <w:rPr>
          <w:rStyle w:val="FootnoteReference"/>
          <w:sz w:val="24"/>
          <w:lang w:val="sl-SI"/>
        </w:rPr>
        <w:footnoteRef/>
      </w:r>
      <w:r w:rsidR="009F2A3E" w:rsidRPr="009F2A3E">
        <w:rPr>
          <w:sz w:val="24"/>
          <w:lang w:val="sl-SI"/>
        </w:rPr>
        <w:t xml:space="preserve"> </w:t>
      </w:r>
      <w:r w:rsidR="009F2A3E" w:rsidRPr="009F2A3E">
        <w:rPr>
          <w:sz w:val="24"/>
          <w:lang w:val="sl-SI"/>
        </w:rPr>
        <w:tab/>
      </w:r>
      <w:r w:rsidRPr="009F2A3E">
        <w:rPr>
          <w:sz w:val="24"/>
          <w:lang w:val="sl-SI"/>
        </w:rPr>
        <w:t xml:space="preserve">UL L, 2024/2509, 26.9.2024, ELI: </w:t>
      </w:r>
      <w:hyperlink r:id="rId1" w:tooltip="http://data.europa.eu/eli/reg/2024/2509/oj" w:history="1">
        <w:r w:rsidRPr="009F2A3E">
          <w:rPr>
            <w:rStyle w:val="Hyperlink"/>
            <w:sz w:val="24"/>
            <w:lang w:val="sl-SI"/>
          </w:rPr>
          <w:t>http://data.europa.eu/eli/reg/2024/2509/oj</w:t>
        </w:r>
      </w:hyperlink>
      <w:r w:rsidRPr="009F2A3E">
        <w:rPr>
          <w:sz w:val="24"/>
          <w:lang w:val="sl-SI"/>
        </w:rPr>
        <w:t>.</w:t>
      </w:r>
    </w:p>
  </w:footnote>
  <w:footnote w:id="2">
    <w:p w14:paraId="429A7DCD" w14:textId="4CB47B56" w:rsidR="005847AE" w:rsidRPr="009F2A3E" w:rsidRDefault="005847AE" w:rsidP="009F2A3E">
      <w:pPr>
        <w:pStyle w:val="FootnoteText"/>
        <w:ind w:left="567" w:hanging="567"/>
        <w:rPr>
          <w:sz w:val="24"/>
          <w:lang w:val="sl-SI"/>
        </w:rPr>
      </w:pPr>
      <w:r w:rsidRPr="009F2A3E">
        <w:rPr>
          <w:rStyle w:val="FootnoteReference"/>
          <w:sz w:val="24"/>
          <w:lang w:val="sl-SI"/>
        </w:rPr>
        <w:footnoteRef/>
      </w:r>
      <w:r w:rsidR="009F2A3E" w:rsidRPr="009F2A3E">
        <w:rPr>
          <w:sz w:val="24"/>
          <w:lang w:val="sl-SI"/>
        </w:rPr>
        <w:t xml:space="preserve"> </w:t>
      </w:r>
      <w:r w:rsidR="009F2A3E" w:rsidRPr="009F2A3E">
        <w:rPr>
          <w:sz w:val="24"/>
          <w:lang w:val="sl-SI"/>
        </w:rPr>
        <w:tab/>
      </w:r>
      <w:r w:rsidRPr="009F2A3E">
        <w:rPr>
          <w:sz w:val="24"/>
          <w:lang w:val="sl-SI"/>
        </w:rPr>
        <w:t xml:space="preserve">UL L, 2026/72, 26.2.2026, ELI: </w:t>
      </w:r>
      <w:hyperlink r:id="rId2" w:history="1">
        <w:r w:rsidRPr="009F2A3E">
          <w:rPr>
            <w:rStyle w:val="Hyperlink"/>
            <w:sz w:val="24"/>
            <w:lang w:val="sl-SI"/>
          </w:rPr>
          <w:t>http://data.europa.eu/eli/budget/2026/72/oj</w:t>
        </w:r>
      </w:hyperlink>
      <w:r w:rsidRPr="009F2A3E">
        <w:rPr>
          <w:sz w:val="24"/>
          <w:lang w:val="sl-SI"/>
        </w:rPr>
        <w:t>.</w:t>
      </w:r>
    </w:p>
  </w:footnote>
  <w:footnote w:id="3">
    <w:p w14:paraId="3BD9079A" w14:textId="32A041E5" w:rsidR="005847AE" w:rsidRPr="009F2A3E" w:rsidRDefault="005847AE" w:rsidP="009F2A3E">
      <w:pPr>
        <w:pStyle w:val="FootnoteText"/>
        <w:ind w:left="567" w:hanging="567"/>
        <w:rPr>
          <w:sz w:val="24"/>
          <w:lang w:val="sl-SI"/>
        </w:rPr>
      </w:pPr>
      <w:r w:rsidRPr="009F2A3E">
        <w:rPr>
          <w:rStyle w:val="FootnoteReference"/>
          <w:sz w:val="24"/>
          <w:lang w:val="sl-SI"/>
        </w:rPr>
        <w:footnoteRef/>
      </w:r>
      <w:r w:rsidR="009F2A3E" w:rsidRPr="009F2A3E">
        <w:rPr>
          <w:sz w:val="24"/>
          <w:lang w:val="sl-SI"/>
        </w:rPr>
        <w:t xml:space="preserve"> </w:t>
      </w:r>
      <w:r w:rsidR="009F2A3E" w:rsidRPr="009F2A3E">
        <w:rPr>
          <w:sz w:val="24"/>
          <w:lang w:val="sl-SI"/>
        </w:rPr>
        <w:tab/>
      </w:r>
      <w:r w:rsidRPr="009F2A3E">
        <w:rPr>
          <w:sz w:val="24"/>
          <w:lang w:val="sl-SI"/>
        </w:rPr>
        <w:t>UL L 433</w:t>
      </w:r>
      <w:r w:rsidR="00DC1DDA">
        <w:rPr>
          <w:sz w:val="24"/>
          <w:lang w:val="sl-SI"/>
        </w:rPr>
        <w:t> </w:t>
      </w:r>
      <w:r w:rsidRPr="009F2A3E">
        <w:rPr>
          <w:sz w:val="24"/>
          <w:lang w:val="sl-SI"/>
        </w:rPr>
        <w:t>I, 22.12.2020, str. </w:t>
      </w:r>
      <w:r w:rsidRPr="009F2A3E">
        <w:rPr>
          <w:sz w:val="24"/>
          <w:lang w:val="sl-SI"/>
        </w:rPr>
        <w:t xml:space="preserve">11, ELI: </w:t>
      </w:r>
      <w:hyperlink r:id="rId3" w:history="1">
        <w:r w:rsidRPr="009F2A3E">
          <w:rPr>
            <w:rStyle w:val="Hyperlink"/>
            <w:sz w:val="24"/>
            <w:lang w:val="sl-SI"/>
          </w:rPr>
          <w:t>http://data.europa.eu/eli/reg/2020/2093/oj</w:t>
        </w:r>
      </w:hyperlink>
      <w:r w:rsidRPr="009F2A3E">
        <w:rPr>
          <w:sz w:val="24"/>
          <w:lang w:val="sl-SI"/>
        </w:rPr>
        <w:t>.</w:t>
      </w:r>
    </w:p>
  </w:footnote>
  <w:footnote w:id="4">
    <w:p w14:paraId="10056887" w14:textId="7E29688F" w:rsidR="005847AE" w:rsidRPr="009F2A3E" w:rsidRDefault="005847AE" w:rsidP="009F2A3E">
      <w:pPr>
        <w:pStyle w:val="FootnoteText"/>
        <w:ind w:left="567" w:hanging="567"/>
        <w:rPr>
          <w:sz w:val="24"/>
          <w:lang w:val="sl-SI"/>
        </w:rPr>
      </w:pPr>
      <w:r w:rsidRPr="009F2A3E">
        <w:rPr>
          <w:rStyle w:val="FootnoteReference"/>
          <w:sz w:val="24"/>
          <w:lang w:val="sl-SI"/>
        </w:rPr>
        <w:footnoteRef/>
      </w:r>
      <w:r w:rsidR="009F2A3E" w:rsidRPr="009F2A3E">
        <w:rPr>
          <w:sz w:val="24"/>
          <w:lang w:val="sl-SI"/>
        </w:rPr>
        <w:t xml:space="preserve"> </w:t>
      </w:r>
      <w:r w:rsidR="009F2A3E" w:rsidRPr="009F2A3E">
        <w:rPr>
          <w:sz w:val="24"/>
          <w:lang w:val="sl-SI"/>
        </w:rPr>
        <w:tab/>
      </w:r>
      <w:r w:rsidRPr="009F2A3E">
        <w:rPr>
          <w:sz w:val="24"/>
          <w:lang w:val="sl-SI"/>
        </w:rPr>
        <w:t xml:space="preserve">UL L, 2024/765, 29.2.2024, ELI: </w:t>
      </w:r>
      <w:hyperlink r:id="rId4" w:history="1">
        <w:r w:rsidRPr="009F2A3E">
          <w:rPr>
            <w:rStyle w:val="Hyperlink"/>
            <w:sz w:val="24"/>
            <w:lang w:val="sl-SI"/>
          </w:rPr>
          <w:t>http://data.europa.eu/eli/reg/2024/765/oj</w:t>
        </w:r>
      </w:hyperlink>
      <w:r w:rsidRPr="009F2A3E">
        <w:rPr>
          <w:sz w:val="24"/>
          <w:lang w:val="sl-SI"/>
        </w:rPr>
        <w:t>.</w:t>
      </w:r>
    </w:p>
  </w:footnote>
  <w:footnote w:id="5">
    <w:p w14:paraId="3A87C4C1" w14:textId="4CC5B5CF" w:rsidR="005847AE" w:rsidRPr="009F2A3E" w:rsidRDefault="005847AE" w:rsidP="009F2A3E">
      <w:pPr>
        <w:pStyle w:val="FootnoteText"/>
        <w:ind w:left="567" w:hanging="567"/>
        <w:rPr>
          <w:sz w:val="24"/>
          <w:lang w:val="sl-SI"/>
        </w:rPr>
      </w:pPr>
      <w:r w:rsidRPr="009F2A3E">
        <w:rPr>
          <w:rStyle w:val="FootnoteReference"/>
          <w:sz w:val="24"/>
          <w:lang w:val="sl-SI"/>
        </w:rPr>
        <w:footnoteRef/>
      </w:r>
      <w:r w:rsidR="009F2A3E" w:rsidRPr="009F2A3E">
        <w:rPr>
          <w:sz w:val="24"/>
          <w:lang w:val="sl-SI"/>
        </w:rPr>
        <w:t xml:space="preserve"> </w:t>
      </w:r>
      <w:r w:rsidR="009F2A3E" w:rsidRPr="009F2A3E">
        <w:rPr>
          <w:sz w:val="24"/>
          <w:lang w:val="sl-SI"/>
        </w:rPr>
        <w:tab/>
      </w:r>
      <w:r w:rsidRPr="009F2A3E">
        <w:rPr>
          <w:sz w:val="24"/>
          <w:lang w:val="sl-SI"/>
        </w:rPr>
        <w:t>UL L 433 I, 22.12.2020, str. </w:t>
      </w:r>
      <w:r w:rsidRPr="009F2A3E">
        <w:rPr>
          <w:sz w:val="24"/>
          <w:lang w:val="sl-SI"/>
        </w:rPr>
        <w:t xml:space="preserve">28, ELI: </w:t>
      </w:r>
      <w:hyperlink r:id="rId5" w:history="1">
        <w:r w:rsidRPr="009F2A3E">
          <w:rPr>
            <w:rStyle w:val="Hyperlink"/>
            <w:sz w:val="24"/>
            <w:lang w:val="sl-SI"/>
          </w:rPr>
          <w:t>http://data.europa.eu/eli/agree_interinstit/2020/1222/oj</w:t>
        </w:r>
      </w:hyperlink>
    </w:p>
  </w:footnote>
  <w:footnote w:id="6">
    <w:p w14:paraId="0594056C" w14:textId="46B508A4" w:rsidR="005847AE" w:rsidRPr="009F2A3E" w:rsidRDefault="005847AE" w:rsidP="009F2A3E">
      <w:pPr>
        <w:pStyle w:val="FootnoteText"/>
        <w:ind w:left="567" w:hanging="567"/>
        <w:rPr>
          <w:sz w:val="24"/>
          <w:lang w:val="sl-SI"/>
        </w:rPr>
      </w:pPr>
      <w:r w:rsidRPr="009F2A3E">
        <w:rPr>
          <w:rStyle w:val="FootnoteReference"/>
          <w:sz w:val="24"/>
          <w:lang w:val="sl-SI"/>
        </w:rPr>
        <w:footnoteRef/>
      </w:r>
      <w:r w:rsidR="009F2A3E" w:rsidRPr="009F2A3E">
        <w:rPr>
          <w:sz w:val="24"/>
          <w:lang w:val="sl-SI"/>
        </w:rPr>
        <w:t xml:space="preserve"> </w:t>
      </w:r>
      <w:r w:rsidR="009F2A3E" w:rsidRPr="009F2A3E">
        <w:rPr>
          <w:sz w:val="24"/>
          <w:lang w:val="sl-SI"/>
        </w:rPr>
        <w:tab/>
      </w:r>
      <w:r w:rsidRPr="009F2A3E">
        <w:rPr>
          <w:sz w:val="24"/>
          <w:lang w:val="sl-SI"/>
        </w:rPr>
        <w:t>UL L 424, 15.12.2020, str. </w:t>
      </w:r>
      <w:r w:rsidRPr="009F2A3E">
        <w:rPr>
          <w:sz w:val="24"/>
          <w:lang w:val="sl-SI"/>
        </w:rPr>
        <w:t xml:space="preserve">1, ELI: </w:t>
      </w:r>
      <w:hyperlink r:id="rId6" w:history="1">
        <w:r w:rsidRPr="009F2A3E">
          <w:rPr>
            <w:rStyle w:val="Hyperlink"/>
            <w:sz w:val="24"/>
            <w:lang w:val="sl-SI"/>
          </w:rPr>
          <w:t>http://data.europa.eu/eli/dec/2020/2053/oj</w:t>
        </w:r>
      </w:hyperlink>
      <w:r w:rsidRPr="009F2A3E">
        <w:rPr>
          <w:sz w:val="24"/>
          <w:lang w:val="sl-SI"/>
        </w:rPr>
        <w:t>.</w:t>
      </w:r>
    </w:p>
  </w:footnote>
  <w:footnote w:id="7">
    <w:p w14:paraId="1AA0A387" w14:textId="28E243E6" w:rsidR="005847AE" w:rsidRPr="009F2A3E" w:rsidRDefault="005847AE" w:rsidP="009F2A3E">
      <w:pPr>
        <w:pStyle w:val="FootnoteText"/>
        <w:ind w:left="567" w:hanging="567"/>
        <w:rPr>
          <w:sz w:val="24"/>
          <w:lang w:val="sl-SI"/>
        </w:rPr>
      </w:pPr>
      <w:r w:rsidRPr="009F2A3E">
        <w:rPr>
          <w:rStyle w:val="FootnoteReference"/>
          <w:sz w:val="24"/>
          <w:lang w:val="sl-SI"/>
        </w:rPr>
        <w:footnoteRef/>
      </w:r>
      <w:r w:rsidR="009F2A3E" w:rsidRPr="009F2A3E">
        <w:rPr>
          <w:sz w:val="24"/>
          <w:lang w:val="sl-SI"/>
        </w:rPr>
        <w:t xml:space="preserve"> </w:t>
      </w:r>
      <w:r w:rsidR="009F2A3E" w:rsidRPr="009F2A3E">
        <w:rPr>
          <w:sz w:val="24"/>
          <w:lang w:val="sl-SI"/>
        </w:rPr>
        <w:tab/>
      </w:r>
      <w:r w:rsidRPr="009F2A3E">
        <w:rPr>
          <w:sz w:val="24"/>
          <w:lang w:val="sl-SI"/>
        </w:rPr>
        <w:t xml:space="preserve">Sprejeta besedila, </w:t>
      </w:r>
      <w:r w:rsidR="00DC1DDA" w:rsidRPr="00FB4A1F">
        <w:t>P10_TA(2026)0111</w:t>
      </w:r>
      <w:r w:rsidRPr="009F2A3E">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91ACA" w14:textId="77777777" w:rsidR="00064002" w:rsidRPr="009F2A3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4D35A" w14:textId="77777777" w:rsidR="00064002" w:rsidRPr="009F2A3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02570" w14:textId="77777777" w:rsidR="00064002" w:rsidRPr="009F2A3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93883098">
    <w:abstractNumId w:val="9"/>
  </w:num>
  <w:num w:numId="2" w16cid:durableId="1743285529">
    <w:abstractNumId w:val="9"/>
  </w:num>
  <w:num w:numId="3" w16cid:durableId="356548566">
    <w:abstractNumId w:val="7"/>
  </w:num>
  <w:num w:numId="4" w16cid:durableId="971714952">
    <w:abstractNumId w:val="7"/>
  </w:num>
  <w:num w:numId="5" w16cid:durableId="1207178327">
    <w:abstractNumId w:val="6"/>
  </w:num>
  <w:num w:numId="6" w16cid:durableId="653680689">
    <w:abstractNumId w:val="6"/>
  </w:num>
  <w:num w:numId="7" w16cid:durableId="32121503">
    <w:abstractNumId w:val="5"/>
  </w:num>
  <w:num w:numId="8" w16cid:durableId="340737202">
    <w:abstractNumId w:val="5"/>
  </w:num>
  <w:num w:numId="9" w16cid:durableId="785075977">
    <w:abstractNumId w:val="4"/>
  </w:num>
  <w:num w:numId="10" w16cid:durableId="63797573">
    <w:abstractNumId w:val="4"/>
  </w:num>
  <w:num w:numId="11" w16cid:durableId="40373250">
    <w:abstractNumId w:val="8"/>
  </w:num>
  <w:num w:numId="12" w16cid:durableId="420879670">
    <w:abstractNumId w:val="8"/>
  </w:num>
  <w:num w:numId="13" w16cid:durableId="1497576401">
    <w:abstractNumId w:val="3"/>
  </w:num>
  <w:num w:numId="14" w16cid:durableId="989822965">
    <w:abstractNumId w:val="3"/>
  </w:num>
  <w:num w:numId="15" w16cid:durableId="1636642485">
    <w:abstractNumId w:val="2"/>
  </w:num>
  <w:num w:numId="16" w16cid:durableId="959844677">
    <w:abstractNumId w:val="2"/>
  </w:num>
  <w:num w:numId="17" w16cid:durableId="1718580350">
    <w:abstractNumId w:val="1"/>
  </w:num>
  <w:num w:numId="18" w16cid:durableId="1029257725">
    <w:abstractNumId w:val="1"/>
  </w:num>
  <w:num w:numId="19" w16cid:durableId="1607810350">
    <w:abstractNumId w:val="0"/>
  </w:num>
  <w:num w:numId="20" w16cid:durableId="505831890">
    <w:abstractNumId w:val="0"/>
  </w:num>
  <w:num w:numId="21" w16cid:durableId="374475128">
    <w:abstractNumId w:val="9"/>
  </w:num>
  <w:num w:numId="22" w16cid:durableId="539897934">
    <w:abstractNumId w:val="7"/>
  </w:num>
  <w:num w:numId="23" w16cid:durableId="959602636">
    <w:abstractNumId w:val="6"/>
  </w:num>
  <w:num w:numId="24" w16cid:durableId="237325527">
    <w:abstractNumId w:val="5"/>
  </w:num>
  <w:num w:numId="25" w16cid:durableId="926310112">
    <w:abstractNumId w:val="4"/>
  </w:num>
  <w:num w:numId="26" w16cid:durableId="1633631385">
    <w:abstractNumId w:val="8"/>
  </w:num>
  <w:num w:numId="27" w16cid:durableId="1837106810">
    <w:abstractNumId w:val="3"/>
  </w:num>
  <w:num w:numId="28" w16cid:durableId="1736582984">
    <w:abstractNumId w:val="2"/>
  </w:num>
  <w:num w:numId="29" w16cid:durableId="1842694245">
    <w:abstractNumId w:val="1"/>
  </w:num>
  <w:num w:numId="30" w16cid:durableId="739861917">
    <w:abstractNumId w:val="0"/>
  </w:num>
  <w:num w:numId="31" w16cid:durableId="578295063">
    <w:abstractNumId w:val="9"/>
  </w:num>
  <w:num w:numId="32" w16cid:durableId="1633289167">
    <w:abstractNumId w:val="7"/>
  </w:num>
  <w:num w:numId="33" w16cid:durableId="2037148256">
    <w:abstractNumId w:val="6"/>
  </w:num>
  <w:num w:numId="34" w16cid:durableId="1492402813">
    <w:abstractNumId w:val="5"/>
  </w:num>
  <w:num w:numId="35" w16cid:durableId="547493649">
    <w:abstractNumId w:val="4"/>
  </w:num>
  <w:num w:numId="36" w16cid:durableId="82455168">
    <w:abstractNumId w:val="8"/>
  </w:num>
  <w:num w:numId="37" w16cid:durableId="1366714872">
    <w:abstractNumId w:val="3"/>
  </w:num>
  <w:num w:numId="38" w16cid:durableId="2028366236">
    <w:abstractNumId w:val="2"/>
  </w:num>
  <w:num w:numId="39" w16cid:durableId="1042945719">
    <w:abstractNumId w:val="1"/>
  </w:num>
  <w:num w:numId="40" w16cid:durableId="1452162480">
    <w:abstractNumId w:val="0"/>
  </w:num>
  <w:num w:numId="41" w16cid:durableId="1380203030">
    <w:abstractNumId w:val="10"/>
  </w:num>
  <w:num w:numId="42" w16cid:durableId="35932217">
    <w:abstractNumId w:val="10"/>
  </w:num>
  <w:num w:numId="43" w16cid:durableId="1468275251">
    <w:abstractNumId w:val="10"/>
  </w:num>
  <w:num w:numId="44" w16cid:durableId="7667743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0/2026"/>
    <w:docVar w:name="dvlangue" w:val="SL"/>
    <w:docVar w:name="dvnumam" w:val="0"/>
    <w:docVar w:name="dvpe" w:val="787.947"/>
    <w:docVar w:name="dvrapporteur" w:val="Poročevalec: "/>
    <w:docVar w:name="dvtitre" w:val="Resolucija Evropskega parlamenta z dne … 2026 o stališču Sveta o predlogu spremembe proračuna Evropske unije št. 1/2026 za proračunsko leto 2026 – vknjižba presežka iz proračunskega leta 2025(09919/2026 – C10-0145/2026 – 2026/0090(BUD))"/>
  </w:docVars>
  <w:rsids>
    <w:rsidRoot w:val="00D90A18"/>
    <w:rsid w:val="00002272"/>
    <w:rsid w:val="00026EC7"/>
    <w:rsid w:val="00064002"/>
    <w:rsid w:val="000677B9"/>
    <w:rsid w:val="000831BA"/>
    <w:rsid w:val="000A42CC"/>
    <w:rsid w:val="000E7DD9"/>
    <w:rsid w:val="0010095E"/>
    <w:rsid w:val="00125B37"/>
    <w:rsid w:val="00187494"/>
    <w:rsid w:val="001D11A0"/>
    <w:rsid w:val="001F32AE"/>
    <w:rsid w:val="002600B3"/>
    <w:rsid w:val="002767FF"/>
    <w:rsid w:val="002B18FE"/>
    <w:rsid w:val="002B5493"/>
    <w:rsid w:val="00343214"/>
    <w:rsid w:val="00361C00"/>
    <w:rsid w:val="00364166"/>
    <w:rsid w:val="00395FA1"/>
    <w:rsid w:val="003E15D4"/>
    <w:rsid w:val="00411CCE"/>
    <w:rsid w:val="0041666E"/>
    <w:rsid w:val="00421060"/>
    <w:rsid w:val="00471C19"/>
    <w:rsid w:val="004867E3"/>
    <w:rsid w:val="00494A28"/>
    <w:rsid w:val="004C0004"/>
    <w:rsid w:val="004C5D52"/>
    <w:rsid w:val="0050519A"/>
    <w:rsid w:val="005072A1"/>
    <w:rsid w:val="00514517"/>
    <w:rsid w:val="005419C5"/>
    <w:rsid w:val="00545827"/>
    <w:rsid w:val="00560270"/>
    <w:rsid w:val="00573EAD"/>
    <w:rsid w:val="005847AE"/>
    <w:rsid w:val="005C2568"/>
    <w:rsid w:val="005F1B17"/>
    <w:rsid w:val="006037C0"/>
    <w:rsid w:val="00636A80"/>
    <w:rsid w:val="006421D7"/>
    <w:rsid w:val="00652F0C"/>
    <w:rsid w:val="006631B6"/>
    <w:rsid w:val="00680577"/>
    <w:rsid w:val="006F74FA"/>
    <w:rsid w:val="00731ADD"/>
    <w:rsid w:val="00734777"/>
    <w:rsid w:val="00747932"/>
    <w:rsid w:val="00751A4A"/>
    <w:rsid w:val="00756632"/>
    <w:rsid w:val="00762C74"/>
    <w:rsid w:val="00786EC0"/>
    <w:rsid w:val="007D1690"/>
    <w:rsid w:val="007E22AD"/>
    <w:rsid w:val="007E2B32"/>
    <w:rsid w:val="00817416"/>
    <w:rsid w:val="00826206"/>
    <w:rsid w:val="00842779"/>
    <w:rsid w:val="008608E6"/>
    <w:rsid w:val="00865F67"/>
    <w:rsid w:val="00881A7B"/>
    <w:rsid w:val="008840E5"/>
    <w:rsid w:val="00887B3E"/>
    <w:rsid w:val="008C2AC6"/>
    <w:rsid w:val="009113D5"/>
    <w:rsid w:val="00930C23"/>
    <w:rsid w:val="0093193B"/>
    <w:rsid w:val="009509D8"/>
    <w:rsid w:val="00950B64"/>
    <w:rsid w:val="00981893"/>
    <w:rsid w:val="009A3124"/>
    <w:rsid w:val="009F2A3E"/>
    <w:rsid w:val="00A1687D"/>
    <w:rsid w:val="00A43E52"/>
    <w:rsid w:val="00A4678D"/>
    <w:rsid w:val="00A778C7"/>
    <w:rsid w:val="00AB441E"/>
    <w:rsid w:val="00AB6293"/>
    <w:rsid w:val="00AE0928"/>
    <w:rsid w:val="00AF044A"/>
    <w:rsid w:val="00AF3B82"/>
    <w:rsid w:val="00B01266"/>
    <w:rsid w:val="00B12E95"/>
    <w:rsid w:val="00B22876"/>
    <w:rsid w:val="00B558F0"/>
    <w:rsid w:val="00B82938"/>
    <w:rsid w:val="00BD48FE"/>
    <w:rsid w:val="00BD7BD8"/>
    <w:rsid w:val="00BE6ADC"/>
    <w:rsid w:val="00C05BFE"/>
    <w:rsid w:val="00C22B34"/>
    <w:rsid w:val="00C23CD4"/>
    <w:rsid w:val="00C61C0C"/>
    <w:rsid w:val="00C941CB"/>
    <w:rsid w:val="00CC2357"/>
    <w:rsid w:val="00CC7257"/>
    <w:rsid w:val="00CF071A"/>
    <w:rsid w:val="00D058B8"/>
    <w:rsid w:val="00D56C11"/>
    <w:rsid w:val="00D834A0"/>
    <w:rsid w:val="00D872DF"/>
    <w:rsid w:val="00D90A18"/>
    <w:rsid w:val="00D91E21"/>
    <w:rsid w:val="00DA7FCD"/>
    <w:rsid w:val="00DC1DDA"/>
    <w:rsid w:val="00E365E1"/>
    <w:rsid w:val="00E50368"/>
    <w:rsid w:val="00E820A4"/>
    <w:rsid w:val="00EA0234"/>
    <w:rsid w:val="00EA46FF"/>
    <w:rsid w:val="00EB006A"/>
    <w:rsid w:val="00EB4772"/>
    <w:rsid w:val="00ED169E"/>
    <w:rsid w:val="00ED4235"/>
    <w:rsid w:val="00F04346"/>
    <w:rsid w:val="00F075DC"/>
    <w:rsid w:val="00F149E9"/>
    <w:rsid w:val="00F5134D"/>
    <w:rsid w:val="00F630C4"/>
    <w:rsid w:val="00F74202"/>
    <w:rsid w:val="00F87713"/>
    <w:rsid w:val="00FB4360"/>
    <w:rsid w:val="00FB4A1F"/>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66B6C4"/>
  <w15:chartTrackingRefBased/>
  <w15:docId w15:val="{BB83FF01-A473-45CD-8953-11A137C6C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Footnote number,Footnote symbol,Footnote Reference Number,Footnote reference number,Times 10 Point,Exposant 3 Point,Voetnootverwijzing,fr,o,Footnotemark,FR,Footnotemark1,Footnotemark2,FR1,Footnotemark3,FR2,Footnotemark4,FR3"/>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847AE"/>
    <w:pPr>
      <w:spacing w:before="480" w:after="240"/>
    </w:pPr>
  </w:style>
  <w:style w:type="paragraph" w:customStyle="1" w:styleId="NormalHanging12a">
    <w:name w:val="NormalHanging12a"/>
    <w:basedOn w:val="Normal"/>
    <w:rsid w:val="005847AE"/>
    <w:pPr>
      <w:spacing w:after="240"/>
      <w:ind w:left="567" w:hanging="567"/>
    </w:pPr>
  </w:style>
  <w:style w:type="character" w:styleId="Hyperlink">
    <w:name w:val="Hyperlink"/>
    <w:basedOn w:val="DefaultParagraphFont"/>
    <w:rsid w:val="005847AE"/>
    <w:rPr>
      <w:color w:val="0563C1" w:themeColor="hyperlink"/>
      <w:u w:val="single"/>
    </w:rPr>
  </w:style>
  <w:style w:type="paragraph" w:styleId="Revision">
    <w:name w:val="Revision"/>
    <w:hidden/>
    <w:uiPriority w:val="99"/>
    <w:semiHidden/>
    <w:rsid w:val="00DC1DDA"/>
    <w:rPr>
      <w:sz w:val="24"/>
      <w:lang w:val="sl-SI"/>
    </w:rPr>
  </w:style>
  <w:style w:type="character" w:styleId="CommentReference">
    <w:name w:val="annotation reference"/>
    <w:basedOn w:val="DefaultParagraphFont"/>
    <w:rsid w:val="00DC1DDA"/>
    <w:rPr>
      <w:sz w:val="16"/>
      <w:szCs w:val="16"/>
    </w:rPr>
  </w:style>
  <w:style w:type="paragraph" w:styleId="CommentText">
    <w:name w:val="annotation text"/>
    <w:basedOn w:val="Normal"/>
    <w:link w:val="CommentTextChar"/>
    <w:rsid w:val="00DC1DDA"/>
    <w:rPr>
      <w:sz w:val="20"/>
    </w:rPr>
  </w:style>
  <w:style w:type="character" w:customStyle="1" w:styleId="CommentTextChar">
    <w:name w:val="Comment Text Char"/>
    <w:basedOn w:val="DefaultParagraphFont"/>
    <w:link w:val="CommentText"/>
    <w:rsid w:val="00DC1DDA"/>
    <w:rPr>
      <w:lang w:val="sl-SI"/>
    </w:rPr>
  </w:style>
  <w:style w:type="paragraph" w:styleId="CommentSubject">
    <w:name w:val="annotation subject"/>
    <w:basedOn w:val="CommentText"/>
    <w:next w:val="CommentText"/>
    <w:link w:val="CommentSubjectChar"/>
    <w:rsid w:val="00DC1DDA"/>
    <w:rPr>
      <w:b/>
      <w:bCs/>
    </w:rPr>
  </w:style>
  <w:style w:type="character" w:customStyle="1" w:styleId="CommentSubjectChar">
    <w:name w:val="Comment Subject Char"/>
    <w:basedOn w:val="CommentTextChar"/>
    <w:link w:val="CommentSubject"/>
    <w:rsid w:val="00DC1DDA"/>
    <w:rPr>
      <w:b/>
      <w:bCs/>
      <w:lang w:val="sl-SI"/>
    </w:rPr>
  </w:style>
  <w:style w:type="character" w:styleId="UnresolvedMention">
    <w:name w:val="Unresolved Mention"/>
    <w:basedOn w:val="DefaultParagraphFont"/>
    <w:uiPriority w:val="99"/>
    <w:semiHidden/>
    <w:unhideWhenUsed/>
    <w:rsid w:val="00DC1D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2093/oj" TargetMode="External"/><Relationship Id="rId2" Type="http://schemas.openxmlformats.org/officeDocument/2006/relationships/hyperlink" Target="http://data.europa.eu/eli/budget/2026/72/oj" TargetMode="External"/><Relationship Id="rId1" Type="http://schemas.openxmlformats.org/officeDocument/2006/relationships/hyperlink" Target="http://data.europa.eu/eli/reg/2024/2509/oj" TargetMode="External"/><Relationship Id="rId6" Type="http://schemas.openxmlformats.org/officeDocument/2006/relationships/hyperlink" Target="http://data.europa.eu/eli/dec/2020/2053/oj" TargetMode="External"/><Relationship Id="rId5" Type="http://schemas.openxmlformats.org/officeDocument/2006/relationships/hyperlink" Target="http://data.europa.eu/eli/agree_interinstit/2020/1222/oj" TargetMode="External"/><Relationship Id="rId4"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1030</Words>
  <Characters>6033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2026-07-07T12:10:00Z</dcterms:created>
  <dcterms:modified xsi:type="dcterms:W3CDTF">2026-07-07T12:10:00Z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A10-0180/2026</vt:lpwstr>
  </property>
  <property fmtid="{D5CDD505-2E9C-101B-9397-08002B2CF9AE}" pid="4" name="&lt;Type&gt;">
    <vt:lpwstr>RR</vt:lpwstr>
  </property>
</Properties>
</file>