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FCF" w14:paraId="21336587" w14:textId="77777777" w:rsidTr="0010095E">
        <w:trPr>
          <w:trHeight w:hRule="exact" w:val="1418"/>
        </w:trPr>
        <w:tc>
          <w:tcPr>
            <w:tcW w:w="6804" w:type="dxa"/>
            <w:shd w:val="clear" w:color="auto" w:fill="auto"/>
            <w:vAlign w:val="center"/>
          </w:tcPr>
          <w:p w14:paraId="16C1A32E" w14:textId="77777777" w:rsidR="00751A4A" w:rsidRPr="00715FCF" w:rsidRDefault="00A20DDD" w:rsidP="0010095E">
            <w:pPr>
              <w:pStyle w:val="EPName"/>
            </w:pPr>
            <w:r w:rsidRPr="00715FCF">
              <w:t>Europaparlamentet</w:t>
            </w:r>
          </w:p>
          <w:p w14:paraId="1D9DE080" w14:textId="77777777" w:rsidR="00751A4A" w:rsidRPr="00715FCF" w:rsidRDefault="005F1B17" w:rsidP="005F1B17">
            <w:pPr>
              <w:pStyle w:val="EPTerm"/>
              <w:rPr>
                <w:rStyle w:val="HideTWBExt"/>
                <w:noProof w:val="0"/>
                <w:vanish w:val="0"/>
                <w:color w:val="auto"/>
              </w:rPr>
            </w:pPr>
            <w:r w:rsidRPr="00715FCF">
              <w:t>2024</w:t>
            </w:r>
            <w:r w:rsidR="00817416" w:rsidRPr="00715FCF">
              <w:t>-202</w:t>
            </w:r>
            <w:r w:rsidRPr="00715FCF">
              <w:t>9</w:t>
            </w:r>
          </w:p>
        </w:tc>
        <w:tc>
          <w:tcPr>
            <w:tcW w:w="2268" w:type="dxa"/>
            <w:shd w:val="clear" w:color="auto" w:fill="auto"/>
          </w:tcPr>
          <w:p w14:paraId="4CBA469A" w14:textId="77777777" w:rsidR="00751A4A" w:rsidRPr="00715FCF" w:rsidRDefault="00187494" w:rsidP="0010095E">
            <w:pPr>
              <w:pStyle w:val="EPLogo"/>
            </w:pPr>
            <w:r w:rsidRPr="00715FCF">
              <w:rPr>
                <w:noProof/>
                <w:lang w:eastAsia="ja-JP"/>
              </w:rPr>
              <w:drawing>
                <wp:inline distT="0" distB="0" distL="0" distR="0" wp14:anchorId="1BC51AC2" wp14:editId="73A036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AAEE1" w14:textId="77777777" w:rsidR="00D058B8" w:rsidRPr="00715FCF" w:rsidRDefault="00D058B8" w:rsidP="004C5D52">
      <w:pPr>
        <w:pStyle w:val="LineTop"/>
      </w:pPr>
    </w:p>
    <w:p w14:paraId="39A3C87A" w14:textId="77777777" w:rsidR="00680577" w:rsidRPr="00715FCF" w:rsidRDefault="00A20DDD" w:rsidP="00680577">
      <w:pPr>
        <w:pStyle w:val="EPBodyTA1"/>
      </w:pPr>
      <w:r w:rsidRPr="00715FCF">
        <w:t>ANTAGNA TEXTER</w:t>
      </w:r>
    </w:p>
    <w:p w14:paraId="5B4EC8E2" w14:textId="77777777" w:rsidR="00D058B8" w:rsidRPr="00715FCF" w:rsidRDefault="00D058B8" w:rsidP="00D058B8">
      <w:pPr>
        <w:pStyle w:val="LineBottom"/>
      </w:pPr>
    </w:p>
    <w:p w14:paraId="787D7AC3" w14:textId="4B5640F9" w:rsidR="00A20DDD" w:rsidRPr="00715FCF" w:rsidRDefault="00A20DDD" w:rsidP="00A20DDD">
      <w:pPr>
        <w:pStyle w:val="ATHeading1"/>
      </w:pPr>
      <w:bookmarkStart w:id="0" w:name="TANumber"/>
      <w:r w:rsidRPr="00715FCF">
        <w:t>P10_TA(2026)0</w:t>
      </w:r>
      <w:bookmarkEnd w:id="0"/>
      <w:r w:rsidR="00EA76E7">
        <w:t>242</w:t>
      </w:r>
    </w:p>
    <w:p w14:paraId="00DB83EE" w14:textId="1B20410A" w:rsidR="00A20DDD" w:rsidRPr="00715FCF" w:rsidRDefault="00A20DDD" w:rsidP="00A20DDD">
      <w:pPr>
        <w:pStyle w:val="ATHeading2"/>
      </w:pPr>
      <w:bookmarkStart w:id="1" w:name="title"/>
      <w:r w:rsidRPr="00715FCF">
        <w:t xml:space="preserve">Förslag till ändringsbudget nr 1/2026: </w:t>
      </w:r>
      <w:r w:rsidR="00A566A8">
        <w:t>I</w:t>
      </w:r>
      <w:r w:rsidRPr="00715FCF">
        <w:t>nförande av överskottet från budgetåret 2025</w:t>
      </w:r>
      <w:bookmarkEnd w:id="1"/>
    </w:p>
    <w:p w14:paraId="0060E2F5" w14:textId="77777777" w:rsidR="00A20DDD" w:rsidRPr="00715FCF" w:rsidRDefault="00A20DDD" w:rsidP="00A20DDD">
      <w:pPr>
        <w:rPr>
          <w:i/>
          <w:vanish/>
        </w:rPr>
      </w:pPr>
      <w:r w:rsidRPr="00715FCF">
        <w:rPr>
          <w:i/>
        </w:rPr>
        <w:fldChar w:fldCharType="begin"/>
      </w:r>
      <w:r w:rsidRPr="00715FCF">
        <w:rPr>
          <w:i/>
        </w:rPr>
        <w:instrText xml:space="preserve"> TC"(</w:instrText>
      </w:r>
      <w:bookmarkStart w:id="2" w:name="DocNumber"/>
      <w:r w:rsidRPr="00715FCF">
        <w:rPr>
          <w:i/>
        </w:rPr>
        <w:instrText>A10-0180/2026</w:instrText>
      </w:r>
      <w:bookmarkEnd w:id="2"/>
      <w:r w:rsidRPr="00715FCF">
        <w:rPr>
          <w:i/>
        </w:rPr>
        <w:instrText xml:space="preserve"> - Föredragande: Andrzej </w:instrText>
      </w:r>
      <w:proofErr w:type="spellStart"/>
      <w:r w:rsidRPr="00715FCF">
        <w:rPr>
          <w:i/>
        </w:rPr>
        <w:instrText>Halicki</w:instrText>
      </w:r>
      <w:proofErr w:type="spellEnd"/>
      <w:r w:rsidRPr="00715FCF">
        <w:rPr>
          <w:i/>
        </w:rPr>
        <w:instrText xml:space="preserve">)"\l3 \n&gt; \* MERGEFORMAT </w:instrText>
      </w:r>
      <w:r w:rsidRPr="00715FCF">
        <w:rPr>
          <w:i/>
        </w:rPr>
        <w:fldChar w:fldCharType="end"/>
      </w:r>
    </w:p>
    <w:p w14:paraId="1FEF8BE7" w14:textId="77777777" w:rsidR="00A20DDD" w:rsidRPr="00715FCF" w:rsidRDefault="00A20DDD" w:rsidP="00A20DDD">
      <w:pPr>
        <w:rPr>
          <w:vanish/>
        </w:rPr>
      </w:pPr>
      <w:bookmarkStart w:id="3" w:name="Commission"/>
      <w:r w:rsidRPr="00715FCF">
        <w:rPr>
          <w:vanish/>
        </w:rPr>
        <w:t>Budgetutskottet</w:t>
      </w:r>
      <w:bookmarkEnd w:id="3"/>
    </w:p>
    <w:p w14:paraId="43D6D30D" w14:textId="77777777" w:rsidR="00A20DDD" w:rsidRPr="00715FCF" w:rsidRDefault="00A20DDD" w:rsidP="00A20DDD">
      <w:pPr>
        <w:rPr>
          <w:vanish/>
        </w:rPr>
      </w:pPr>
      <w:bookmarkStart w:id="4" w:name="PE"/>
      <w:r w:rsidRPr="00715FCF">
        <w:rPr>
          <w:vanish/>
        </w:rPr>
        <w:t>PE787.947</w:t>
      </w:r>
      <w:bookmarkEnd w:id="4"/>
    </w:p>
    <w:p w14:paraId="236B7BA8" w14:textId="092B04F1" w:rsidR="00A20DDD" w:rsidRPr="00715FCF" w:rsidRDefault="00A20DDD" w:rsidP="00A20DDD">
      <w:pPr>
        <w:pStyle w:val="ATHeading3"/>
      </w:pPr>
      <w:bookmarkStart w:id="5" w:name="Sujet"/>
      <w:r w:rsidRPr="00715FCF">
        <w:t xml:space="preserve">Europaparlamentets resolution av den </w:t>
      </w:r>
      <w:r w:rsidR="002B5B7E">
        <w:t>7</w:t>
      </w:r>
      <w:r w:rsidR="002B5B7E" w:rsidRPr="00715FCF">
        <w:t xml:space="preserve"> </w:t>
      </w:r>
      <w:r w:rsidR="002B5B7E">
        <w:t>juli</w:t>
      </w:r>
      <w:r w:rsidR="002B5B7E" w:rsidRPr="00715FCF">
        <w:t xml:space="preserve"> </w:t>
      </w:r>
      <w:r w:rsidRPr="00715FCF">
        <w:t xml:space="preserve">2026 om rådets ståndpunkt om förslaget till Europeiska unionens ändringsbudget nr 1/2026 för </w:t>
      </w:r>
      <w:r w:rsidRPr="00940FC2">
        <w:t>budgetåret 2026 – Införande av överskottet från budgetåret 2025</w:t>
      </w:r>
      <w:bookmarkEnd w:id="5"/>
      <w:r w:rsidRPr="00940FC2">
        <w:t xml:space="preserve"> </w:t>
      </w:r>
      <w:bookmarkStart w:id="6" w:name="References"/>
      <w:r w:rsidRPr="00940FC2">
        <w:t>(09919/2026 – C10-0145/2026 – 2026/0090(BUD))</w:t>
      </w:r>
      <w:bookmarkEnd w:id="6"/>
    </w:p>
    <w:p w14:paraId="5BC39E29" w14:textId="77777777" w:rsidR="00821D56" w:rsidRPr="00715FCF" w:rsidRDefault="00821D56" w:rsidP="00821D56">
      <w:pPr>
        <w:pStyle w:val="EPComma"/>
      </w:pPr>
      <w:bookmarkStart w:id="7" w:name="TextBodyBegin"/>
      <w:bookmarkEnd w:id="7"/>
      <w:r w:rsidRPr="00715FCF">
        <w:rPr>
          <w:i/>
          <w:iCs/>
        </w:rPr>
        <w:t>Europaparlamentet utfärdar denna resolution</w:t>
      </w:r>
    </w:p>
    <w:p w14:paraId="7A976A5A" w14:textId="77777777" w:rsidR="00821D56" w:rsidRPr="00715FCF" w:rsidRDefault="00821D56" w:rsidP="00821D56">
      <w:pPr>
        <w:pStyle w:val="NormalHanging12a"/>
      </w:pPr>
      <w:r w:rsidRPr="00715FCF">
        <w:t>–</w:t>
      </w:r>
      <w:r w:rsidRPr="00715FCF">
        <w:tab/>
        <w:t>med beaktande av artikel 314 i fördraget om Europeiska unionens funktionssätt,</w:t>
      </w:r>
    </w:p>
    <w:p w14:paraId="1DD7E846" w14:textId="77777777" w:rsidR="00821D56" w:rsidRPr="00715FCF" w:rsidRDefault="00821D56" w:rsidP="00821D56">
      <w:pPr>
        <w:pStyle w:val="NormalHanging12a"/>
      </w:pPr>
      <w:r w:rsidRPr="00715FCF">
        <w:t>–</w:t>
      </w:r>
      <w:r w:rsidRPr="00715FCF">
        <w:tab/>
        <w:t>med beaktande av artikel 106a i fördraget om upprättandet av Europeiska atomenergigemenskapen,</w:t>
      </w:r>
    </w:p>
    <w:p w14:paraId="7EF6765B" w14:textId="77777777" w:rsidR="00821D56" w:rsidRPr="00715FCF" w:rsidRDefault="00821D56" w:rsidP="00821D56">
      <w:pPr>
        <w:pStyle w:val="NormalHanging12a"/>
      </w:pPr>
      <w:r w:rsidRPr="00715FCF">
        <w:t>–</w:t>
      </w:r>
      <w:r w:rsidRPr="00715FCF">
        <w:tab/>
        <w:t>med beaktande av Europaparlamentets och rådets förordning (EU, Euratom) 2024/2509 av den 23 september 2024 om finansiella regler för unionens allmänna budget</w:t>
      </w:r>
      <w:r w:rsidRPr="00715FCF">
        <w:rPr>
          <w:rStyle w:val="FootnoteReference"/>
        </w:rPr>
        <w:footnoteReference w:id="1"/>
      </w:r>
      <w:r w:rsidRPr="00715FCF">
        <w:t>, särskilt artikel 44,</w:t>
      </w:r>
    </w:p>
    <w:p w14:paraId="50277259" w14:textId="77777777" w:rsidR="00821D56" w:rsidRPr="00715FCF" w:rsidRDefault="00821D56" w:rsidP="00821D56">
      <w:pPr>
        <w:pStyle w:val="NormalHanging12a"/>
      </w:pPr>
      <w:r w:rsidRPr="00715FCF">
        <w:t>–</w:t>
      </w:r>
      <w:r w:rsidRPr="00715FCF">
        <w:tab/>
        <w:t>med beaktande av Europeiska unionens allmänna budget för budgetåret 2026, slutgiltigt antagen den 26 november 2025</w:t>
      </w:r>
      <w:r w:rsidRPr="00715FCF">
        <w:rPr>
          <w:vertAlign w:val="superscript"/>
        </w:rPr>
        <w:footnoteReference w:id="2"/>
      </w:r>
      <w:r w:rsidRPr="00715FCF">
        <w:t xml:space="preserve">, </w:t>
      </w:r>
    </w:p>
    <w:p w14:paraId="145AB2C0" w14:textId="77777777" w:rsidR="00821D56" w:rsidRPr="00715FCF" w:rsidRDefault="00821D56" w:rsidP="00821D56">
      <w:pPr>
        <w:pStyle w:val="NormalHanging12a"/>
      </w:pPr>
      <w:r w:rsidRPr="00715FCF">
        <w:t>–</w:t>
      </w:r>
      <w:r w:rsidRPr="00715FCF">
        <w:tab/>
        <w:t>med beaktande av rådets förordning (EU, Euratom) 2020/2093 av den 17 december 2020 om den fleråriga budgetramen 2021–2027</w:t>
      </w:r>
      <w:r w:rsidRPr="00715FCF">
        <w:rPr>
          <w:vertAlign w:val="superscript"/>
        </w:rPr>
        <w:footnoteReference w:id="3"/>
      </w:r>
      <w:r w:rsidRPr="00715FCF">
        <w:t xml:space="preserve">, </w:t>
      </w:r>
    </w:p>
    <w:p w14:paraId="7688313C" w14:textId="77777777" w:rsidR="00821D56" w:rsidRPr="00715FCF" w:rsidRDefault="00821D56" w:rsidP="00821D56">
      <w:pPr>
        <w:pStyle w:val="NormalHanging12a"/>
      </w:pPr>
      <w:r w:rsidRPr="00715FCF">
        <w:t>–</w:t>
      </w:r>
      <w:r w:rsidRPr="00715FCF">
        <w:tab/>
        <w:t>med beaktande av rådets förordning (EU, Euratom) 2024/765 om ändring av förordning (EU, Euratom) 2020/2093 om den fleråriga budgetramen 2021–2027</w:t>
      </w:r>
      <w:r w:rsidRPr="00715FCF">
        <w:rPr>
          <w:vertAlign w:val="superscript"/>
        </w:rPr>
        <w:footnoteReference w:id="4"/>
      </w:r>
      <w:r w:rsidRPr="00715FCF">
        <w:t>,</w:t>
      </w:r>
    </w:p>
    <w:p w14:paraId="61D5C18E" w14:textId="77777777" w:rsidR="00821D56" w:rsidRPr="00715FCF" w:rsidRDefault="00821D56" w:rsidP="00821D56">
      <w:pPr>
        <w:pStyle w:val="NormalHanging12a"/>
      </w:pPr>
      <w:r w:rsidRPr="00715FCF">
        <w:t>–</w:t>
      </w:r>
      <w:r w:rsidRPr="00715FCF">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715FCF">
        <w:lastRenderedPageBreak/>
        <w:t>egna medel, inbegripet en färdplan för införandet av nya egna medel</w:t>
      </w:r>
      <w:r w:rsidRPr="00715FCF">
        <w:rPr>
          <w:vertAlign w:val="superscript"/>
        </w:rPr>
        <w:footnoteReference w:id="5"/>
      </w:r>
      <w:r w:rsidRPr="00715FCF">
        <w:t>,</w:t>
      </w:r>
    </w:p>
    <w:p w14:paraId="606F610A" w14:textId="77777777" w:rsidR="00821D56" w:rsidRPr="00715FCF" w:rsidRDefault="00821D56" w:rsidP="00821D56">
      <w:pPr>
        <w:pStyle w:val="NormalHanging12a"/>
      </w:pPr>
      <w:r w:rsidRPr="00715FCF">
        <w:t>–</w:t>
      </w:r>
      <w:r w:rsidRPr="00715FCF">
        <w:tab/>
        <w:t>med beaktande av rådets beslut (EU, Euratom) 2020/2053 av den 14 december 2020 om systemet för Europeiska unionens egna medel och om upphävande av beslut 2014/335/EU, Euratom</w:t>
      </w:r>
      <w:r w:rsidRPr="00715FCF">
        <w:rPr>
          <w:vertAlign w:val="superscript"/>
        </w:rPr>
        <w:footnoteReference w:id="6"/>
      </w:r>
      <w:r w:rsidRPr="00715FCF">
        <w:t xml:space="preserve">, </w:t>
      </w:r>
    </w:p>
    <w:p w14:paraId="2BEAB186" w14:textId="77777777" w:rsidR="00821D56" w:rsidRPr="00715FCF" w:rsidRDefault="00821D56" w:rsidP="00821D56">
      <w:pPr>
        <w:pStyle w:val="NormalHanging12a"/>
      </w:pPr>
      <w:r w:rsidRPr="00715FCF">
        <w:t>–</w:t>
      </w:r>
      <w:r w:rsidRPr="00715FCF">
        <w:tab/>
        <w:t>med beaktande av sin resolution av den 28 april 2026 om förslaget till rådets förordning om den fleråriga budgetramen för 2028–2034</w:t>
      </w:r>
      <w:r w:rsidRPr="00715FCF">
        <w:rPr>
          <w:rStyle w:val="FootnoteReference"/>
        </w:rPr>
        <w:footnoteReference w:id="7"/>
      </w:r>
      <w:r w:rsidRPr="00715FCF">
        <w:t xml:space="preserve">, </w:t>
      </w:r>
    </w:p>
    <w:p w14:paraId="65A922F1" w14:textId="77777777" w:rsidR="00821D56" w:rsidRPr="00715FCF" w:rsidRDefault="00821D56" w:rsidP="00821D56">
      <w:pPr>
        <w:pStyle w:val="NormalHanging12a"/>
      </w:pPr>
      <w:bookmarkStart w:id="8" w:name="_Hlk229564682"/>
      <w:r w:rsidRPr="00715FCF">
        <w:t>–</w:t>
      </w:r>
      <w:r w:rsidRPr="00715FCF">
        <w:tab/>
        <w:t>med beaktande av det förslag till ändringsbudget nr 1/2026 som kommissionen antog den 10 april 2026 (COM(2026)0450),</w:t>
      </w:r>
      <w:bookmarkEnd w:id="8"/>
    </w:p>
    <w:p w14:paraId="24AE5969" w14:textId="77777777" w:rsidR="00821D56" w:rsidRPr="00715FCF" w:rsidRDefault="00821D56" w:rsidP="00821D56">
      <w:pPr>
        <w:pStyle w:val="NormalHanging12a"/>
        <w:keepNext/>
        <w:keepLines/>
        <w:widowControl/>
      </w:pPr>
      <w:r w:rsidRPr="00715FCF">
        <w:t>–</w:t>
      </w:r>
      <w:r w:rsidRPr="00715FCF">
        <w:tab/>
        <w:t>med beaktande av den ståndpunkt om förslaget till ändringsbudget nr 1/2026 som rådet antog den 16 juni 2026 och översände till Europaparlamentet den 18 juni 2026 (09919/2026),</w:t>
      </w:r>
    </w:p>
    <w:p w14:paraId="4FA8CD29" w14:textId="77777777" w:rsidR="00821D56" w:rsidRPr="00715FCF" w:rsidRDefault="00821D56" w:rsidP="00821D56">
      <w:pPr>
        <w:pStyle w:val="NormalHanging12a"/>
      </w:pPr>
      <w:r w:rsidRPr="00715FCF">
        <w:t>–</w:t>
      </w:r>
      <w:r w:rsidRPr="00715FCF">
        <w:tab/>
        <w:t>med beaktande av artiklarna 96 och 98 i arbetsordningen,</w:t>
      </w:r>
    </w:p>
    <w:p w14:paraId="19D38AB1" w14:textId="77777777" w:rsidR="00821D56" w:rsidRPr="00715FCF" w:rsidRDefault="00821D56" w:rsidP="00821D56">
      <w:pPr>
        <w:pStyle w:val="NormalHanging12a"/>
      </w:pPr>
      <w:r w:rsidRPr="00715FCF">
        <w:t>–</w:t>
      </w:r>
      <w:r w:rsidRPr="00715FCF">
        <w:tab/>
        <w:t>med beaktande av betänkandet från budgetutskottet (A10-0180/2026), och av följande skäl:</w:t>
      </w:r>
    </w:p>
    <w:p w14:paraId="637C783F" w14:textId="77777777" w:rsidR="00821D56" w:rsidRPr="00715FCF" w:rsidRDefault="00821D56" w:rsidP="00821D56">
      <w:pPr>
        <w:pStyle w:val="NormalHanging12a"/>
      </w:pPr>
      <w:r w:rsidRPr="00715FCF">
        <w:t>A.</w:t>
      </w:r>
      <w:r w:rsidRPr="00715FCF">
        <w:tab/>
        <w:t>Syftet med förslaget till ändringsbudget nr 1/2026 är att i 2026 års budget föra in överskottet från genomförandet av budgetåret 2025, som uppgår till 2 095 miljoner EUR.</w:t>
      </w:r>
    </w:p>
    <w:p w14:paraId="391E01D2" w14:textId="77777777" w:rsidR="00821D56" w:rsidRPr="00715FCF" w:rsidRDefault="00821D56" w:rsidP="00821D56">
      <w:pPr>
        <w:pStyle w:val="NormalHanging12a"/>
      </w:pPr>
      <w:r w:rsidRPr="00715FCF">
        <w:t>B.</w:t>
      </w:r>
      <w:r w:rsidRPr="00715FCF">
        <w:tab/>
        <w:t>Huvuddelarna i detta överskott utgörs av ett överskott på 1 994 miljoner EUR på inkomstsidan och ett underutnyttjande på 101 miljoner EUR.</w:t>
      </w:r>
    </w:p>
    <w:p w14:paraId="4F38B592" w14:textId="123ADF99" w:rsidR="00821D56" w:rsidRPr="00715FCF" w:rsidRDefault="00821D56" w:rsidP="00821D56">
      <w:pPr>
        <w:pStyle w:val="NormalHanging12a"/>
      </w:pPr>
      <w:r w:rsidRPr="00715FCF">
        <w:t>C.</w:t>
      </w:r>
      <w:r w:rsidRPr="00715FCF">
        <w:tab/>
        <w:t xml:space="preserve">På inkomstsidan beror överskottet främst på </w:t>
      </w:r>
      <w:bookmarkStart w:id="9" w:name="_Hlk233197369"/>
      <w:r w:rsidRPr="00715FCF">
        <w:t>ett högre tullbelopp än väntat på 860 milj</w:t>
      </w:r>
      <w:r w:rsidR="00A566A8">
        <w:t>oner</w:t>
      </w:r>
      <w:r w:rsidRPr="00715FCF">
        <w:t xml:space="preserve"> EUR</w:t>
      </w:r>
      <w:bookmarkEnd w:id="9"/>
      <w:r w:rsidRPr="00715FCF">
        <w:t xml:space="preserve">. Den näst största orsaken till överskottet är ett belopp på 840 miljoner EUR i finansiella inkomster, dröjsmålsränta och böter. </w:t>
      </w:r>
    </w:p>
    <w:p w14:paraId="4D9A8B8A" w14:textId="77777777" w:rsidR="00821D56" w:rsidRPr="00715FCF" w:rsidRDefault="00821D56" w:rsidP="00821D56">
      <w:pPr>
        <w:pStyle w:val="NormalHanging12a"/>
      </w:pPr>
      <w:r w:rsidRPr="00715FCF">
        <w:t>D.</w:t>
      </w:r>
      <w:r w:rsidRPr="00715FCF">
        <w:tab/>
        <w:t>På utgiftssidan uppgick underutnyttjandet av alla institutioners betalningar, inbegripet förfallna anslag som överförts, till 111 miljoner EUR (vilket motsvarar 0,04 % av de godkända betalningsbemyndigandena).</w:t>
      </w:r>
    </w:p>
    <w:p w14:paraId="3CE7FD62" w14:textId="77777777" w:rsidR="00821D56" w:rsidRPr="00715FCF" w:rsidRDefault="00821D56" w:rsidP="00821D56">
      <w:pPr>
        <w:pStyle w:val="NormalHanging12a"/>
      </w:pPr>
      <w:r w:rsidRPr="00715FCF">
        <w:t>1.</w:t>
      </w:r>
      <w:r w:rsidRPr="00715FCF">
        <w:tab/>
        <w:t>Europaparlamentet noterar det förslag till ändringsbudget nr 1/2026 som lagts fram av kommissionen och som för in överskottet från 2025 i budgeten, dvs. ett belopp på 2 095 miljoner EUR, i enlighet med artikel 18.3 i budgetförordningen.</w:t>
      </w:r>
      <w:sdt>
        <w:sdtPr>
          <w:tag w:val="goog_rdk_0"/>
          <w:id w:val="1937094721"/>
        </w:sdtPr>
        <w:sdtEndPr/>
        <w:sdtContent/>
      </w:sdt>
    </w:p>
    <w:p w14:paraId="2AF060AF" w14:textId="77777777" w:rsidR="00821D56" w:rsidRPr="00715FCF" w:rsidRDefault="00821D56" w:rsidP="00821D56">
      <w:pPr>
        <w:pStyle w:val="NormalHanging12a"/>
      </w:pPr>
      <w:r w:rsidRPr="00715FCF">
        <w:t>2.</w:t>
      </w:r>
      <w:r w:rsidRPr="00715FCF">
        <w:tab/>
        <w:t xml:space="preserve">Europaparlamentet välkomnar att överskottet för 2025 främst beror på en stigande avvikelse i avdelningarna 1 (Egna medel, särskilt tullar) och 4 (Finansiella inkomster, dröjsmålsränta och böter), medan utgiftsöverskottet fortfarande är mycket blygsamt och uppgår till 101 miljoner EUR. </w:t>
      </w:r>
    </w:p>
    <w:p w14:paraId="62B9E95F" w14:textId="77777777" w:rsidR="00821D56" w:rsidRPr="00715FCF" w:rsidRDefault="00821D56" w:rsidP="00821D56">
      <w:pPr>
        <w:pStyle w:val="NormalHanging12a"/>
      </w:pPr>
      <w:r w:rsidRPr="00715FCF">
        <w:t>3.</w:t>
      </w:r>
      <w:r w:rsidRPr="00715FCF">
        <w:tab/>
        <w:t xml:space="preserve">Europaparlamentet beklagar att budgeteringen av överskottet minskar medlemsstaternas totala BNI-baserade bidrag till finansieringen av 2026 års budget med ett motsvarande </w:t>
      </w:r>
      <w:r w:rsidRPr="00715FCF">
        <w:lastRenderedPageBreak/>
        <w:t xml:space="preserve">belopp. Parlamentet understryker att i en tid då finansieringsbehoven fortfarande är höga, särskilt för lånekostnaderna för återhämtningsinstrumentet, och handlingsutrymmet inom unionens budget fortfarande är extremt begränsat, bör budgeten behålla en tillräcklig grad av flexibilitet under de sista åren av den nuvarande fleråriga budgetramen för att unionen ska kunna hantera oförutsedda händelser. Parlamentet understryker att flexibiliteten i unionens budget är en av de nyckelfrågor som ska tas upp i förhandlingarna om den fleråriga budgetramen 2028–2034. </w:t>
      </w:r>
    </w:p>
    <w:p w14:paraId="113ACC83" w14:textId="77777777" w:rsidR="00821D56" w:rsidRPr="00715FCF" w:rsidRDefault="00821D56" w:rsidP="00821D56">
      <w:pPr>
        <w:pStyle w:val="NormalHanging12a"/>
      </w:pPr>
      <w:r w:rsidRPr="00715FCF">
        <w:t>4.</w:t>
      </w:r>
      <w:r w:rsidRPr="00715FCF">
        <w:tab/>
        <w:t>Europaparlamentet påminner om sin ståndpunkt sedan länge att oförutsedda vinster som härrör från böter och avgifter, eller motsvarande belopp, bör användas som extra inkomster för unionens budget och inte bör leda till en motsvarande minskning av de BNI-baserade bidragen.</w:t>
      </w:r>
    </w:p>
    <w:p w14:paraId="17C47FC1" w14:textId="77777777" w:rsidR="00821D56" w:rsidRPr="00715FCF" w:rsidRDefault="00821D56" w:rsidP="00821D56">
      <w:pPr>
        <w:pStyle w:val="NormalHanging12a"/>
      </w:pPr>
      <w:r w:rsidRPr="00715FCF">
        <w:t>5.</w:t>
      </w:r>
      <w:r w:rsidRPr="00715FCF">
        <w:tab/>
        <w:t xml:space="preserve">Europaparlamentet noterar beräkningen av de justerade minskningarna av det årliga BNI-baserade schablonbeloppet för de fem berörda medlemsstaterna som uppgår till cirka 5,8 miljarder EUR netto. Parlamentet betonar att dessa rabatter är inflationsrelaterade och därför har ökat i högre takt än taken i den fleråriga budgetramen, som justeras årligen på grundval av </w:t>
      </w:r>
      <w:proofErr w:type="spellStart"/>
      <w:r w:rsidRPr="00715FCF">
        <w:t>deflatorn</w:t>
      </w:r>
      <w:proofErr w:type="spellEnd"/>
      <w:r w:rsidRPr="00715FCF">
        <w:t xml:space="preserve"> på 2 %. Parlamentet betonar att denna avvikelse ökar bördan för de andra medlemsstaterna.</w:t>
      </w:r>
    </w:p>
    <w:p w14:paraId="6865D17F" w14:textId="77777777" w:rsidR="00821D56" w:rsidRPr="00715FCF" w:rsidRDefault="00821D56" w:rsidP="00821D56">
      <w:pPr>
        <w:pStyle w:val="NormalHanging12a"/>
      </w:pPr>
      <w:r w:rsidRPr="00715FCF">
        <w:t>6.</w:t>
      </w:r>
      <w:r w:rsidRPr="00715FCF">
        <w:tab/>
        <w:t>Europaparlamentet noterar den negativa inkomstposten under artikel 425, som uppgår till 54 miljoner EUR, och välkomnar denna metod att inkludera kostnader för budgeten på grund av betalningar som gjorts enligt förlikningsavtal, och som innebär kompensationsränta och dröjsmålsränta i samband med återbetalning av annullerade eller reducerade böter inom konkurrensområdet i enlighet med domstolens relevanta domar. Parlamentet påminner om att det vid förhandlingarna om 2024 års omarbetning av budgetförordningen insisterade på att denna strategi skulle tillämpas för att undvika att generera ytterligare utgifter under den redan överbelastade rubrik 7. Parlamentet påminner om att denna lösning upphör den 31 december 2027. Parlamentet uppmanar kommissionen att föreslå en slutgiltig lösning för nästa fleråriga budgetram som uppnår samma mål, det vill säga att undvika eventuella konsekvenser för budgetens utgiftssida.</w:t>
      </w:r>
    </w:p>
    <w:p w14:paraId="2522F2CB" w14:textId="595A737D" w:rsidR="00821D56" w:rsidRPr="00715FCF" w:rsidRDefault="00821D56" w:rsidP="00821D56">
      <w:pPr>
        <w:pStyle w:val="NormalHanging12a"/>
      </w:pPr>
      <w:r w:rsidRPr="00715FCF">
        <w:t>7.</w:t>
      </w:r>
      <w:r w:rsidRPr="00715FCF">
        <w:tab/>
        <w:t>Europaparlamentet upprepar sitt långvariga krav på hållbara, förutsägbara och motståndskraftiga inkomster för unionens budget enligt artikel 310 i EUF</w:t>
      </w:r>
      <w:r w:rsidRPr="00715FCF">
        <w:noBreakHyphen/>
        <w:t xml:space="preserve">fördraget som bör matcha utgiftssidan och unionens strategiska prioriteringar och identifierade finansieringsbehov. Parlamentet bekräftar sitt starka engagemang för införandet av nya egna medel, inte bara för återbetalning av skulder inom ramen för </w:t>
      </w:r>
      <w:proofErr w:type="spellStart"/>
      <w:r w:rsidRPr="00715FCF">
        <w:t>NextGenerationEU</w:t>
      </w:r>
      <w:proofErr w:type="spellEnd"/>
      <w:r w:rsidRPr="00715FCF">
        <w:t xml:space="preserve"> utan även för att finansiera unionens ökade politiska ambitioner. Parlamentet påminner om att utan nya genuina egna medel kommer den finansiella bördan oundvikligen att falla på medlemsstaterna genom ökade BNI-baserade bidrag. Parlamentet anser därför att införandet av nya genuina inkomstflöden på minst 60 miljarder EUR per år är en nödvändig förutsättning för en ambitiös flerårig budgetram för åren 2028–2034.</w:t>
      </w:r>
    </w:p>
    <w:p w14:paraId="48C920AD" w14:textId="77777777" w:rsidR="00821D56" w:rsidRPr="00715FCF" w:rsidRDefault="00821D56" w:rsidP="00821D56">
      <w:pPr>
        <w:pStyle w:val="NormalHanging12a"/>
      </w:pPr>
      <w:r w:rsidRPr="00715FCF">
        <w:t>8.</w:t>
      </w:r>
      <w:r w:rsidRPr="00715FCF">
        <w:tab/>
        <w:t>Europaparlamentet godkänner rådets ståndpunkt om förslaget till ändringsbudget nr 1/2026.</w:t>
      </w:r>
    </w:p>
    <w:p w14:paraId="66F758E6" w14:textId="77777777" w:rsidR="00821D56" w:rsidRPr="00715FCF" w:rsidRDefault="00821D56" w:rsidP="00821D56">
      <w:pPr>
        <w:pStyle w:val="NormalHanging12a"/>
      </w:pPr>
      <w:r w:rsidRPr="00715FCF">
        <w:t>9.</w:t>
      </w:r>
      <w:r w:rsidRPr="00715FCF">
        <w:tab/>
        <w:t xml:space="preserve">Europaparlamentet uppdrar åt talmannen att förklara ändringsbudget nr 1/2026 slutgiltigt antagen och se till att den offentliggörs i </w:t>
      </w:r>
      <w:r w:rsidRPr="00715FCF">
        <w:rPr>
          <w:i/>
          <w:iCs/>
        </w:rPr>
        <w:t>Europeiska unionens officiella tidning</w:t>
      </w:r>
      <w:r w:rsidRPr="00715FCF">
        <w:t>.</w:t>
      </w:r>
    </w:p>
    <w:p w14:paraId="3A1A5768" w14:textId="57538ACD" w:rsidR="00715FCF" w:rsidRPr="00715FCF" w:rsidRDefault="00821D56" w:rsidP="00715FCF">
      <w:pPr>
        <w:pStyle w:val="NormalHanging12a"/>
      </w:pPr>
      <w:r w:rsidRPr="00715FCF">
        <w:t>10.</w:t>
      </w:r>
      <w:r w:rsidRPr="00715FCF">
        <w:tab/>
        <w:t xml:space="preserve">Europaparlamentet uppdrar åt talmannen att översända denna resolution till rådet, </w:t>
      </w:r>
      <w:r w:rsidRPr="00715FCF">
        <w:lastRenderedPageBreak/>
        <w:t>kommissionen, övriga institutioner och berörda organ samt till de nationella parlamenten.</w:t>
      </w:r>
    </w:p>
    <w:p w14:paraId="5D70D363" w14:textId="663C1978" w:rsidR="00E365E1" w:rsidRPr="00715FCF" w:rsidRDefault="00E365E1" w:rsidP="00A20DDD"/>
    <w:sectPr w:rsidR="00E365E1" w:rsidRPr="00715FCF" w:rsidSect="00715F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A1AEE" w14:textId="77777777" w:rsidR="00A20DDD" w:rsidRPr="00715FCF" w:rsidRDefault="00A20DDD">
      <w:r w:rsidRPr="00715FCF">
        <w:separator/>
      </w:r>
    </w:p>
  </w:endnote>
  <w:endnote w:type="continuationSeparator" w:id="0">
    <w:p w14:paraId="5EB4CE56" w14:textId="77777777" w:rsidR="00A20DDD" w:rsidRPr="00715FCF" w:rsidRDefault="00A20DDD">
      <w:r w:rsidRPr="00715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1106" w14:textId="77777777" w:rsidR="00064002" w:rsidRPr="00715F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8436" w14:textId="77777777" w:rsidR="00064002" w:rsidRPr="00715F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6AF1" w14:textId="77777777" w:rsidR="00064002" w:rsidRPr="00715F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DE4C" w14:textId="77777777" w:rsidR="00A20DDD" w:rsidRPr="00715FCF" w:rsidRDefault="00A20DDD">
      <w:r w:rsidRPr="00715FCF">
        <w:separator/>
      </w:r>
    </w:p>
  </w:footnote>
  <w:footnote w:type="continuationSeparator" w:id="0">
    <w:p w14:paraId="28CF494F" w14:textId="77777777" w:rsidR="00A20DDD" w:rsidRPr="00715FCF" w:rsidRDefault="00A20DDD">
      <w:r w:rsidRPr="00715FCF">
        <w:continuationSeparator/>
      </w:r>
    </w:p>
  </w:footnote>
  <w:footnote w:id="1">
    <w:p w14:paraId="257217BB" w14:textId="5BC9E793"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2024/2509, 26.9.2024, ELI: </w:t>
      </w:r>
      <w:hyperlink r:id="rId1" w:tooltip="http://data.europa.eu/eli/reg/2024/2509/oj" w:history="1">
        <w:r w:rsidRPr="00940FC2">
          <w:rPr>
            <w:rStyle w:val="Hyperlink"/>
            <w:sz w:val="24"/>
            <w:lang w:val="fi-FI"/>
          </w:rPr>
          <w:t>http://data.europa.eu/eli/reg/2024/2509/oj</w:t>
        </w:r>
      </w:hyperlink>
      <w:r w:rsidRPr="00940FC2">
        <w:rPr>
          <w:sz w:val="24"/>
          <w:lang w:val="fi-FI"/>
        </w:rPr>
        <w:t>.</w:t>
      </w:r>
    </w:p>
  </w:footnote>
  <w:footnote w:id="2">
    <w:p w14:paraId="2505287E" w14:textId="1DE5DBF3"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2026/72, 26.2.2026, ELI: </w:t>
      </w:r>
      <w:hyperlink r:id="rId2" w:history="1">
        <w:r w:rsidRPr="00940FC2">
          <w:rPr>
            <w:rStyle w:val="Hyperlink"/>
            <w:sz w:val="24"/>
            <w:lang w:val="fi-FI"/>
          </w:rPr>
          <w:t>http://data.europa.eu/eli/budget/2026/72/oj</w:t>
        </w:r>
      </w:hyperlink>
      <w:r w:rsidRPr="00940FC2">
        <w:rPr>
          <w:sz w:val="24"/>
          <w:lang w:val="fi-FI"/>
        </w:rPr>
        <w:t>.</w:t>
      </w:r>
    </w:p>
  </w:footnote>
  <w:footnote w:id="3">
    <w:p w14:paraId="51EF2F28" w14:textId="581272CD"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433 I, 22.12.2020, s. 11, ELI: </w:t>
      </w:r>
      <w:hyperlink r:id="rId3" w:history="1">
        <w:r w:rsidRPr="00940FC2">
          <w:rPr>
            <w:rStyle w:val="Hyperlink"/>
            <w:sz w:val="24"/>
            <w:lang w:val="fi-FI"/>
          </w:rPr>
          <w:t>http://data.europa.eu/eli/reg/2020/2093/oj</w:t>
        </w:r>
      </w:hyperlink>
      <w:r w:rsidRPr="00940FC2">
        <w:rPr>
          <w:sz w:val="24"/>
          <w:lang w:val="fi-FI"/>
        </w:rPr>
        <w:t>.</w:t>
      </w:r>
    </w:p>
  </w:footnote>
  <w:footnote w:id="4">
    <w:p w14:paraId="5FF0F303" w14:textId="45524E52"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2024/765, 29.2.2024, ELI: </w:t>
      </w:r>
      <w:hyperlink r:id="rId4" w:history="1">
        <w:r w:rsidRPr="00940FC2">
          <w:rPr>
            <w:rStyle w:val="Hyperlink"/>
            <w:sz w:val="24"/>
            <w:lang w:val="fi-FI"/>
          </w:rPr>
          <w:t>http://data.europa.eu/eli/reg/2024/765/oj</w:t>
        </w:r>
      </w:hyperlink>
      <w:r w:rsidRPr="00940FC2">
        <w:rPr>
          <w:sz w:val="24"/>
          <w:lang w:val="fi-FI"/>
        </w:rPr>
        <w:t>.</w:t>
      </w:r>
    </w:p>
  </w:footnote>
  <w:footnote w:id="5">
    <w:p w14:paraId="39A79FFE" w14:textId="0FD0BCA2"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433 I, 22.12.2020, s. 28, ELI: </w:t>
      </w:r>
      <w:hyperlink r:id="rId5" w:history="1">
        <w:r w:rsidRPr="00940FC2">
          <w:rPr>
            <w:rStyle w:val="Hyperlink"/>
            <w:sz w:val="24"/>
            <w:lang w:val="fi-FI"/>
          </w:rPr>
          <w:t>http://data.europa.eu/eli/agree_interinstit/2020/1222/oj</w:t>
        </w:r>
      </w:hyperlink>
    </w:p>
  </w:footnote>
  <w:footnote w:id="6">
    <w:p w14:paraId="6EB1AE4F" w14:textId="3D4B6D96" w:rsidR="00821D56" w:rsidRPr="00940FC2" w:rsidRDefault="00821D56" w:rsidP="00715FCF">
      <w:pPr>
        <w:pStyle w:val="FootnoteText"/>
        <w:ind w:left="567" w:hanging="567"/>
        <w:rPr>
          <w:sz w:val="24"/>
          <w:lang w:val="fi-FI"/>
        </w:rPr>
      </w:pPr>
      <w:r w:rsidRPr="00715FCF">
        <w:rPr>
          <w:rStyle w:val="FootnoteReference"/>
          <w:sz w:val="24"/>
          <w:lang w:val="sv-SE"/>
        </w:rPr>
        <w:footnoteRef/>
      </w:r>
      <w:r w:rsidR="00715FCF" w:rsidRPr="00940FC2">
        <w:rPr>
          <w:sz w:val="24"/>
          <w:lang w:val="fi-FI"/>
        </w:rPr>
        <w:t xml:space="preserve"> </w:t>
      </w:r>
      <w:r w:rsidR="00715FCF" w:rsidRPr="00940FC2">
        <w:rPr>
          <w:sz w:val="24"/>
          <w:lang w:val="fi-FI"/>
        </w:rPr>
        <w:tab/>
      </w:r>
      <w:r w:rsidRPr="00940FC2">
        <w:rPr>
          <w:sz w:val="24"/>
          <w:lang w:val="fi-FI"/>
        </w:rPr>
        <w:t xml:space="preserve">EUT L 424, 15.12.2020, s. 1, ELI: </w:t>
      </w:r>
      <w:hyperlink r:id="rId6" w:history="1">
        <w:r w:rsidRPr="00940FC2">
          <w:rPr>
            <w:rStyle w:val="Hyperlink"/>
            <w:sz w:val="24"/>
            <w:lang w:val="fi-FI"/>
          </w:rPr>
          <w:t>http://data.europa.eu/eli/dec/2020/2053/oj</w:t>
        </w:r>
      </w:hyperlink>
      <w:r w:rsidRPr="00940FC2">
        <w:rPr>
          <w:sz w:val="24"/>
          <w:lang w:val="fi-FI"/>
        </w:rPr>
        <w:t>.</w:t>
      </w:r>
    </w:p>
  </w:footnote>
  <w:footnote w:id="7">
    <w:p w14:paraId="31790124" w14:textId="6610D839" w:rsidR="00821D56" w:rsidRPr="00715FCF" w:rsidRDefault="00821D56" w:rsidP="00715FCF">
      <w:pPr>
        <w:pStyle w:val="FootnoteText"/>
        <w:ind w:left="567" w:hanging="567"/>
        <w:rPr>
          <w:sz w:val="24"/>
          <w:lang w:val="sv-SE"/>
        </w:rPr>
      </w:pPr>
      <w:r w:rsidRPr="00715FCF">
        <w:rPr>
          <w:rStyle w:val="FootnoteReference"/>
          <w:sz w:val="24"/>
          <w:lang w:val="sv-SE"/>
        </w:rPr>
        <w:footnoteRef/>
      </w:r>
      <w:r w:rsidR="00715FCF" w:rsidRPr="00715FCF">
        <w:rPr>
          <w:sz w:val="24"/>
          <w:lang w:val="sv-SE"/>
        </w:rPr>
        <w:t xml:space="preserve"> </w:t>
      </w:r>
      <w:r w:rsidR="00715FCF" w:rsidRPr="00715FCF">
        <w:rPr>
          <w:sz w:val="24"/>
          <w:lang w:val="sv-SE"/>
        </w:rPr>
        <w:tab/>
      </w:r>
      <w:r w:rsidRPr="00715FCF">
        <w:rPr>
          <w:sz w:val="24"/>
          <w:lang w:val="sv-SE"/>
        </w:rPr>
        <w:t xml:space="preserve">Antagna </w:t>
      </w:r>
      <w:r w:rsidRPr="00940FC2">
        <w:rPr>
          <w:sz w:val="24"/>
          <w:lang w:val="sv-SE"/>
        </w:rPr>
        <w:t>texter, P10_TA(2026)0111.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12A9" w14:textId="77777777" w:rsidR="00064002" w:rsidRPr="00715F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B542" w14:textId="77777777" w:rsidR="00064002" w:rsidRPr="00715F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80B8" w14:textId="77777777" w:rsidR="00064002" w:rsidRPr="00715F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2713228">
    <w:abstractNumId w:val="9"/>
  </w:num>
  <w:num w:numId="2" w16cid:durableId="295452363">
    <w:abstractNumId w:val="9"/>
  </w:num>
  <w:num w:numId="3" w16cid:durableId="263153030">
    <w:abstractNumId w:val="7"/>
  </w:num>
  <w:num w:numId="4" w16cid:durableId="542137034">
    <w:abstractNumId w:val="7"/>
  </w:num>
  <w:num w:numId="5" w16cid:durableId="723021342">
    <w:abstractNumId w:val="6"/>
  </w:num>
  <w:num w:numId="6" w16cid:durableId="1318457077">
    <w:abstractNumId w:val="6"/>
  </w:num>
  <w:num w:numId="7" w16cid:durableId="952982717">
    <w:abstractNumId w:val="5"/>
  </w:num>
  <w:num w:numId="8" w16cid:durableId="2015256580">
    <w:abstractNumId w:val="5"/>
  </w:num>
  <w:num w:numId="9" w16cid:durableId="1385252449">
    <w:abstractNumId w:val="4"/>
  </w:num>
  <w:num w:numId="10" w16cid:durableId="1684432054">
    <w:abstractNumId w:val="4"/>
  </w:num>
  <w:num w:numId="11" w16cid:durableId="1222136574">
    <w:abstractNumId w:val="8"/>
  </w:num>
  <w:num w:numId="12" w16cid:durableId="161512161">
    <w:abstractNumId w:val="8"/>
  </w:num>
  <w:num w:numId="13" w16cid:durableId="1951938502">
    <w:abstractNumId w:val="3"/>
  </w:num>
  <w:num w:numId="14" w16cid:durableId="1803189258">
    <w:abstractNumId w:val="3"/>
  </w:num>
  <w:num w:numId="15" w16cid:durableId="1991901243">
    <w:abstractNumId w:val="2"/>
  </w:num>
  <w:num w:numId="16" w16cid:durableId="1363478043">
    <w:abstractNumId w:val="2"/>
  </w:num>
  <w:num w:numId="17" w16cid:durableId="2117868350">
    <w:abstractNumId w:val="1"/>
  </w:num>
  <w:num w:numId="18" w16cid:durableId="632560339">
    <w:abstractNumId w:val="1"/>
  </w:num>
  <w:num w:numId="19" w16cid:durableId="1660036383">
    <w:abstractNumId w:val="0"/>
  </w:num>
  <w:num w:numId="20" w16cid:durableId="1648049922">
    <w:abstractNumId w:val="0"/>
  </w:num>
  <w:num w:numId="21" w16cid:durableId="892274935">
    <w:abstractNumId w:val="9"/>
  </w:num>
  <w:num w:numId="22" w16cid:durableId="920681192">
    <w:abstractNumId w:val="7"/>
  </w:num>
  <w:num w:numId="23" w16cid:durableId="732198104">
    <w:abstractNumId w:val="6"/>
  </w:num>
  <w:num w:numId="24" w16cid:durableId="1361591866">
    <w:abstractNumId w:val="5"/>
  </w:num>
  <w:num w:numId="25" w16cid:durableId="1251040267">
    <w:abstractNumId w:val="4"/>
  </w:num>
  <w:num w:numId="26" w16cid:durableId="150291906">
    <w:abstractNumId w:val="8"/>
  </w:num>
  <w:num w:numId="27" w16cid:durableId="177819468">
    <w:abstractNumId w:val="3"/>
  </w:num>
  <w:num w:numId="28" w16cid:durableId="891431009">
    <w:abstractNumId w:val="2"/>
  </w:num>
  <w:num w:numId="29" w16cid:durableId="1680230812">
    <w:abstractNumId w:val="1"/>
  </w:num>
  <w:num w:numId="30" w16cid:durableId="614672479">
    <w:abstractNumId w:val="0"/>
  </w:num>
  <w:num w:numId="31" w16cid:durableId="784426668">
    <w:abstractNumId w:val="9"/>
  </w:num>
  <w:num w:numId="32" w16cid:durableId="1051615809">
    <w:abstractNumId w:val="7"/>
  </w:num>
  <w:num w:numId="33" w16cid:durableId="984579795">
    <w:abstractNumId w:val="6"/>
  </w:num>
  <w:num w:numId="34" w16cid:durableId="1739667102">
    <w:abstractNumId w:val="5"/>
  </w:num>
  <w:num w:numId="35" w16cid:durableId="115805592">
    <w:abstractNumId w:val="4"/>
  </w:num>
  <w:num w:numId="36" w16cid:durableId="2137482206">
    <w:abstractNumId w:val="8"/>
  </w:num>
  <w:num w:numId="37" w16cid:durableId="1936985013">
    <w:abstractNumId w:val="3"/>
  </w:num>
  <w:num w:numId="38" w16cid:durableId="570775967">
    <w:abstractNumId w:val="2"/>
  </w:num>
  <w:num w:numId="39" w16cid:durableId="1841041907">
    <w:abstractNumId w:val="1"/>
  </w:num>
  <w:num w:numId="40" w16cid:durableId="283193197">
    <w:abstractNumId w:val="0"/>
  </w:num>
  <w:num w:numId="41" w16cid:durableId="1571766725">
    <w:abstractNumId w:val="10"/>
  </w:num>
  <w:num w:numId="42" w16cid:durableId="301270655">
    <w:abstractNumId w:val="10"/>
  </w:num>
  <w:num w:numId="43" w16cid:durableId="1008753780">
    <w:abstractNumId w:val="10"/>
  </w:num>
  <w:num w:numId="44" w16cid:durableId="200702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SV"/>
    <w:docVar w:name="dvnumam" w:val="0"/>
    <w:docVar w:name="dvpe" w:val="787.947"/>
    <w:docVar w:name="dvrapporteur" w:val="Föredragande: "/>
    <w:docVar w:name="dvtitre" w:val="Europaparlamentets resolution av den xx xx 2026 om rådets ståndpunkt om förslaget till Europeiska unionens ändringsbudget nr 1/2026 för budgetåret 2026 – Införande av överskottet från budgetåret 2025(09919/2026 – C10-0145/2026 – 2026/0090(BUD))"/>
  </w:docVars>
  <w:rsids>
    <w:rsidRoot w:val="00A20DDD"/>
    <w:rsid w:val="00002272"/>
    <w:rsid w:val="00064002"/>
    <w:rsid w:val="000677B9"/>
    <w:rsid w:val="000831BA"/>
    <w:rsid w:val="000A42CC"/>
    <w:rsid w:val="000E7DD9"/>
    <w:rsid w:val="0010095E"/>
    <w:rsid w:val="00125B37"/>
    <w:rsid w:val="00187494"/>
    <w:rsid w:val="001F32AE"/>
    <w:rsid w:val="002767FF"/>
    <w:rsid w:val="002B18FE"/>
    <w:rsid w:val="002B5493"/>
    <w:rsid w:val="002B5B7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85E"/>
    <w:rsid w:val="005C2568"/>
    <w:rsid w:val="005F1B17"/>
    <w:rsid w:val="006037C0"/>
    <w:rsid w:val="006631B6"/>
    <w:rsid w:val="00680577"/>
    <w:rsid w:val="006F2133"/>
    <w:rsid w:val="006F74FA"/>
    <w:rsid w:val="00715FCF"/>
    <w:rsid w:val="00731ADD"/>
    <w:rsid w:val="00734777"/>
    <w:rsid w:val="00747932"/>
    <w:rsid w:val="00751A4A"/>
    <w:rsid w:val="00756632"/>
    <w:rsid w:val="00762C74"/>
    <w:rsid w:val="00786EC0"/>
    <w:rsid w:val="007D1690"/>
    <w:rsid w:val="007E22AD"/>
    <w:rsid w:val="00817416"/>
    <w:rsid w:val="00821D56"/>
    <w:rsid w:val="00842779"/>
    <w:rsid w:val="00865F67"/>
    <w:rsid w:val="00881A7B"/>
    <w:rsid w:val="008840E5"/>
    <w:rsid w:val="00887B3E"/>
    <w:rsid w:val="008B16D4"/>
    <w:rsid w:val="008B69FF"/>
    <w:rsid w:val="008C2AC6"/>
    <w:rsid w:val="008D0EEB"/>
    <w:rsid w:val="00930C23"/>
    <w:rsid w:val="0093193B"/>
    <w:rsid w:val="00940FC2"/>
    <w:rsid w:val="009509D8"/>
    <w:rsid w:val="00950B64"/>
    <w:rsid w:val="00981893"/>
    <w:rsid w:val="00A1687D"/>
    <w:rsid w:val="00A20DDD"/>
    <w:rsid w:val="00A43E52"/>
    <w:rsid w:val="00A4678D"/>
    <w:rsid w:val="00A566A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4C4"/>
    <w:rsid w:val="00D872DF"/>
    <w:rsid w:val="00D91E21"/>
    <w:rsid w:val="00DA06F0"/>
    <w:rsid w:val="00DA7FCD"/>
    <w:rsid w:val="00E365E1"/>
    <w:rsid w:val="00E820A4"/>
    <w:rsid w:val="00EA76E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318C5"/>
  <w15:chartTrackingRefBased/>
  <w15:docId w15:val="{FF709334-E391-4D7F-B78B-05BE937A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1D56"/>
    <w:pPr>
      <w:spacing w:before="480" w:after="240"/>
    </w:pPr>
  </w:style>
  <w:style w:type="paragraph" w:customStyle="1" w:styleId="NormalHanging12a">
    <w:name w:val="NormalHanging12a"/>
    <w:basedOn w:val="Normal"/>
    <w:rsid w:val="00821D56"/>
    <w:pPr>
      <w:spacing w:after="240"/>
      <w:ind w:left="567" w:hanging="567"/>
    </w:pPr>
  </w:style>
  <w:style w:type="character" w:styleId="Hyperlink">
    <w:name w:val="Hyperlink"/>
    <w:basedOn w:val="DefaultParagraphFont"/>
    <w:rsid w:val="00821D56"/>
    <w:rPr>
      <w:color w:val="0563C1" w:themeColor="hyperlink"/>
      <w:u w:val="single"/>
    </w:rPr>
  </w:style>
  <w:style w:type="paragraph" w:styleId="Revision">
    <w:name w:val="Revision"/>
    <w:hidden/>
    <w:uiPriority w:val="99"/>
    <w:semiHidden/>
    <w:rsid w:val="002B5B7E"/>
    <w:rPr>
      <w:sz w:val="24"/>
      <w:lang w:val="sv-SE"/>
    </w:rPr>
  </w:style>
  <w:style w:type="character" w:styleId="FollowedHyperlink">
    <w:name w:val="FollowedHyperlink"/>
    <w:basedOn w:val="DefaultParagraphFont"/>
    <w:rsid w:val="002B5B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2026-07-07T11:39:00Z</dcterms:created>
  <dcterms:modified xsi:type="dcterms:W3CDTF">2026-07-07T11:39:00Z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A10-0180/2026</vt:lpwstr>
  </property>
  <property fmtid="{D5CDD505-2E9C-101B-9397-08002B2CF9AE}" pid="4" name="&lt;Type&gt;">
    <vt:lpwstr>RR</vt:lpwstr>
  </property>
</Properties>
</file>