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5442" w14:paraId="1F1541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22555E" w14:textId="77777777" w:rsidR="00751A4A" w:rsidRPr="003A5442" w:rsidRDefault="00270BE0" w:rsidP="0010095E">
            <w:pPr>
              <w:pStyle w:val="EPName"/>
            </w:pPr>
            <w:r w:rsidRPr="003A5442">
              <w:t>Evropský parlament</w:t>
            </w:r>
          </w:p>
          <w:p w14:paraId="0A31DF74" w14:textId="77777777" w:rsidR="00751A4A" w:rsidRPr="003A54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5442">
              <w:t>2024</w:t>
            </w:r>
            <w:r w:rsidR="00817416" w:rsidRPr="003A5442">
              <w:t>-202</w:t>
            </w:r>
            <w:r w:rsidRPr="003A5442">
              <w:t>9</w:t>
            </w:r>
          </w:p>
        </w:tc>
        <w:tc>
          <w:tcPr>
            <w:tcW w:w="2268" w:type="dxa"/>
            <w:shd w:val="clear" w:color="auto" w:fill="auto"/>
          </w:tcPr>
          <w:p w14:paraId="3656129F" w14:textId="77777777" w:rsidR="00751A4A" w:rsidRPr="003A5442" w:rsidRDefault="00187494" w:rsidP="0010095E">
            <w:pPr>
              <w:pStyle w:val="EPLogo"/>
            </w:pPr>
            <w:r w:rsidRPr="003A5442">
              <w:rPr>
                <w:noProof/>
                <w:lang w:eastAsia="ja-JP"/>
              </w:rPr>
              <w:drawing>
                <wp:inline distT="0" distB="0" distL="0" distR="0" wp14:anchorId="5E83073B" wp14:editId="63B952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B6FAE" w14:textId="77777777" w:rsidR="00D058B8" w:rsidRPr="003A5442" w:rsidRDefault="00D058B8" w:rsidP="004C5D52">
      <w:pPr>
        <w:pStyle w:val="LineTop"/>
      </w:pPr>
    </w:p>
    <w:p w14:paraId="53781677" w14:textId="77777777" w:rsidR="00680577" w:rsidRPr="003A5442" w:rsidRDefault="00270BE0" w:rsidP="00680577">
      <w:pPr>
        <w:pStyle w:val="EPBodyTA1"/>
      </w:pPr>
      <w:r w:rsidRPr="003A5442">
        <w:t>PŘIJATÉ TEXTY</w:t>
      </w:r>
    </w:p>
    <w:p w14:paraId="4102AC2C" w14:textId="77777777" w:rsidR="00D058B8" w:rsidRPr="003A5442" w:rsidRDefault="00D058B8" w:rsidP="00D058B8">
      <w:pPr>
        <w:pStyle w:val="LineBottom"/>
      </w:pPr>
    </w:p>
    <w:p w14:paraId="1E93DEC4" w14:textId="1D64AFBA" w:rsidR="00270BE0" w:rsidRPr="003A5442" w:rsidRDefault="00270BE0" w:rsidP="00270BE0">
      <w:pPr>
        <w:pStyle w:val="ATHeading1"/>
      </w:pPr>
      <w:bookmarkStart w:id="0" w:name="TANumber"/>
      <w:r w:rsidRPr="003A5442">
        <w:t>P10_</w:t>
      </w:r>
      <w:proofErr w:type="gramStart"/>
      <w:r w:rsidRPr="003A5442">
        <w:t>TA(</w:t>
      </w:r>
      <w:proofErr w:type="gramEnd"/>
      <w:r w:rsidRPr="003A5442">
        <w:t>2026)0</w:t>
      </w:r>
      <w:r w:rsidR="00267282">
        <w:t>243</w:t>
      </w:r>
      <w:bookmarkEnd w:id="0"/>
    </w:p>
    <w:p w14:paraId="29D5C352" w14:textId="713EE569" w:rsidR="00270BE0" w:rsidRPr="003A5442" w:rsidRDefault="008C512E" w:rsidP="008C512E">
      <w:pPr>
        <w:pStyle w:val="ATHeading2"/>
      </w:pPr>
      <w:r>
        <w:t>Uvolnění prostředků z Evropského fondu pro přizpůsobení se globalizaci: žádost EGF/2026/000 TA 2026 – Technická pomoc z podnětu Komise</w:t>
      </w:r>
    </w:p>
    <w:p w14:paraId="08B2EA86" w14:textId="77777777" w:rsidR="00270BE0" w:rsidRPr="003A5442" w:rsidRDefault="00270BE0" w:rsidP="00270BE0">
      <w:pPr>
        <w:rPr>
          <w:i/>
          <w:vanish/>
        </w:rPr>
      </w:pPr>
      <w:r w:rsidRPr="003A5442">
        <w:rPr>
          <w:i/>
        </w:rPr>
        <w:fldChar w:fldCharType="begin"/>
      </w:r>
      <w:r w:rsidRPr="003A5442">
        <w:rPr>
          <w:i/>
        </w:rPr>
        <w:instrText xml:space="preserve"> TC"(</w:instrText>
      </w:r>
      <w:bookmarkStart w:id="1" w:name="DocNumber"/>
      <w:r w:rsidRPr="003A5442">
        <w:rPr>
          <w:i/>
        </w:rPr>
        <w:instrText>A10-0179/2026</w:instrText>
      </w:r>
      <w:bookmarkEnd w:id="1"/>
      <w:r w:rsidRPr="003A5442">
        <w:rPr>
          <w:i/>
        </w:rPr>
        <w:instrText xml:space="preserve"> - Zpravodajka: Lucia Yar)"\l3 \n&gt; \* MERGEFORMAT </w:instrText>
      </w:r>
      <w:r w:rsidRPr="003A5442">
        <w:rPr>
          <w:i/>
        </w:rPr>
        <w:fldChar w:fldCharType="end"/>
      </w:r>
    </w:p>
    <w:p w14:paraId="52DBBFF7" w14:textId="77777777" w:rsidR="00270BE0" w:rsidRPr="003A5442" w:rsidRDefault="00270BE0" w:rsidP="00270BE0">
      <w:pPr>
        <w:rPr>
          <w:vanish/>
        </w:rPr>
      </w:pPr>
      <w:bookmarkStart w:id="2" w:name="Commission"/>
      <w:r w:rsidRPr="003A5442">
        <w:rPr>
          <w:vanish/>
        </w:rPr>
        <w:t>Rozpočtový výbor</w:t>
      </w:r>
      <w:bookmarkEnd w:id="2"/>
    </w:p>
    <w:p w14:paraId="536043CA" w14:textId="77777777" w:rsidR="00270BE0" w:rsidRPr="003A5442" w:rsidRDefault="00270BE0" w:rsidP="00270BE0">
      <w:pPr>
        <w:rPr>
          <w:vanish/>
        </w:rPr>
      </w:pPr>
      <w:bookmarkStart w:id="3" w:name="PE"/>
      <w:r w:rsidRPr="003A5442">
        <w:rPr>
          <w:vanish/>
        </w:rPr>
        <w:t>PE789.086</w:t>
      </w:r>
      <w:bookmarkEnd w:id="3"/>
    </w:p>
    <w:p w14:paraId="2F158D27" w14:textId="019517F7" w:rsidR="00270BE0" w:rsidRPr="003A5442" w:rsidRDefault="00270BE0" w:rsidP="00270BE0">
      <w:pPr>
        <w:pStyle w:val="ATHeading3"/>
      </w:pPr>
      <w:bookmarkStart w:id="4" w:name="Sujet"/>
      <w:r w:rsidRPr="003A5442">
        <w:t>Usnesení Evropského parlamentu ze dne</w:t>
      </w:r>
      <w:r w:rsidR="008C512E">
        <w:t xml:space="preserve"> </w:t>
      </w:r>
      <w:r w:rsidR="00982F25">
        <w:t>7</w:t>
      </w:r>
      <w:r w:rsidR="008C512E">
        <w:t>. července</w:t>
      </w:r>
      <w:r w:rsidRPr="003A5442">
        <w:t xml:space="preserve"> 2026 o návrhu rozhodnutí Evropského parlamentu a Rady o uvolnění prostředků z Evropského fondu pro přizpůsobení se globalizaci na pomoc propuštěným pracovníkům z podnětu Komise (EGF/2026/000 TA 2026 – Technická pomoc)</w:t>
      </w:r>
      <w:bookmarkEnd w:id="4"/>
      <w:r w:rsidRPr="003A5442">
        <w:t xml:space="preserve"> </w:t>
      </w:r>
      <w:bookmarkStart w:id="5" w:name="References"/>
      <w:r w:rsidRPr="003A5442">
        <w:t>(</w:t>
      </w:r>
      <w:proofErr w:type="gramStart"/>
      <w:r w:rsidRPr="003A5442">
        <w:t>COM(</w:t>
      </w:r>
      <w:proofErr w:type="gramEnd"/>
      <w:r w:rsidRPr="003A5442">
        <w:t>2026)0360 – C10-0124/2026 – 2026/0126(BUD))</w:t>
      </w:r>
      <w:bookmarkEnd w:id="5"/>
    </w:p>
    <w:p w14:paraId="434EB0C6" w14:textId="77777777" w:rsidR="00BD1553" w:rsidRPr="003A5442" w:rsidRDefault="00BD1553" w:rsidP="00BD1553">
      <w:pPr>
        <w:pStyle w:val="EPComma"/>
        <w:rPr>
          <w:noProof/>
        </w:rPr>
      </w:pPr>
      <w:r w:rsidRPr="003A5442">
        <w:rPr>
          <w:i/>
        </w:rPr>
        <w:t>Evropský parlament</w:t>
      </w:r>
      <w:r w:rsidRPr="003A5442">
        <w:t>,</w:t>
      </w:r>
    </w:p>
    <w:p w14:paraId="3CE06FDA" w14:textId="77777777" w:rsidR="00BD1553" w:rsidRPr="003A5442" w:rsidRDefault="00BD1553" w:rsidP="00BD1553">
      <w:pPr>
        <w:pStyle w:val="NormalHanging12a"/>
        <w:rPr>
          <w:noProof/>
        </w:rPr>
      </w:pPr>
      <w:r w:rsidRPr="003A5442">
        <w:t>–</w:t>
      </w:r>
      <w:r w:rsidRPr="003A5442">
        <w:tab/>
        <w:t>s ohledem na návrh Komise předložený Evropskému parlamentu a Radě (</w:t>
      </w:r>
      <w:proofErr w:type="gramStart"/>
      <w:r w:rsidRPr="003A5442">
        <w:t>COM(</w:t>
      </w:r>
      <w:proofErr w:type="gramEnd"/>
      <w:r w:rsidRPr="003A5442">
        <w:t>2026)0360 – C10</w:t>
      </w:r>
      <w:r w:rsidRPr="003A5442">
        <w:noBreakHyphen/>
        <w:t>0124/2026),</w:t>
      </w:r>
    </w:p>
    <w:p w14:paraId="092FC275" w14:textId="77777777" w:rsidR="00BD1553" w:rsidRPr="003A5442" w:rsidRDefault="00BD1553" w:rsidP="00BD1553">
      <w:pPr>
        <w:pStyle w:val="NormalHanging12a"/>
        <w:rPr>
          <w:noProof/>
        </w:rPr>
      </w:pPr>
      <w:bookmarkStart w:id="6" w:name="_Hlk230701067"/>
      <w:r w:rsidRPr="003A5442">
        <w:t>–</w:t>
      </w:r>
      <w:r w:rsidRPr="003A5442">
        <w:tab/>
        <w:t>s ohledem na nařízení Evropského parlamentu a Rady (EU) 2021/691 ze dne 28. dubna 2021 o Evropském fondu pro přizpůsobení se globalizaci na pomoc propuštěným pracovníkům (EFG) a o zrušení nařízení (EU) 1309/2013</w:t>
      </w:r>
      <w:r w:rsidRPr="003A5442">
        <w:rPr>
          <w:rStyle w:val="FootnoteReference"/>
        </w:rPr>
        <w:footnoteReference w:id="1"/>
      </w:r>
      <w:r w:rsidRPr="003A5442">
        <w:t xml:space="preserve"> (dále jen „nařízení o EFG“) ve znění nařízení (EU) 2026/1139</w:t>
      </w:r>
      <w:r w:rsidRPr="003A5442">
        <w:rPr>
          <w:rStyle w:val="FootnoteReference"/>
          <w:noProof/>
        </w:rPr>
        <w:footnoteReference w:id="2"/>
      </w:r>
      <w:r w:rsidRPr="003A5442">
        <w:t>,</w:t>
      </w:r>
    </w:p>
    <w:bookmarkEnd w:id="6"/>
    <w:p w14:paraId="0843C831" w14:textId="77777777" w:rsidR="00BD1553" w:rsidRPr="003A5442" w:rsidRDefault="00BD1553" w:rsidP="00BD1553">
      <w:pPr>
        <w:pStyle w:val="NormalHanging12a"/>
        <w:rPr>
          <w:noProof/>
        </w:rPr>
      </w:pPr>
      <w:r w:rsidRPr="003A5442">
        <w:t>–</w:t>
      </w:r>
      <w:r w:rsidRPr="003A5442">
        <w:tab/>
      </w:r>
      <w:r w:rsidRPr="003A5442">
        <w:rPr>
          <w:snapToGrid w:val="0"/>
        </w:rPr>
        <w:t>s ohledem na nařízení Rady (EU, Euratom) 2020/2093 ze dne 17. prosince 2020, kterým se stanoví víceletý finanční rámec na období 2021–2027</w:t>
      </w:r>
      <w:r w:rsidRPr="003A5442">
        <w:rPr>
          <w:rStyle w:val="FootnoteReference"/>
          <w:snapToGrid w:val="0"/>
        </w:rPr>
        <w:footnoteReference w:id="3"/>
      </w:r>
      <w:r w:rsidRPr="003A5442">
        <w:rPr>
          <w:snapToGrid w:val="0"/>
        </w:rPr>
        <w:t>, ve znění nařízení (EU, Euratom) 2024/765</w:t>
      </w:r>
      <w:r w:rsidRPr="003A5442">
        <w:rPr>
          <w:rStyle w:val="FootnoteReference"/>
          <w:snapToGrid w:val="0"/>
          <w:bdr w:val="none" w:sz="0" w:space="0" w:color="auto" w:frame="1"/>
        </w:rPr>
        <w:footnoteReference w:id="4"/>
      </w:r>
      <w:r w:rsidRPr="003A5442">
        <w:rPr>
          <w:snapToGrid w:val="0"/>
        </w:rPr>
        <w:t>, a zejména na článek 8 tohoto nařízení</w:t>
      </w:r>
      <w:r w:rsidRPr="003A5442">
        <w:t>,</w:t>
      </w:r>
    </w:p>
    <w:p w14:paraId="2B63B06E" w14:textId="77777777" w:rsidR="00BD1553" w:rsidRPr="003A5442" w:rsidRDefault="00BD1553" w:rsidP="00BD1553">
      <w:pPr>
        <w:pStyle w:val="NormalHanging12a"/>
        <w:rPr>
          <w:noProof/>
        </w:rPr>
      </w:pPr>
      <w:r w:rsidRPr="003A5442">
        <w:t>–</w:t>
      </w:r>
      <w:r w:rsidRPr="003A5442">
        <w:tab/>
        <w:t>s ohledem na interinstitucionální dohodu ze dne 16. prosince 2020 mezi Evropským parlamentem, Radou Evropské unie a Evropskou komisí o rozpočtové kázni, spolupráci v rozpočtových záležitostech a řádném finančním řízení, jakož i o nových vlastních zdrojích</w:t>
      </w:r>
      <w:r w:rsidRPr="003A5442">
        <w:rPr>
          <w:rStyle w:val="FootnoteReference"/>
          <w:noProof/>
        </w:rPr>
        <w:footnoteReference w:id="5"/>
      </w:r>
      <w:r w:rsidRPr="003A5442">
        <w:t>, včetně plánu zavádění nových vlastních zdrojů, a zejména na bod 9 této dohody,</w:t>
      </w:r>
    </w:p>
    <w:p w14:paraId="2A744161" w14:textId="77777777" w:rsidR="00BD1553" w:rsidRPr="003A5442" w:rsidRDefault="00BD1553" w:rsidP="00BD1553">
      <w:pPr>
        <w:pStyle w:val="NormalHanging12a"/>
      </w:pPr>
      <w:r w:rsidRPr="003A5442">
        <w:lastRenderedPageBreak/>
        <w:t>–</w:t>
      </w:r>
      <w:r w:rsidRPr="003A5442">
        <w:tab/>
        <w:t>s ohledem na zprávu Rozpočtového výboru (A10</w:t>
      </w:r>
      <w:r w:rsidRPr="003A5442">
        <w:noBreakHyphen/>
        <w:t>0179/2026),</w:t>
      </w:r>
    </w:p>
    <w:p w14:paraId="48FD02C6" w14:textId="0ED0F1D9" w:rsidR="00BD1553" w:rsidRPr="003A5442" w:rsidRDefault="00BD1553" w:rsidP="00BD1553">
      <w:pPr>
        <w:pStyle w:val="NormalHanging12a"/>
        <w:rPr>
          <w:noProof/>
        </w:rPr>
      </w:pPr>
      <w:r w:rsidRPr="003A5442">
        <w:t>A.</w:t>
      </w:r>
      <w:r w:rsidRPr="003A5442">
        <w:tab/>
        <w:t>vzhledem k tomu, že Unie vytvořila legislativní a rozpočtové nástroje s cílem poskytovat dodatečnou podporu pracovníkům, kteří jsou postiženi důsledky významných strukturálních událostí a změn ve světovém obchodu nebo kteří jsou postiženi bezprostředním propuštěním ze společnosti procházející restrukturalizací, a pomáhat jim při opětovném začleňování na trh práce nebo s jejich profesními změnami; vzhledem k tomu, že tato pomoc</w:t>
      </w:r>
      <w:r w:rsidR="000E2FAD">
        <w:t xml:space="preserve"> pracovníkům </w:t>
      </w:r>
      <w:r w:rsidRPr="003A5442">
        <w:t>je poskytována v podobě finanční podpory;</w:t>
      </w:r>
    </w:p>
    <w:p w14:paraId="2D604C48" w14:textId="650C6B25" w:rsidR="00BD1553" w:rsidRPr="003A5442" w:rsidRDefault="00BD1553" w:rsidP="00BD1553">
      <w:pPr>
        <w:pStyle w:val="NormalHanging12a"/>
      </w:pPr>
      <w:r w:rsidRPr="003A5442">
        <w:t>B.</w:t>
      </w:r>
      <w:r w:rsidRPr="003A5442">
        <w:tab/>
        <w:t xml:space="preserve">vzhledem k tomu, že finanční příspěvky z EFG by měly být primárně zaměřeny na aktivní opatření na trhu práce a na individualizované služby, jejichž cílem je rychlé opětovné začleňování příjemců pomoci </w:t>
      </w:r>
      <w:r w:rsidR="000E2FAD">
        <w:t>na</w:t>
      </w:r>
      <w:r w:rsidRPr="003A5442">
        <w:t xml:space="preserve"> trh práce nebo podpora jejich profesních změn;</w:t>
      </w:r>
    </w:p>
    <w:p w14:paraId="625B44A4" w14:textId="77777777" w:rsidR="00BD1553" w:rsidRPr="003A5442" w:rsidRDefault="00BD1553" w:rsidP="00BD1553">
      <w:pPr>
        <w:pStyle w:val="NormalHanging12a"/>
      </w:pPr>
      <w:r w:rsidRPr="003A5442">
        <w:t>C.</w:t>
      </w:r>
      <w:r w:rsidRPr="003A5442">
        <w:tab/>
        <w:t xml:space="preserve">vzhledem k tomu, že podle čl. 11 odst. 1 nařízení o EFG lze až 1,5 % ročního stropu EFG poskytnout z podnětu Komise na technickou pomoc; </w:t>
      </w:r>
    </w:p>
    <w:p w14:paraId="6265234A" w14:textId="77777777" w:rsidR="00BD1553" w:rsidRPr="003A5442" w:rsidRDefault="00BD1553" w:rsidP="00BD1553">
      <w:pPr>
        <w:pStyle w:val="NormalHanging12a"/>
        <w:rPr>
          <w:color w:val="000000"/>
          <w:bdr w:val="none" w:sz="0" w:space="0" w:color="auto" w:frame="1"/>
        </w:rPr>
      </w:pPr>
      <w:r w:rsidRPr="003A5442">
        <w:t>D.</w:t>
      </w:r>
      <w:r w:rsidRPr="003A5442">
        <w:tab/>
      </w:r>
      <w:r w:rsidRPr="003A5442">
        <w:rPr>
          <w:color w:val="000000"/>
          <w:bdr w:val="none" w:sz="0" w:space="0" w:color="auto" w:frame="1"/>
        </w:rPr>
        <w:t>vzhledem k tomu, že technická pomoc může zahrnovat technické a administrativní výdaje na provádění EFG, jako jsou přípravné, monitorovací, kontrolní, auditní a hodnotící činnosti, jakož i shromažďování údajů, komunikační činnosti a činnosti zvyšující viditelnost EFG jako fondu nebo s ohledem na konkrétní projekty a další opatření technické pomoci; vzhledem k tomu, že technická pomoc zahrnuje poskytování informací a poradenství o EFG členským státům a sociálním partnerům, jakož i cílenou komunikaci s členskými státy, které podporu z EFG nevyužívají vůbec nebo jen málo;</w:t>
      </w:r>
      <w:r w:rsidRPr="003A5442">
        <w:t xml:space="preserve"> vzhledem k tomu, že činnosti technické pomoci by měly přispívat ke zlepšení účinnosti, dostupnosti a viditelnosti EFG se zvláštním zaměřením na měřitelné výsledky, administrativní zjednodušení a provádění zaměřené na uživatele ze strany členských států a příjemců; vzhledem k tomu, že některé členské státy stále nevyužívají EFG, přestože čelí restrukturalizačním procesům a propouštění srovnatelnému s těmi, k nimž dochází v členských státech. které jsou příjemci prostředků z fondu; vzhledem k tomu, že k zajištění rovného přístupu k příležitostem, které EFG nabízí v celé Unii, jsou proto nezbytné cílené osvětové a informační činnosti;</w:t>
      </w:r>
    </w:p>
    <w:p w14:paraId="5D07B44F" w14:textId="77777777" w:rsidR="00BD1553" w:rsidRPr="003A5442" w:rsidRDefault="00BD1553" w:rsidP="00BD1553">
      <w:pPr>
        <w:pStyle w:val="NormalHanging12a"/>
      </w:pPr>
      <w:r w:rsidRPr="003A5442">
        <w:t>E.</w:t>
      </w:r>
      <w:r w:rsidRPr="003A5442">
        <w:tab/>
        <w:t>vzhledem k tomu, že navrhovaná částka ve výši 210 000 EUR odpovídá přibližně 0,60 % maximálního ročního rozpočtu, který je pro EFG v roce 2026 k dispozici;  vzhledem k tomu, že EFG poskytuje významnou podporu pracovníkům dotčeným restrukturalizací a propouštěním; vzhledem k tomu, že konkurenceschopné evropské hospodářství, snížená administrativní zátěž a podnikatelské prostředí příznivé pro investice a inovace mají i nadále zásadní význam pro zachování kvalitních pracovních míst a snížení počtu pracovníků, kteří potřebují podporu z EFG;</w:t>
      </w:r>
    </w:p>
    <w:p w14:paraId="0B9D2028" w14:textId="77777777" w:rsidR="00BD1553" w:rsidRPr="003A5442" w:rsidRDefault="00BD1553" w:rsidP="00BD1553">
      <w:pPr>
        <w:pStyle w:val="NormalHanging12a"/>
      </w:pPr>
      <w:r w:rsidRPr="003A5442">
        <w:t>1.</w:t>
      </w:r>
      <w:r w:rsidRPr="003A5442">
        <w:tab/>
      </w:r>
      <w:r w:rsidRPr="003A5442">
        <w:rPr>
          <w:bdr w:val="none" w:sz="0" w:space="0" w:color="auto" w:frame="1"/>
        </w:rPr>
        <w:t>souhlasí s uvolněním částky ve výši 210 000 EUR a s tím, aby byla opatření navržená Komisí financována jako technická pomoc v souladu s čl. 11 odst. 1 a 4, jakož i s čl. 12 odst. 2, 3 a 4 nařízení o EFG;</w:t>
      </w:r>
      <w:r w:rsidRPr="003A5442">
        <w:t xml:space="preserve"> zdůrazňuje, že výdaje na technickou pomoc by měly zůstat přiměřené, efektivní a zaměřené na činnosti, které prokazatelně zlepšují přístup k podpoře propuštěných pracovníků a celkovou účinnost EFG;</w:t>
      </w:r>
    </w:p>
    <w:p w14:paraId="25E74FC3" w14:textId="77777777" w:rsidR="00BD1553" w:rsidRPr="003A5442" w:rsidRDefault="00BD1553" w:rsidP="00BD1553">
      <w:pPr>
        <w:spacing w:after="240"/>
        <w:ind w:left="567" w:hanging="567"/>
      </w:pPr>
      <w:r w:rsidRPr="003A5442">
        <w:t>2.</w:t>
      </w:r>
      <w:r w:rsidRPr="003A5442">
        <w:tab/>
        <w:t xml:space="preserve">bere na vědomí, že Komise využije rozpočet, který má k dispozici na administrativní podporu, k uspořádání zasedání odborné skupiny kontaktních osob EFG (dva členové z každého členského státu) a jednoho semináře za účasti prováděcích orgánů EFG a sociálních partnerů za účelem podpory vytváření sítí mezi členskými státy; vybízí </w:t>
      </w:r>
      <w:r w:rsidRPr="003A5442">
        <w:lastRenderedPageBreak/>
        <w:t>Komisi, aby na tato zasedání a semináře nadále soustavně zvala Parlament v souladu s příslušnými ustanoveními rámcové dohody o vztazích mezi Parlamentem a Komisí;</w:t>
      </w:r>
    </w:p>
    <w:p w14:paraId="35EBAC47" w14:textId="28774AE1" w:rsidR="00BD1553" w:rsidRPr="003A5442" w:rsidRDefault="00BD1553" w:rsidP="00BD1553">
      <w:pPr>
        <w:pStyle w:val="NormalHanging12a"/>
        <w:rPr>
          <w:bCs/>
          <w:iCs/>
        </w:rPr>
      </w:pPr>
      <w:r w:rsidRPr="003A5442">
        <w:t>3.</w:t>
      </w:r>
      <w:r w:rsidRPr="003A5442">
        <w:tab/>
        <w:t xml:space="preserve">zdůrazňuje, že je třeba dále zvyšovat obecné povědomí o EFG a jeho viditelnost; poukazuje na skutečnost, že tohoto cíle lze dosáhnout prezentací EFG v různých publikacích Komise a audiovizuálních aktivitách, jak je stanoveno v čl. 11 odst. 1 nařízení o EFG, a šířením cílených informací mezi </w:t>
      </w:r>
      <w:r w:rsidR="000E2FAD">
        <w:t>celo</w:t>
      </w:r>
      <w:r w:rsidRPr="003A5442">
        <w:t xml:space="preserve">státními, regionálními a místními orgány, sociálními partnery a širší veřejností; </w:t>
      </w:r>
      <w:r w:rsidRPr="003A5442">
        <w:rPr>
          <w:bdr w:val="none" w:sz="0" w:space="0" w:color="auto" w:frame="1"/>
        </w:rPr>
        <w:t>vítá v této souvislosti zachování specializovaných internetových stránek věnovaných EFG a vyzývá Komisi, aby je pravidelně aktualizovala a rozšiřovala;</w:t>
      </w:r>
      <w:r w:rsidRPr="003A5442">
        <w:t xml:space="preserve"> vyzývá Komisi, aby ve svých osvětových a komunikačních činnostech věnovala zvláštní pozornost členským státům, které EFG dosud nevyužily nebo jej využily jen v omezené míře, včetně těch, které čelí významným restrukturalizačním procesům a propouštění, s cílem zlepšit povědomí o EFG a usnadnit přístup k podpoře z EFG;</w:t>
      </w:r>
    </w:p>
    <w:p w14:paraId="2D3D01BA" w14:textId="77777777" w:rsidR="00BD1553" w:rsidRPr="003A5442" w:rsidRDefault="00BD1553" w:rsidP="00BD1553">
      <w:pPr>
        <w:pStyle w:val="NormalHanging12a"/>
        <w:rPr>
          <w:bCs/>
          <w:iCs/>
        </w:rPr>
      </w:pPr>
      <w:r w:rsidRPr="003A5442">
        <w:rPr>
          <w:bdr w:val="none" w:sz="0" w:space="0" w:color="auto" w:frame="1"/>
        </w:rPr>
        <w:t>4.</w:t>
      </w:r>
      <w:r w:rsidRPr="003A5442">
        <w:rPr>
          <w:bdr w:val="none" w:sz="0" w:space="0" w:color="auto" w:frame="1"/>
        </w:rPr>
        <w:tab/>
        <w:t>zdůrazňuje, že je třeba dále zjednodušit postup podávání žádostí o příspěvek z EFG; vítá v této souvislosti udržování systému elektronické výměny dat a práci na standardizovaných postupech pro žádosti o EFG, kterou provádí Komise;</w:t>
      </w:r>
      <w:r w:rsidRPr="003A5442">
        <w:t xml:space="preserve"> vyzývá Komisi, aby i nadále snižovala administrativní zátěž a zkracovala dobu mezi podáním žádosti a poskytnutím podpory příjemcům a zároveň zajistila plnou transparentnost a rozpočtovou kontrolu Evropského parlamentu jakožto jedné složky rozpočtového orgánu;</w:t>
      </w:r>
    </w:p>
    <w:p w14:paraId="1877FF8F" w14:textId="77777777" w:rsidR="00BD1553" w:rsidRPr="003A5442" w:rsidRDefault="00BD1553" w:rsidP="00BD1553">
      <w:pPr>
        <w:pStyle w:val="NormalHanging12a"/>
        <w:rPr>
          <w:bCs/>
          <w:iCs/>
        </w:rPr>
      </w:pPr>
      <w:r w:rsidRPr="003A5442">
        <w:t>5.</w:t>
      </w:r>
      <w:r w:rsidRPr="003A5442">
        <w:tab/>
        <w:t>zdůrazňuje, že je důležité zajistit, aby pracovníci dotčení hromadným propouštěním, uzavíráním podniků a přemisťováním podniků mohli najít zaměstnání a nové příležitosti; zdůrazňuje proto, že by EFG měl i nadále upřednostňovat opatření v oblasti odborné přípravy a rekvalifikace pro propuštěné pracovníky a nabízet možnosti odborné přípravy a kvalifikace, které usnadní jejich opětovné začlenění na trh práce; zdůrazňuje, že hodnocení dopadu EFG by se mělo zaměřit na měření opětovného začlenění příjemců do zaměstnání a účinnosti poskytované odborné přípravy s cílem průběžně zlepšovat a přizpůsobovat způsoby odborné přípravy a podpůrná opatření;</w:t>
      </w:r>
    </w:p>
    <w:p w14:paraId="4E93D343" w14:textId="77777777" w:rsidR="00BD1553" w:rsidRPr="003A5442" w:rsidRDefault="00BD1553" w:rsidP="00BD1553">
      <w:pPr>
        <w:pStyle w:val="NormalHanging12a"/>
        <w:rPr>
          <w:noProof/>
        </w:rPr>
      </w:pPr>
      <w:r w:rsidRPr="003A5442">
        <w:t>6.</w:t>
      </w:r>
      <w:r w:rsidRPr="003A5442">
        <w:tab/>
        <w:t>vítá činnosti, které zvyšují povědomí členských států, sociálních partnerů a podniků o změnách nařízení o EFG, které zahrnují možnost poskytovat podporu také pracovníkům bezprostředně ohroženým propouštěním ve společnosti procházející restrukturalizací;</w:t>
      </w:r>
    </w:p>
    <w:p w14:paraId="181C81AA" w14:textId="77777777" w:rsidR="00BD1553" w:rsidRPr="003A5442" w:rsidRDefault="00BD1553" w:rsidP="00BD1553">
      <w:pPr>
        <w:pStyle w:val="NormalHanging12a"/>
        <w:rPr>
          <w:bdr w:val="none" w:sz="0" w:space="0" w:color="auto" w:frame="1"/>
        </w:rPr>
      </w:pPr>
      <w:r w:rsidRPr="003A5442">
        <w:t>7.</w:t>
      </w:r>
      <w:r w:rsidRPr="003A5442">
        <w:tab/>
        <w:t>zdůrazňuje, že výdaje financované v rámci technické pomoci by měly podléhat přísnému monitorování a pravidelnému hodnocení s cílem zajistit řádné finanční řízení, nákladovou efektivnost a hmatatelnou přidanou hodnotu pro členské státy a příjemce; vyzývá Komisi, aby poskytla podrobné informace o využívání zdrojů technické pomoci a o konkrétních výsledcích dosažených prostřednictvím financovaných činností;</w:t>
      </w:r>
    </w:p>
    <w:p w14:paraId="18A725CF" w14:textId="77777777" w:rsidR="00BD1553" w:rsidRPr="003A5442" w:rsidRDefault="00BD1553" w:rsidP="00BD1553">
      <w:pPr>
        <w:spacing w:after="240"/>
        <w:ind w:left="567" w:hanging="567"/>
      </w:pPr>
      <w:r w:rsidRPr="003A5442">
        <w:t>8.</w:t>
      </w:r>
      <w:r w:rsidRPr="003A5442">
        <w:tab/>
        <w:t>schvaluje rozhodnutí uvedené v příloze k tomuto usnesení;</w:t>
      </w:r>
    </w:p>
    <w:p w14:paraId="5F6241E0" w14:textId="77777777" w:rsidR="00BD1553" w:rsidRPr="003A5442" w:rsidRDefault="00BD1553" w:rsidP="00BD1553">
      <w:pPr>
        <w:spacing w:after="240"/>
        <w:ind w:left="567" w:hanging="567"/>
        <w:rPr>
          <w:bdr w:val="none" w:sz="0" w:space="0" w:color="auto" w:frame="1"/>
        </w:rPr>
      </w:pPr>
      <w:r w:rsidRPr="003A5442">
        <w:t>9.</w:t>
      </w:r>
      <w:r w:rsidRPr="003A5442">
        <w:tab/>
      </w:r>
      <w:r w:rsidRPr="003A5442">
        <w:rPr>
          <w:bdr w:val="none" w:sz="0" w:space="0" w:color="auto" w:frame="1"/>
        </w:rPr>
        <w:t>pověřuje svou předsedkyni, aby podepsala toto rozhodnutí společně s předsedou Rady a aby zajistila jeho zveřejnění v </w:t>
      </w:r>
      <w:r w:rsidRPr="003A5442">
        <w:rPr>
          <w:i/>
          <w:iCs/>
          <w:bdr w:val="none" w:sz="0" w:space="0" w:color="auto" w:frame="1"/>
        </w:rPr>
        <w:t>Úředním věstníku Evropské unie</w:t>
      </w:r>
      <w:r w:rsidRPr="003A5442">
        <w:rPr>
          <w:bdr w:val="none" w:sz="0" w:space="0" w:color="auto" w:frame="1"/>
        </w:rPr>
        <w:t>;</w:t>
      </w:r>
    </w:p>
    <w:p w14:paraId="578619BF" w14:textId="77777777" w:rsidR="00BD1553" w:rsidRPr="003A5442" w:rsidRDefault="00BD1553" w:rsidP="00BD1553">
      <w:pPr>
        <w:pStyle w:val="NormalHanging12a"/>
      </w:pPr>
      <w:r w:rsidRPr="003A5442">
        <w:t>10.</w:t>
      </w:r>
      <w:r w:rsidRPr="003A5442">
        <w:tab/>
      </w:r>
      <w:r w:rsidRPr="003A5442">
        <w:rPr>
          <w:bdr w:val="none" w:sz="0" w:space="0" w:color="auto" w:frame="1"/>
        </w:rPr>
        <w:t>pověřuje svou předsedkyni, aby předala toto usnesení včetně přílohy Radě a Komisi.</w:t>
      </w:r>
    </w:p>
    <w:p w14:paraId="4E969964" w14:textId="77777777" w:rsidR="00BD1553" w:rsidRPr="003A5442" w:rsidRDefault="00BD1553" w:rsidP="00BD1553">
      <w:pPr>
        <w:pStyle w:val="PageHeading"/>
        <w:rPr>
          <w:noProof/>
        </w:rPr>
        <w:sectPr w:rsidR="00BD1553" w:rsidRPr="003A5442" w:rsidSect="003A5442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87657A" w14:textId="77777777" w:rsidR="00BD1553" w:rsidRPr="003A5442" w:rsidRDefault="00BD1553" w:rsidP="00BD1553">
      <w:pPr>
        <w:pStyle w:val="PageHeading"/>
        <w:rPr>
          <w:noProof/>
        </w:rPr>
      </w:pPr>
      <w:bookmarkStart w:id="7" w:name="_Toc233796416"/>
      <w:r w:rsidRPr="003A5442">
        <w:lastRenderedPageBreak/>
        <w:t>PŘÍLOHA: ROZHODNUTÍ EVROPSKÉHO PARLAMENTU A RADY</w:t>
      </w:r>
      <w:bookmarkEnd w:id="7"/>
    </w:p>
    <w:p w14:paraId="1F4CAC20" w14:textId="77777777" w:rsidR="00BD1553" w:rsidRPr="003A5442" w:rsidRDefault="00BD1553" w:rsidP="00BD1553">
      <w:pPr>
        <w:pStyle w:val="NormalBold24a"/>
      </w:pPr>
      <w:r w:rsidRPr="003A5442">
        <w:t>o uvolnění prostředků z Evropského fondu pro přizpůsobení se globalizaci na pomoc propuštěným pracovníkům z podnětu Komise (EGF/2026/000 TA 2026 – Technická pomoc)</w:t>
      </w:r>
    </w:p>
    <w:p w14:paraId="5B7400F2" w14:textId="77777777" w:rsidR="00BD1553" w:rsidRPr="003A5442" w:rsidRDefault="00BD1553" w:rsidP="00BD1553">
      <w:pPr>
        <w:pStyle w:val="NormalHanging12a"/>
      </w:pPr>
      <w:r w:rsidRPr="003A5442">
        <w:t>EVROPSKÝ PARLAMENT A RADA EVROPSKÉ UNIE,</w:t>
      </w:r>
    </w:p>
    <w:p w14:paraId="0C553309" w14:textId="77777777" w:rsidR="00BD1553" w:rsidRPr="003A5442" w:rsidRDefault="00BD1553" w:rsidP="00BD1553">
      <w:pPr>
        <w:pStyle w:val="NormalHanging12a"/>
      </w:pPr>
      <w:r w:rsidRPr="003A5442">
        <w:t>s ohledem na Smlouvu o fungování Evropské unie,</w:t>
      </w:r>
    </w:p>
    <w:p w14:paraId="3B93A20F" w14:textId="77777777" w:rsidR="00BD1553" w:rsidRPr="003A5442" w:rsidRDefault="00BD1553" w:rsidP="00BD1553">
      <w:pPr>
        <w:pStyle w:val="NormalHanging12a"/>
        <w:ind w:left="0" w:firstLine="0"/>
      </w:pPr>
      <w:r w:rsidRPr="003A5442">
        <w:t>s ohledem na nařízení Evropského parlamentu a Rady (EU) 2021/691 ze dne 28. dubna 2021 o Evropském fondu pro přizpůsobení se globalizaci na pomoc propuštěným pracovníkům (EFG) a o zrušení nařízení (EU) č. 1309/2013</w:t>
      </w:r>
      <w:r w:rsidRPr="003A5442">
        <w:rPr>
          <w:vertAlign w:val="superscript"/>
        </w:rPr>
        <w:footnoteReference w:id="6"/>
      </w:r>
      <w:r w:rsidRPr="003A5442">
        <w:t>, a zejména na čl. 15 odst. 1 první pododstavec uvedeného nařízení,</w:t>
      </w:r>
    </w:p>
    <w:p w14:paraId="29BCDF5C" w14:textId="77777777" w:rsidR="00BD1553" w:rsidRPr="003A5442" w:rsidRDefault="00BD1553" w:rsidP="00BD1553">
      <w:pPr>
        <w:pStyle w:val="NormalHanging12a"/>
        <w:ind w:left="0" w:firstLine="0"/>
      </w:pPr>
      <w:r w:rsidRPr="003A5442">
        <w:t>s ohledem na interinstitucionální dohodu ze dne 16. prosince 2020 mezi Evropským parlamentem, Radou Evropské unie a Evropskou komisí o rozpočtové kázni, spolupráci v rozpočtových záležitostech a řádném finančním řízení, jakož i o nových vlastních zdrojích, včetně plánu zavádění nových vlastních zdrojů</w:t>
      </w:r>
      <w:r w:rsidRPr="003A5442">
        <w:rPr>
          <w:vertAlign w:val="superscript"/>
        </w:rPr>
        <w:footnoteReference w:id="7"/>
      </w:r>
      <w:r w:rsidRPr="003A5442">
        <w:t>, a zejména na bod 9 této dohody,</w:t>
      </w:r>
    </w:p>
    <w:p w14:paraId="4DD191F4" w14:textId="77777777" w:rsidR="00BD1553" w:rsidRPr="003A5442" w:rsidRDefault="00BD1553" w:rsidP="00BD1553">
      <w:pPr>
        <w:pStyle w:val="NormalHanging12a"/>
      </w:pPr>
      <w:r w:rsidRPr="003A5442">
        <w:t>s ohledem na návrh Evropské komise,</w:t>
      </w:r>
    </w:p>
    <w:p w14:paraId="7BD92D0E" w14:textId="77777777" w:rsidR="00BD1553" w:rsidRPr="003A5442" w:rsidRDefault="00BD1553" w:rsidP="00BD1553">
      <w:pPr>
        <w:pStyle w:val="NormalHanging12a"/>
        <w:jc w:val="both"/>
      </w:pPr>
      <w:r w:rsidRPr="003A5442">
        <w:t>vzhledem k těmto důvodům:</w:t>
      </w:r>
    </w:p>
    <w:p w14:paraId="55A2761C" w14:textId="77777777" w:rsidR="00BD1553" w:rsidRPr="003A5442" w:rsidRDefault="00BD1553" w:rsidP="00A04373">
      <w:pPr>
        <w:pStyle w:val="NormalHanging12a"/>
      </w:pPr>
      <w:r w:rsidRPr="003A5442">
        <w:t>(1)</w:t>
      </w:r>
      <w:r w:rsidRPr="003A5442">
        <w:tab/>
        <w:t>Cílem Evropského fondu pro přizpůsobení se globalizaci na pomoc propuštěným pracovníkům (EFG) je projevit solidaritu a podporovat důstojnou a udržitelnou zaměstnanost v Unii poskytováním podpory propuštěným pracovníkům a osobám samostatně výdělečně činným, které přestaly vykonávat svou činnost, v případech významné restrukturalizace a pomáhat jim, aby se co nejdříve navrátili do důstojného a udržitelného zaměstnání.</w:t>
      </w:r>
    </w:p>
    <w:p w14:paraId="5499EC1C" w14:textId="77777777" w:rsidR="00BD1553" w:rsidRPr="003A5442" w:rsidRDefault="00BD1553" w:rsidP="00A04373">
      <w:pPr>
        <w:pStyle w:val="NormalHanging12a"/>
      </w:pPr>
      <w:r w:rsidRPr="003A5442">
        <w:t>(2)</w:t>
      </w:r>
      <w:r w:rsidRPr="003A5442">
        <w:tab/>
        <w:t>EFG nepřekročí maximální roční částku 30 milionů EUR (v cenách roku 2018), jak je stanoveno v článku 8 nařízení Rady (EU, Euratom) 2020/2093</w:t>
      </w:r>
      <w:r w:rsidRPr="003A5442">
        <w:rPr>
          <w:b/>
          <w:bCs/>
          <w:vertAlign w:val="superscript"/>
        </w:rPr>
        <w:footnoteReference w:id="8"/>
      </w:r>
      <w:r w:rsidRPr="003A5442">
        <w:t>, ve znění nařízení Rady (EU, Euratom) 2024/765</w:t>
      </w:r>
      <w:r w:rsidRPr="003A5442">
        <w:rPr>
          <w:b/>
          <w:bCs/>
          <w:vertAlign w:val="superscript"/>
        </w:rPr>
        <w:footnoteReference w:id="9"/>
      </w:r>
      <w:r w:rsidRPr="003A5442">
        <w:t>, a článku 16 nařízení (EU) 2021/691.</w:t>
      </w:r>
    </w:p>
    <w:p w14:paraId="3003C324" w14:textId="77777777" w:rsidR="00BD1553" w:rsidRPr="003A5442" w:rsidRDefault="00BD1553" w:rsidP="00A04373">
      <w:pPr>
        <w:pStyle w:val="NormalHanging12a"/>
      </w:pPr>
      <w:r w:rsidRPr="003A5442">
        <w:t>(3)</w:t>
      </w:r>
      <w:r w:rsidRPr="003A5442">
        <w:tab/>
        <w:t>V nařízení (EU) 2021/691 je stanoveno, že na technickou pomoc z podnětu Komise lze každoročně použít nejvýše 1,5 % z roční maximální částky EFG.</w:t>
      </w:r>
    </w:p>
    <w:p w14:paraId="1B62152C" w14:textId="77777777" w:rsidR="00BD1553" w:rsidRPr="003A5442" w:rsidRDefault="00BD1553" w:rsidP="00A04373">
      <w:pPr>
        <w:pStyle w:val="NormalHanging12a"/>
      </w:pPr>
      <w:r w:rsidRPr="003A5442">
        <w:t>(4)</w:t>
      </w:r>
      <w:r w:rsidRPr="003A5442">
        <w:tab/>
        <w:t xml:space="preserve">Uvedená pomoc je nezbytná ke splnění povinností spojených s prováděním EFG, jak je stanoveno v článku 11 nařízení (EU) 2021/691, zejména pokud jde o monitorování </w:t>
      </w:r>
      <w:r w:rsidRPr="003A5442">
        <w:lastRenderedPageBreak/>
        <w:t>a shromažďování údajů, jakož i o komunikační činnosti a činnosti zvyšující viditelnost EFG.</w:t>
      </w:r>
    </w:p>
    <w:p w14:paraId="1CD2EB57" w14:textId="77777777" w:rsidR="00BD1553" w:rsidRPr="003A5442" w:rsidRDefault="00BD1553" w:rsidP="00BD1553">
      <w:pPr>
        <w:pStyle w:val="NormalHanging12a"/>
        <w:jc w:val="both"/>
      </w:pPr>
      <w:r w:rsidRPr="003A5442">
        <w:t>(5)</w:t>
      </w:r>
      <w:r w:rsidRPr="003A5442">
        <w:tab/>
        <w:t>Z EFG by proto měly být uvolněny prostředky na poskytnutí částky ve výši 210 000 EUR na technickou pomoc z podnětu Komise,</w:t>
      </w:r>
    </w:p>
    <w:p w14:paraId="629B1E7A" w14:textId="77777777" w:rsidR="00BD1553" w:rsidRPr="003A5442" w:rsidRDefault="00BD1553" w:rsidP="00BD1553">
      <w:r w:rsidRPr="003A5442">
        <w:t>PŘIJALY TOTO ROZHODNUTÍ:</w:t>
      </w:r>
    </w:p>
    <w:p w14:paraId="73ED1F29" w14:textId="77777777" w:rsidR="00BD1553" w:rsidRPr="003A5442" w:rsidRDefault="00BD1553" w:rsidP="00BD1553"/>
    <w:p w14:paraId="6AD156DC" w14:textId="77777777" w:rsidR="00BD1553" w:rsidRPr="003A5442" w:rsidRDefault="00BD1553" w:rsidP="00BD1553">
      <w:pPr>
        <w:jc w:val="center"/>
        <w:rPr>
          <w:i/>
          <w:iCs/>
        </w:rPr>
      </w:pPr>
      <w:r w:rsidRPr="003A5442">
        <w:rPr>
          <w:i/>
        </w:rPr>
        <w:t>Článek 1</w:t>
      </w:r>
    </w:p>
    <w:p w14:paraId="7BFE3692" w14:textId="77777777" w:rsidR="00BD1553" w:rsidRPr="003A5442" w:rsidRDefault="00BD1553" w:rsidP="00BD1553">
      <w:pPr>
        <w:jc w:val="center"/>
        <w:rPr>
          <w:i/>
          <w:iCs/>
        </w:rPr>
      </w:pPr>
    </w:p>
    <w:p w14:paraId="62807A98" w14:textId="77777777" w:rsidR="00BD1553" w:rsidRPr="003A5442" w:rsidRDefault="00BD1553" w:rsidP="00BD1553">
      <w:bookmarkStart w:id="8" w:name="_Hlk230695449"/>
      <w:r w:rsidRPr="003A5442">
        <w:t>V rámci souhrnného rozpočtu Unie na rozpočtový rok 2026 se z Evropského fondu pro přizpůsobení se globalizaci na pomoc propuštěným pracovníkům uvolňuje částka ve výši 210 000 EUR v prostředcích na závazky a na platby.</w:t>
      </w:r>
      <w:bookmarkEnd w:id="8"/>
    </w:p>
    <w:p w14:paraId="75EC0749" w14:textId="77777777" w:rsidR="00BD1553" w:rsidRPr="003A5442" w:rsidRDefault="00BD1553" w:rsidP="00BD1553"/>
    <w:p w14:paraId="7AE07533" w14:textId="77777777" w:rsidR="00BD1553" w:rsidRPr="003A5442" w:rsidRDefault="00BD1553" w:rsidP="00BD1553">
      <w:pPr>
        <w:jc w:val="center"/>
        <w:rPr>
          <w:i/>
          <w:iCs/>
        </w:rPr>
      </w:pPr>
      <w:r w:rsidRPr="003A5442">
        <w:rPr>
          <w:i/>
        </w:rPr>
        <w:t>Článek 2</w:t>
      </w:r>
    </w:p>
    <w:p w14:paraId="0FFD2522" w14:textId="77777777" w:rsidR="00BD1553" w:rsidRPr="003A5442" w:rsidRDefault="00BD1553" w:rsidP="00BD1553"/>
    <w:p w14:paraId="7D8649B6" w14:textId="77777777" w:rsidR="00BD1553" w:rsidRPr="003A5442" w:rsidRDefault="00BD1553" w:rsidP="00BD1553">
      <w:r w:rsidRPr="003A5442">
        <w:t>Toto rozhodnutí vstupuje v platnost dnem vyhlášení v </w:t>
      </w:r>
      <w:r w:rsidRPr="003A5442">
        <w:rPr>
          <w:i/>
        </w:rPr>
        <w:t>Úředním věstníku Evropské unie</w:t>
      </w:r>
      <w:r w:rsidRPr="003A5442">
        <w:t>.</w:t>
      </w:r>
    </w:p>
    <w:p w14:paraId="23C6CC72" w14:textId="77777777" w:rsidR="00BD1553" w:rsidRPr="003A5442" w:rsidRDefault="00BD1553" w:rsidP="00BD1553"/>
    <w:p w14:paraId="1C9DF8AC" w14:textId="77777777" w:rsidR="00BD1553" w:rsidRPr="003A5442" w:rsidRDefault="00BD1553" w:rsidP="00BD1553"/>
    <w:p w14:paraId="7359AE5B" w14:textId="03804FEA" w:rsidR="00BD1553" w:rsidRPr="003A5442" w:rsidRDefault="00BD1553" w:rsidP="00BD1553">
      <w:r w:rsidRPr="003A5442">
        <w:t>V </w:t>
      </w:r>
      <w:r w:rsidR="00982F25">
        <w:t>…</w:t>
      </w:r>
      <w:r w:rsidRPr="003A5442">
        <w:t xml:space="preserve"> dne</w:t>
      </w:r>
    </w:p>
    <w:p w14:paraId="5282CB06" w14:textId="77777777" w:rsidR="00BD1553" w:rsidRPr="003A5442" w:rsidRDefault="00BD1553" w:rsidP="00BD1553"/>
    <w:p w14:paraId="7EB389A8" w14:textId="77777777" w:rsidR="00BD1553" w:rsidRPr="003A5442" w:rsidRDefault="00BD1553" w:rsidP="00BD1553">
      <w:pPr>
        <w:rPr>
          <w:i/>
        </w:rPr>
      </w:pPr>
      <w:r w:rsidRPr="003A5442">
        <w:rPr>
          <w:i/>
        </w:rPr>
        <w:t>Za Evropský parlament</w:t>
      </w:r>
      <w:r w:rsidRPr="003A5442">
        <w:rPr>
          <w:i/>
        </w:rPr>
        <w:tab/>
      </w:r>
      <w:r w:rsidRPr="003A5442">
        <w:rPr>
          <w:i/>
        </w:rPr>
        <w:tab/>
      </w:r>
      <w:r w:rsidRPr="003A5442">
        <w:rPr>
          <w:i/>
        </w:rPr>
        <w:tab/>
        <w:t>Za Radu</w:t>
      </w:r>
    </w:p>
    <w:p w14:paraId="48B4E220" w14:textId="7425A2D4" w:rsidR="003A5442" w:rsidRPr="003A5442" w:rsidRDefault="00BD1553" w:rsidP="003A5442">
      <w:r w:rsidRPr="003A5442">
        <w:rPr>
          <w:i/>
        </w:rPr>
        <w:t>předsedkyně</w:t>
      </w:r>
      <w:r w:rsidRPr="003A5442">
        <w:rPr>
          <w:i/>
        </w:rPr>
        <w:tab/>
      </w:r>
      <w:r w:rsidRPr="003A5442">
        <w:rPr>
          <w:i/>
        </w:rPr>
        <w:tab/>
      </w:r>
      <w:r w:rsidRPr="003A5442">
        <w:rPr>
          <w:i/>
        </w:rPr>
        <w:tab/>
      </w:r>
      <w:r w:rsidRPr="003A5442">
        <w:rPr>
          <w:i/>
        </w:rPr>
        <w:tab/>
      </w:r>
      <w:r w:rsidR="00A04373">
        <w:rPr>
          <w:i/>
        </w:rPr>
        <w:tab/>
      </w:r>
      <w:r w:rsidRPr="003A5442">
        <w:rPr>
          <w:i/>
        </w:rPr>
        <w:t>předseda/předsedkyně</w:t>
      </w:r>
    </w:p>
    <w:p w14:paraId="1427F0C3" w14:textId="0D6CC202" w:rsidR="00E365E1" w:rsidRPr="003A5442" w:rsidRDefault="00E365E1" w:rsidP="00270BE0"/>
    <w:sectPr w:rsidR="00E365E1" w:rsidRPr="003A5442" w:rsidSect="003A54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38B8" w14:textId="77777777" w:rsidR="00270BE0" w:rsidRPr="003A5442" w:rsidRDefault="00270BE0">
      <w:r w:rsidRPr="003A5442">
        <w:separator/>
      </w:r>
    </w:p>
  </w:endnote>
  <w:endnote w:type="continuationSeparator" w:id="0">
    <w:p w14:paraId="600DF4B2" w14:textId="77777777" w:rsidR="00270BE0" w:rsidRPr="003A5442" w:rsidRDefault="00270BE0">
      <w:r w:rsidRPr="003A54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C7C8" w14:textId="77777777" w:rsidR="00BD1553" w:rsidRPr="003A5442" w:rsidRDefault="00BD1553" w:rsidP="0031168E">
    <w:pPr>
      <w:pStyle w:val="EPFooter"/>
    </w:pPr>
    <w:r w:rsidRPr="003A5442">
      <w:t>PE</w:t>
    </w:r>
    <w:r w:rsidRPr="003A5442">
      <w:rPr>
        <w:rStyle w:val="HideTWBExt"/>
      </w:rPr>
      <w:t>&lt;NoPE&gt;</w:t>
    </w:r>
    <w:r w:rsidRPr="003A5442">
      <w:t>789.086</w:t>
    </w:r>
    <w:r w:rsidRPr="003A5442">
      <w:rPr>
        <w:rStyle w:val="HideTWBExt"/>
      </w:rPr>
      <w:t>&lt;/NoPE&gt;&lt;Version&gt;</w:t>
    </w:r>
    <w:r w:rsidRPr="003A5442">
      <w:t>v02-00</w:t>
    </w:r>
    <w:r w:rsidRPr="003A5442">
      <w:rPr>
        <w:rStyle w:val="HideTWBExt"/>
      </w:rPr>
      <w:t>&lt;/Version&gt;</w:t>
    </w:r>
    <w:r w:rsidRPr="003A5442">
      <w:tab/>
    </w:r>
    <w:r w:rsidRPr="003A5442">
      <w:fldChar w:fldCharType="begin"/>
    </w:r>
    <w:r w:rsidRPr="003A5442">
      <w:instrText xml:space="preserve"> PAGE  \* MERGEFORMAT </w:instrText>
    </w:r>
    <w:r w:rsidRPr="003A5442">
      <w:fldChar w:fldCharType="separate"/>
    </w:r>
    <w:r w:rsidRPr="003A5442">
      <w:rPr>
        <w:noProof/>
      </w:rPr>
      <w:t>1</w:t>
    </w:r>
    <w:r w:rsidRPr="003A5442">
      <w:fldChar w:fldCharType="end"/>
    </w:r>
    <w:r w:rsidRPr="003A5442">
      <w:t>/</w:t>
    </w:r>
    <w:fldSimple w:instr=" NUMPAGES  \* MERGEFORMAT ">
      <w:r w:rsidRPr="003A5442">
        <w:rPr>
          <w:noProof/>
        </w:rPr>
        <w:t>2</w:t>
      </w:r>
    </w:fldSimple>
    <w:r w:rsidRPr="003A5442">
      <w:tab/>
    </w:r>
    <w:r w:rsidRPr="003A5442">
      <w:rPr>
        <w:rStyle w:val="HideTWBExt"/>
      </w:rPr>
      <w:t>&lt;PathFdR&gt;</w:t>
    </w:r>
    <w:r w:rsidRPr="003A5442">
      <w:t>RR\1346613CS.docx</w:t>
    </w:r>
    <w:r w:rsidRPr="003A5442">
      <w:rPr>
        <w:rStyle w:val="HideTWBExt"/>
      </w:rPr>
      <w:t>&lt;/PathFdR&gt;</w:t>
    </w:r>
  </w:p>
  <w:p w14:paraId="70841985" w14:textId="77777777" w:rsidR="00BD1553" w:rsidRPr="003A5442" w:rsidRDefault="00BD1553" w:rsidP="0031168E">
    <w:pPr>
      <w:pStyle w:val="EPFooter2"/>
    </w:pPr>
    <w:r w:rsidRPr="003A544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3FCF" w14:textId="77777777" w:rsidR="00BD1553" w:rsidRPr="003A5442" w:rsidRDefault="00BD1553" w:rsidP="0031168E">
    <w:pPr>
      <w:pStyle w:val="EPFooter"/>
    </w:pPr>
    <w:r w:rsidRPr="003A5442">
      <w:rPr>
        <w:rStyle w:val="HideTWBExt"/>
      </w:rPr>
      <w:t>&lt;PathFdR&gt;</w:t>
    </w:r>
    <w:r w:rsidRPr="003A5442">
      <w:t>RR\1346613CS.docx</w:t>
    </w:r>
    <w:r w:rsidRPr="003A5442">
      <w:rPr>
        <w:rStyle w:val="HideTWBExt"/>
      </w:rPr>
      <w:t>&lt;/PathFdR&gt;</w:t>
    </w:r>
    <w:r w:rsidRPr="003A5442">
      <w:tab/>
    </w:r>
    <w:r w:rsidRPr="003A5442">
      <w:tab/>
      <w:t>PE</w:t>
    </w:r>
    <w:r w:rsidRPr="003A5442">
      <w:rPr>
        <w:rStyle w:val="HideTWBExt"/>
      </w:rPr>
      <w:t>&lt;NoPE&gt;</w:t>
    </w:r>
    <w:r w:rsidRPr="003A5442">
      <w:t>789.086</w:t>
    </w:r>
    <w:r w:rsidRPr="003A5442">
      <w:rPr>
        <w:rStyle w:val="HideTWBExt"/>
      </w:rPr>
      <w:t>&lt;/NoPE&gt;&lt;Version&gt;</w:t>
    </w:r>
    <w:r w:rsidRPr="003A5442">
      <w:t>v02-00</w:t>
    </w:r>
    <w:r w:rsidRPr="003A5442">
      <w:rPr>
        <w:rStyle w:val="HideTWBExt"/>
      </w:rPr>
      <w:t>&lt;/Version&gt;</w:t>
    </w:r>
  </w:p>
  <w:p w14:paraId="3C04A62A" w14:textId="77777777" w:rsidR="00BD1553" w:rsidRPr="003A5442" w:rsidRDefault="00BD1553" w:rsidP="0031168E">
    <w:pPr>
      <w:pStyle w:val="EPFooter2"/>
    </w:pPr>
    <w:r w:rsidRPr="003A5442">
      <w:t>CS</w:t>
    </w:r>
    <w:r w:rsidRPr="003A5442">
      <w:tab/>
    </w:r>
    <w:r w:rsidRPr="003A5442">
      <w:rPr>
        <w:b w:val="0"/>
        <w:i/>
        <w:color w:val="C0C0C0"/>
        <w:sz w:val="22"/>
      </w:rPr>
      <w:t>Jednotná v rozmanitosti</w:t>
    </w:r>
    <w:r w:rsidRPr="003A544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8C9D" w14:textId="77777777" w:rsidR="00064002" w:rsidRPr="003A544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C231" w14:textId="77777777" w:rsidR="00064002" w:rsidRPr="003A544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C2A2" w14:textId="77777777" w:rsidR="00064002" w:rsidRPr="003A54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29394" w14:textId="77777777" w:rsidR="00270BE0" w:rsidRPr="003A5442" w:rsidRDefault="00270BE0">
      <w:r w:rsidRPr="003A5442">
        <w:separator/>
      </w:r>
    </w:p>
  </w:footnote>
  <w:footnote w:type="continuationSeparator" w:id="0">
    <w:p w14:paraId="70E6DBB3" w14:textId="77777777" w:rsidR="00270BE0" w:rsidRPr="003A5442" w:rsidRDefault="00270BE0">
      <w:r w:rsidRPr="003A5442">
        <w:continuationSeparator/>
      </w:r>
    </w:p>
  </w:footnote>
  <w:footnote w:id="1">
    <w:p w14:paraId="51517B2D" w14:textId="74A1833C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 xml:space="preserve">. L 153, 3.5.2021, s. 48, ELI: </w:t>
      </w:r>
      <w:hyperlink r:id="rId1" w:history="1">
        <w:r w:rsidRPr="003A5442">
          <w:rPr>
            <w:rStyle w:val="Hyperlink"/>
            <w:color w:val="0070C0"/>
            <w:sz w:val="24"/>
            <w:lang w:val="cs-CZ"/>
          </w:rPr>
          <w:t>http://data.europa.eu/eli/reg/2021/691/oj</w:t>
        </w:r>
      </w:hyperlink>
      <w:r w:rsidRPr="003A5442">
        <w:rPr>
          <w:color w:val="0070C0"/>
          <w:sz w:val="24"/>
          <w:lang w:val="cs-CZ"/>
        </w:rPr>
        <w:t>.</w:t>
      </w:r>
    </w:p>
  </w:footnote>
  <w:footnote w:id="2">
    <w:p w14:paraId="3DEF5559" w14:textId="5311FD0C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>. L, 2026/1139, 2</w:t>
      </w:r>
      <w:r w:rsidR="000E2FAD">
        <w:rPr>
          <w:sz w:val="24"/>
          <w:lang w:val="cs-CZ"/>
        </w:rPr>
        <w:t>0</w:t>
      </w:r>
      <w:r w:rsidRPr="003A5442">
        <w:rPr>
          <w:sz w:val="24"/>
          <w:lang w:val="cs-CZ"/>
        </w:rPr>
        <w:t>.</w:t>
      </w:r>
      <w:r w:rsidR="000E2FAD">
        <w:rPr>
          <w:sz w:val="24"/>
          <w:lang w:val="cs-CZ"/>
        </w:rPr>
        <w:t>5</w:t>
      </w:r>
      <w:r w:rsidRPr="003A5442">
        <w:rPr>
          <w:sz w:val="24"/>
          <w:lang w:val="cs-CZ"/>
        </w:rPr>
        <w:t>.2026, ELI: </w:t>
      </w:r>
      <w:hyperlink r:id="rId2" w:tgtFrame="_blank" w:tooltip="Umožňuje přístup k dokumentu prostřednictvím identifikátoru ELI URI." w:history="1">
        <w:r w:rsidRPr="003A5442">
          <w:rPr>
            <w:rStyle w:val="Hyperlink"/>
            <w:color w:val="0070C0"/>
            <w:sz w:val="24"/>
            <w:lang w:val="cs-CZ"/>
          </w:rPr>
          <w:t>http://data.europa.eu/eli/reg/2026/1139/oj</w:t>
        </w:r>
      </w:hyperlink>
      <w:r w:rsidRPr="003A5442">
        <w:rPr>
          <w:color w:val="0070C0"/>
          <w:sz w:val="24"/>
          <w:lang w:val="cs-CZ"/>
        </w:rPr>
        <w:t>.</w:t>
      </w:r>
    </w:p>
  </w:footnote>
  <w:footnote w:id="3">
    <w:p w14:paraId="21AA15AB" w14:textId="5B4FEF7E" w:rsidR="00BD1553" w:rsidRPr="003A5442" w:rsidRDefault="00BD1553" w:rsidP="003A5442">
      <w:pPr>
        <w:ind w:left="567" w:hanging="567"/>
      </w:pPr>
      <w:r w:rsidRPr="003A5442">
        <w:rPr>
          <w:rStyle w:val="FootnoteReference"/>
        </w:rPr>
        <w:footnoteRef/>
      </w:r>
      <w:r w:rsidR="003A5442" w:rsidRPr="003A5442">
        <w:t xml:space="preserve"> </w:t>
      </w:r>
      <w:r w:rsidR="003A5442" w:rsidRPr="003A5442">
        <w:tab/>
      </w:r>
      <w:proofErr w:type="spellStart"/>
      <w:r w:rsidRPr="003A5442">
        <w:t>Úř</w:t>
      </w:r>
      <w:proofErr w:type="spellEnd"/>
      <w:r w:rsidRPr="003A5442">
        <w:t xml:space="preserve">. </w:t>
      </w:r>
      <w:proofErr w:type="spellStart"/>
      <w:r w:rsidRPr="003A5442">
        <w:t>věst</w:t>
      </w:r>
      <w:proofErr w:type="spellEnd"/>
      <w:r w:rsidRPr="003A5442">
        <w:t xml:space="preserve"> L</w:t>
      </w:r>
      <w:r w:rsidR="008C512E">
        <w:t xml:space="preserve"> </w:t>
      </w:r>
      <w:r w:rsidRPr="003A5442">
        <w:t xml:space="preserve">433 I, 22.12.2020, s. 11, ELI: </w:t>
      </w:r>
      <w:hyperlink r:id="rId3" w:history="1">
        <w:r w:rsidRPr="003A5442">
          <w:rPr>
            <w:rStyle w:val="Hyperlink"/>
            <w:color w:val="0070C0"/>
          </w:rPr>
          <w:t>http://data.europa.eu/eli/reg/2020/2093/oj</w:t>
        </w:r>
      </w:hyperlink>
      <w:r w:rsidRPr="003A5442">
        <w:rPr>
          <w:color w:val="0070C0"/>
        </w:rPr>
        <w:t>.</w:t>
      </w:r>
    </w:p>
  </w:footnote>
  <w:footnote w:id="4">
    <w:p w14:paraId="150E0EE6" w14:textId="1E90CE74" w:rsidR="00BD1553" w:rsidRPr="003A5442" w:rsidRDefault="00BD1553" w:rsidP="003A5442">
      <w:pPr>
        <w:ind w:left="567" w:hanging="567"/>
      </w:pPr>
      <w:r w:rsidRPr="003A5442">
        <w:rPr>
          <w:rStyle w:val="FootnoteReference"/>
        </w:rPr>
        <w:footnoteRef/>
      </w:r>
      <w:r w:rsidR="003A5442" w:rsidRPr="003A5442">
        <w:t xml:space="preserve"> </w:t>
      </w:r>
      <w:r w:rsidR="003A5442" w:rsidRPr="003A5442">
        <w:tab/>
      </w:r>
      <w:proofErr w:type="spellStart"/>
      <w:r w:rsidRPr="003A5442">
        <w:t>Úř</w:t>
      </w:r>
      <w:proofErr w:type="spellEnd"/>
      <w:r w:rsidRPr="003A5442">
        <w:t xml:space="preserve">. </w:t>
      </w:r>
      <w:proofErr w:type="spellStart"/>
      <w:r w:rsidRPr="003A5442">
        <w:t>věst</w:t>
      </w:r>
      <w:proofErr w:type="spellEnd"/>
      <w:r w:rsidRPr="003A5442">
        <w:t xml:space="preserve">. L, 2024/765, 29.2.2024, ELI: </w:t>
      </w:r>
      <w:hyperlink r:id="rId4" w:history="1">
        <w:r w:rsidRPr="003A5442">
          <w:rPr>
            <w:rStyle w:val="Hyperlink"/>
          </w:rPr>
          <w:t>https://eur-lex.europa.eu/eli/reg/2024/765/oj</w:t>
        </w:r>
      </w:hyperlink>
      <w:r w:rsidRPr="003A5442">
        <w:t>.</w:t>
      </w:r>
    </w:p>
  </w:footnote>
  <w:footnote w:id="5">
    <w:p w14:paraId="575E55DC" w14:textId="088180D9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 xml:space="preserve">. L 433 I, 22.12.2020, s. 28, ELI: </w:t>
      </w:r>
      <w:r>
        <w:fldChar w:fldCharType="begin"/>
      </w:r>
      <w:r w:rsidRPr="00A04373">
        <w:rPr>
          <w:lang w:val="cs-CZ"/>
        </w:rPr>
        <w:instrText>HYPERLINK "http://data.europa.eu/eli/agree_interinstit/2020/1222/oj"</w:instrText>
      </w:r>
      <w:r>
        <w:fldChar w:fldCharType="separate"/>
      </w:r>
      <w:r w:rsidRPr="003A5442">
        <w:rPr>
          <w:rStyle w:val="Hyperlink"/>
          <w:sz w:val="24"/>
          <w:lang w:val="cs-CZ"/>
        </w:rPr>
        <w:t>http://data.europa.eu/eli/agree_interinstit/2020/1222/oj</w:t>
      </w:r>
      <w:r>
        <w:fldChar w:fldCharType="end"/>
      </w:r>
      <w:r w:rsidRPr="003A5442">
        <w:rPr>
          <w:sz w:val="24"/>
          <w:lang w:val="cs-CZ"/>
        </w:rPr>
        <w:t>.</w:t>
      </w:r>
    </w:p>
  </w:footnote>
  <w:footnote w:id="6">
    <w:p w14:paraId="5910BDA0" w14:textId="785A1382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 xml:space="preserve">. L 153, 3.5.2021, s. 48, ELI: </w:t>
      </w:r>
      <w:r>
        <w:fldChar w:fldCharType="begin"/>
      </w:r>
      <w:r w:rsidRPr="00A04373">
        <w:rPr>
          <w:lang w:val="fi-FI"/>
        </w:rPr>
        <w:instrText>HYPERLINK "http://data.europa.eu/eli/reg/2021/691/oj"</w:instrText>
      </w:r>
      <w:r>
        <w:fldChar w:fldCharType="separate"/>
      </w:r>
      <w:r w:rsidRPr="003A5442">
        <w:rPr>
          <w:rStyle w:val="Hyperlink"/>
          <w:sz w:val="24"/>
          <w:lang w:val="cs-CZ"/>
        </w:rPr>
        <w:t>http://data.europa.eu/eli/reg/2021/691/oj</w:t>
      </w:r>
      <w:r>
        <w:fldChar w:fldCharType="end"/>
      </w:r>
      <w:r w:rsidRPr="003A5442">
        <w:rPr>
          <w:sz w:val="24"/>
          <w:lang w:val="cs-CZ"/>
        </w:rPr>
        <w:t>.</w:t>
      </w:r>
    </w:p>
  </w:footnote>
  <w:footnote w:id="7">
    <w:p w14:paraId="724781C2" w14:textId="734AEEF2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 xml:space="preserve">. L 433 I, 22.12.2020, s. 28, ELI: </w:t>
      </w:r>
      <w:r>
        <w:fldChar w:fldCharType="begin"/>
      </w:r>
      <w:r w:rsidRPr="00A04373">
        <w:rPr>
          <w:lang w:val="cs-CZ"/>
        </w:rPr>
        <w:instrText>HYPERLINK "http://data.europa.eu/eli/agree_interinstit/2020/1222/oj"</w:instrText>
      </w:r>
      <w:r>
        <w:fldChar w:fldCharType="separate"/>
      </w:r>
      <w:r w:rsidRPr="003A5442">
        <w:rPr>
          <w:rStyle w:val="Hyperlink"/>
          <w:sz w:val="24"/>
          <w:lang w:val="cs-CZ"/>
        </w:rPr>
        <w:t>http://data.europa.eu/eli/agree_interinstit/2020/1222/oj</w:t>
      </w:r>
      <w:r>
        <w:fldChar w:fldCharType="end"/>
      </w:r>
      <w:r w:rsidRPr="003A5442">
        <w:rPr>
          <w:sz w:val="24"/>
          <w:lang w:val="cs-CZ"/>
        </w:rPr>
        <w:t xml:space="preserve">. </w:t>
      </w:r>
    </w:p>
  </w:footnote>
  <w:footnote w:id="8">
    <w:p w14:paraId="3C49D920" w14:textId="36AAF66F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r w:rsidRPr="003A5442">
        <w:rPr>
          <w:sz w:val="24"/>
          <w:lang w:val="cs-CZ"/>
        </w:rPr>
        <w:t>Nařízení Rady (EU, Euratom) 2020/2093 ze dne 17. prosince 2020, kterým se stanoví víceletý finanční rámec na období 2021–2027 (</w:t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 xml:space="preserve">. 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 xml:space="preserve">. L 433 I, 22.12.2020, s. 11, ELI: </w:t>
      </w:r>
      <w:r>
        <w:fldChar w:fldCharType="begin"/>
      </w:r>
      <w:r w:rsidRPr="00A04373">
        <w:rPr>
          <w:lang w:val="fi-FI"/>
        </w:rPr>
        <w:instrText>HYPERLINK "http://data.europa.eu/eli/reg/2020/2093/oj" \o "Umožňuje přístup k dokumentu prostřednictvím identifikátoru ELI URI."</w:instrText>
      </w:r>
      <w:r>
        <w:fldChar w:fldCharType="separate"/>
      </w:r>
      <w:r w:rsidRPr="003A5442">
        <w:rPr>
          <w:rStyle w:val="Hyperlink"/>
          <w:sz w:val="24"/>
          <w:lang w:val="cs-CZ"/>
        </w:rPr>
        <w:t>http://data.europa.eu/eli/reg/2020/2093/oj</w:t>
      </w:r>
      <w:r>
        <w:fldChar w:fldCharType="end"/>
      </w:r>
      <w:r w:rsidRPr="003A5442">
        <w:rPr>
          <w:sz w:val="24"/>
          <w:lang w:val="cs-CZ"/>
        </w:rPr>
        <w:t>).</w:t>
      </w:r>
    </w:p>
  </w:footnote>
  <w:footnote w:id="9">
    <w:p w14:paraId="781B7EF5" w14:textId="03E1E53C" w:rsidR="00BD1553" w:rsidRPr="003A5442" w:rsidRDefault="00BD1553" w:rsidP="003A5442">
      <w:pPr>
        <w:pStyle w:val="FootnoteText"/>
        <w:ind w:left="567" w:hanging="567"/>
        <w:rPr>
          <w:sz w:val="24"/>
          <w:lang w:val="cs-CZ"/>
        </w:rPr>
      </w:pPr>
      <w:r w:rsidRPr="003A5442">
        <w:rPr>
          <w:rStyle w:val="FootnoteReference"/>
          <w:sz w:val="24"/>
          <w:lang w:val="cs-CZ"/>
        </w:rPr>
        <w:footnoteRef/>
      </w:r>
      <w:r w:rsidR="003A5442" w:rsidRPr="003A5442">
        <w:rPr>
          <w:sz w:val="24"/>
          <w:lang w:val="cs-CZ"/>
        </w:rPr>
        <w:t xml:space="preserve"> </w:t>
      </w:r>
      <w:r w:rsidR="003A5442" w:rsidRPr="003A5442">
        <w:rPr>
          <w:sz w:val="24"/>
          <w:lang w:val="cs-CZ"/>
        </w:rPr>
        <w:tab/>
      </w:r>
      <w:r w:rsidRPr="003A5442">
        <w:rPr>
          <w:sz w:val="24"/>
          <w:lang w:val="cs-CZ"/>
        </w:rPr>
        <w:t>Nařízení Rady (EU, Euratom) 2024/765 ze dne 29. února 2024, kterým se mění nařízení (EU, Euratom) 2020/2093, kterým se stanoví víceletý finanční rámec na období 2021–2027 (</w:t>
      </w:r>
      <w:proofErr w:type="spellStart"/>
      <w:r w:rsidRPr="003A5442">
        <w:rPr>
          <w:sz w:val="24"/>
          <w:lang w:val="cs-CZ"/>
        </w:rPr>
        <w:t>Úř</w:t>
      </w:r>
      <w:proofErr w:type="spellEnd"/>
      <w:r w:rsidRPr="003A5442">
        <w:rPr>
          <w:sz w:val="24"/>
          <w:lang w:val="cs-CZ"/>
        </w:rPr>
        <w:t>. </w:t>
      </w:r>
      <w:proofErr w:type="spellStart"/>
      <w:r w:rsidRPr="003A5442">
        <w:rPr>
          <w:sz w:val="24"/>
          <w:lang w:val="cs-CZ"/>
        </w:rPr>
        <w:t>věst</w:t>
      </w:r>
      <w:proofErr w:type="spellEnd"/>
      <w:r w:rsidRPr="003A5442">
        <w:rPr>
          <w:sz w:val="24"/>
          <w:lang w:val="cs-CZ"/>
        </w:rPr>
        <w:t>. L, 2024/765, 29.2.2024, ELI: </w:t>
      </w:r>
      <w:hyperlink r:id="rId5" w:history="1">
        <w:r w:rsidRPr="003A5442">
          <w:rPr>
            <w:rStyle w:val="Hyperlink"/>
            <w:sz w:val="24"/>
            <w:lang w:val="cs-CZ"/>
          </w:rPr>
          <w:t>http://data.europa.eu/</w:t>
        </w:r>
        <w:proofErr w:type="spellStart"/>
        <w:r w:rsidRPr="003A5442">
          <w:rPr>
            <w:rStyle w:val="Hyperlink"/>
            <w:sz w:val="24"/>
            <w:lang w:val="cs-CZ"/>
          </w:rPr>
          <w:t>eli</w:t>
        </w:r>
        <w:proofErr w:type="spellEnd"/>
        <w:r w:rsidRPr="003A5442">
          <w:rPr>
            <w:rStyle w:val="Hyperlink"/>
            <w:sz w:val="24"/>
            <w:lang w:val="cs-CZ"/>
          </w:rPr>
          <w:t>/</w:t>
        </w:r>
        <w:proofErr w:type="spellStart"/>
        <w:r w:rsidRPr="003A5442">
          <w:rPr>
            <w:rStyle w:val="Hyperlink"/>
            <w:sz w:val="24"/>
            <w:lang w:val="cs-CZ"/>
          </w:rPr>
          <w:t>reg</w:t>
        </w:r>
        <w:proofErr w:type="spellEnd"/>
        <w:r w:rsidRPr="003A5442">
          <w:rPr>
            <w:rStyle w:val="Hyperlink"/>
            <w:sz w:val="24"/>
            <w:lang w:val="cs-CZ"/>
          </w:rPr>
          <w:t>/2024/765/oj</w:t>
        </w:r>
      </w:hyperlink>
      <w:r w:rsidRPr="003A5442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DDBB" w14:textId="77777777" w:rsidR="00064002" w:rsidRPr="003A54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8B3C" w14:textId="77777777" w:rsidR="00064002" w:rsidRPr="003A54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CDB5" w14:textId="77777777" w:rsidR="00064002" w:rsidRPr="003A54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7410252">
    <w:abstractNumId w:val="9"/>
  </w:num>
  <w:num w:numId="2" w16cid:durableId="1484656822">
    <w:abstractNumId w:val="9"/>
  </w:num>
  <w:num w:numId="3" w16cid:durableId="1548100013">
    <w:abstractNumId w:val="7"/>
  </w:num>
  <w:num w:numId="4" w16cid:durableId="1766337857">
    <w:abstractNumId w:val="7"/>
  </w:num>
  <w:num w:numId="5" w16cid:durableId="306281058">
    <w:abstractNumId w:val="6"/>
  </w:num>
  <w:num w:numId="6" w16cid:durableId="1409109775">
    <w:abstractNumId w:val="6"/>
  </w:num>
  <w:num w:numId="7" w16cid:durableId="52774687">
    <w:abstractNumId w:val="5"/>
  </w:num>
  <w:num w:numId="8" w16cid:durableId="818577299">
    <w:abstractNumId w:val="5"/>
  </w:num>
  <w:num w:numId="9" w16cid:durableId="276186331">
    <w:abstractNumId w:val="4"/>
  </w:num>
  <w:num w:numId="10" w16cid:durableId="690768566">
    <w:abstractNumId w:val="4"/>
  </w:num>
  <w:num w:numId="11" w16cid:durableId="824735226">
    <w:abstractNumId w:val="8"/>
  </w:num>
  <w:num w:numId="12" w16cid:durableId="723020602">
    <w:abstractNumId w:val="8"/>
  </w:num>
  <w:num w:numId="13" w16cid:durableId="698817603">
    <w:abstractNumId w:val="3"/>
  </w:num>
  <w:num w:numId="14" w16cid:durableId="247078182">
    <w:abstractNumId w:val="3"/>
  </w:num>
  <w:num w:numId="15" w16cid:durableId="1146511908">
    <w:abstractNumId w:val="2"/>
  </w:num>
  <w:num w:numId="16" w16cid:durableId="720137282">
    <w:abstractNumId w:val="2"/>
  </w:num>
  <w:num w:numId="17" w16cid:durableId="1540313258">
    <w:abstractNumId w:val="1"/>
  </w:num>
  <w:num w:numId="18" w16cid:durableId="401758451">
    <w:abstractNumId w:val="1"/>
  </w:num>
  <w:num w:numId="19" w16cid:durableId="937559672">
    <w:abstractNumId w:val="0"/>
  </w:num>
  <w:num w:numId="20" w16cid:durableId="1850946550">
    <w:abstractNumId w:val="0"/>
  </w:num>
  <w:num w:numId="21" w16cid:durableId="713971174">
    <w:abstractNumId w:val="9"/>
  </w:num>
  <w:num w:numId="22" w16cid:durableId="286855602">
    <w:abstractNumId w:val="7"/>
  </w:num>
  <w:num w:numId="23" w16cid:durableId="878125465">
    <w:abstractNumId w:val="6"/>
  </w:num>
  <w:num w:numId="24" w16cid:durableId="1555002572">
    <w:abstractNumId w:val="5"/>
  </w:num>
  <w:num w:numId="25" w16cid:durableId="1520700297">
    <w:abstractNumId w:val="4"/>
  </w:num>
  <w:num w:numId="26" w16cid:durableId="1522822550">
    <w:abstractNumId w:val="8"/>
  </w:num>
  <w:num w:numId="27" w16cid:durableId="2036230314">
    <w:abstractNumId w:val="3"/>
  </w:num>
  <w:num w:numId="28" w16cid:durableId="1088118724">
    <w:abstractNumId w:val="2"/>
  </w:num>
  <w:num w:numId="29" w16cid:durableId="310520982">
    <w:abstractNumId w:val="1"/>
  </w:num>
  <w:num w:numId="30" w16cid:durableId="471750935">
    <w:abstractNumId w:val="0"/>
  </w:num>
  <w:num w:numId="31" w16cid:durableId="701898545">
    <w:abstractNumId w:val="9"/>
  </w:num>
  <w:num w:numId="32" w16cid:durableId="1695573137">
    <w:abstractNumId w:val="7"/>
  </w:num>
  <w:num w:numId="33" w16cid:durableId="954604792">
    <w:abstractNumId w:val="6"/>
  </w:num>
  <w:num w:numId="34" w16cid:durableId="57168392">
    <w:abstractNumId w:val="5"/>
  </w:num>
  <w:num w:numId="35" w16cid:durableId="1611006899">
    <w:abstractNumId w:val="4"/>
  </w:num>
  <w:num w:numId="36" w16cid:durableId="484204601">
    <w:abstractNumId w:val="8"/>
  </w:num>
  <w:num w:numId="37" w16cid:durableId="2034920947">
    <w:abstractNumId w:val="3"/>
  </w:num>
  <w:num w:numId="38" w16cid:durableId="832574179">
    <w:abstractNumId w:val="2"/>
  </w:num>
  <w:num w:numId="39" w16cid:durableId="141968547">
    <w:abstractNumId w:val="1"/>
  </w:num>
  <w:num w:numId="40" w16cid:durableId="1849756147">
    <w:abstractNumId w:val="0"/>
  </w:num>
  <w:num w:numId="41" w16cid:durableId="1699429029">
    <w:abstractNumId w:val="10"/>
  </w:num>
  <w:num w:numId="42" w16cid:durableId="1407219400">
    <w:abstractNumId w:val="10"/>
  </w:num>
  <w:num w:numId="43" w16cid:durableId="1854763792">
    <w:abstractNumId w:val="10"/>
  </w:num>
  <w:num w:numId="44" w16cid:durableId="12752083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CS"/>
    <w:docVar w:name="dvnumam" w:val="0"/>
    <w:docVar w:name="dvpe" w:val="789.086"/>
    <w:docVar w:name="dvrapporteur" w:val="Zpravodajka: "/>
    <w:docVar w:name="dvtitre" w:val="Usnesení Evropského parlamentu ze dne.... 2026 o návrhu rozhodnutí Evropského parlamentu a Rady o uvolnění prostředků z Evropského fondu pro přizpůsobení se globalizaci na pomoc propuštěným pracovníkům z podnětu Komise (EGF/2026/000 TA 2026 – Technická pomoc)(COM(2026)0360 – C10-0124/2026 – 2026/0126(BUD))"/>
  </w:docVars>
  <w:rsids>
    <w:rsidRoot w:val="00270BE0"/>
    <w:rsid w:val="00002272"/>
    <w:rsid w:val="00064002"/>
    <w:rsid w:val="000677B9"/>
    <w:rsid w:val="000831BA"/>
    <w:rsid w:val="000A42CC"/>
    <w:rsid w:val="000E2FAD"/>
    <w:rsid w:val="000E7DD9"/>
    <w:rsid w:val="0010095E"/>
    <w:rsid w:val="00125B37"/>
    <w:rsid w:val="00187494"/>
    <w:rsid w:val="001F32AE"/>
    <w:rsid w:val="00267282"/>
    <w:rsid w:val="00270BE0"/>
    <w:rsid w:val="002767FF"/>
    <w:rsid w:val="00293B4A"/>
    <w:rsid w:val="002B18FE"/>
    <w:rsid w:val="002B5493"/>
    <w:rsid w:val="00343214"/>
    <w:rsid w:val="00361C00"/>
    <w:rsid w:val="00395FA1"/>
    <w:rsid w:val="003A544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12E"/>
    <w:rsid w:val="00930C23"/>
    <w:rsid w:val="0093193B"/>
    <w:rsid w:val="009509D8"/>
    <w:rsid w:val="00950B64"/>
    <w:rsid w:val="00981893"/>
    <w:rsid w:val="00982F25"/>
    <w:rsid w:val="00A043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6F4"/>
    <w:rsid w:val="00B558F0"/>
    <w:rsid w:val="00BD1553"/>
    <w:rsid w:val="00BD48FE"/>
    <w:rsid w:val="00BD7BD8"/>
    <w:rsid w:val="00BE6ADC"/>
    <w:rsid w:val="00C05BFE"/>
    <w:rsid w:val="00C23CD4"/>
    <w:rsid w:val="00C61C0C"/>
    <w:rsid w:val="00C941CB"/>
    <w:rsid w:val="00CB1ED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EEB"/>
    <w:rsid w:val="00F916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73966"/>
  <w15:chartTrackingRefBased/>
  <w15:docId w15:val="{AF6219DD-E4B3-46D4-8321-49388E60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D15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D15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D155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D15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D1553"/>
    <w:rPr>
      <w:sz w:val="24"/>
      <w:lang w:val="cs-CZ"/>
    </w:rPr>
  </w:style>
  <w:style w:type="paragraph" w:customStyle="1" w:styleId="NormalBold24a">
    <w:name w:val="NormalBold24a"/>
    <w:basedOn w:val="Normal"/>
    <w:rsid w:val="00BD155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D15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1553"/>
    <w:pPr>
      <w:spacing w:before="480" w:after="240"/>
    </w:pPr>
  </w:style>
  <w:style w:type="character" w:styleId="Hyperlink">
    <w:name w:val="Hyperlink"/>
    <w:basedOn w:val="DefaultParagraphFont"/>
    <w:uiPriority w:val="99"/>
    <w:rsid w:val="00BD155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D1553"/>
    <w:rPr>
      <w:sz w:val="24"/>
      <w:lang w:val="cs-CZ"/>
    </w:rPr>
  </w:style>
  <w:style w:type="paragraph" w:styleId="Footer">
    <w:name w:val="footer"/>
    <w:basedOn w:val="Normal"/>
    <w:link w:val="FooterChar"/>
    <w:rsid w:val="008C51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C512E"/>
    <w:rPr>
      <w:sz w:val="24"/>
      <w:lang w:val="cs-CZ"/>
    </w:rPr>
  </w:style>
  <w:style w:type="paragraph" w:styleId="Revision">
    <w:name w:val="Revision"/>
    <w:hidden/>
    <w:uiPriority w:val="99"/>
    <w:semiHidden/>
    <w:rsid w:val="00982F2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reg/2024/765/oj" TargetMode="External"/><Relationship Id="rId4" Type="http://schemas.openxmlformats.org/officeDocument/2006/relationships/hyperlink" Target="https://eur-lex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1547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2026-07-07T11:23:00Z</dcterms:created>
  <dcterms:modified xsi:type="dcterms:W3CDTF">2026-07-07T11:23:00Z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