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E6E56" w14:paraId="61A8C3A7" w14:textId="77777777" w:rsidTr="0010095E">
        <w:trPr>
          <w:trHeight w:hRule="exact" w:val="1418"/>
        </w:trPr>
        <w:tc>
          <w:tcPr>
            <w:tcW w:w="6804" w:type="dxa"/>
            <w:shd w:val="clear" w:color="auto" w:fill="auto"/>
            <w:vAlign w:val="center"/>
          </w:tcPr>
          <w:p w14:paraId="06C0267C" w14:textId="77777777" w:rsidR="00751A4A" w:rsidRPr="003E6E56" w:rsidRDefault="00842174" w:rsidP="0010095E">
            <w:pPr>
              <w:pStyle w:val="EPName"/>
            </w:pPr>
            <w:r w:rsidRPr="003E6E56">
              <w:t>Euroopan parlamentti</w:t>
            </w:r>
          </w:p>
          <w:p w14:paraId="1491206B" w14:textId="77777777" w:rsidR="00751A4A" w:rsidRPr="003E6E56" w:rsidRDefault="005F1B17" w:rsidP="005F1B17">
            <w:pPr>
              <w:pStyle w:val="EPTerm"/>
              <w:rPr>
                <w:rStyle w:val="HideTWBExt"/>
                <w:noProof w:val="0"/>
                <w:vanish w:val="0"/>
                <w:color w:val="auto"/>
              </w:rPr>
            </w:pPr>
            <w:r w:rsidRPr="003E6E56">
              <w:t>2024</w:t>
            </w:r>
            <w:r w:rsidR="00817416" w:rsidRPr="003E6E56">
              <w:t>-202</w:t>
            </w:r>
            <w:r w:rsidRPr="003E6E56">
              <w:t>9</w:t>
            </w:r>
          </w:p>
        </w:tc>
        <w:tc>
          <w:tcPr>
            <w:tcW w:w="2268" w:type="dxa"/>
            <w:shd w:val="clear" w:color="auto" w:fill="auto"/>
          </w:tcPr>
          <w:p w14:paraId="1E955348" w14:textId="77777777" w:rsidR="00751A4A" w:rsidRPr="003E6E56" w:rsidRDefault="00187494" w:rsidP="0010095E">
            <w:pPr>
              <w:pStyle w:val="EPLogo"/>
            </w:pPr>
            <w:r w:rsidRPr="003E6E56">
              <w:rPr>
                <w:noProof/>
                <w:lang w:eastAsia="ja-JP"/>
              </w:rPr>
              <w:drawing>
                <wp:inline distT="0" distB="0" distL="0" distR="0" wp14:anchorId="0EFB2E43" wp14:editId="552A676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266B6FC" w14:textId="77777777" w:rsidR="00D058B8" w:rsidRPr="003E6E56" w:rsidRDefault="00D058B8" w:rsidP="004C5D52">
      <w:pPr>
        <w:pStyle w:val="LineTop"/>
      </w:pPr>
    </w:p>
    <w:p w14:paraId="5986A8CD" w14:textId="77777777" w:rsidR="00680577" w:rsidRPr="003E6E56" w:rsidRDefault="00842174" w:rsidP="00680577">
      <w:pPr>
        <w:pStyle w:val="EPBodyTA1"/>
      </w:pPr>
      <w:r w:rsidRPr="003E6E56">
        <w:t>HYVÄKSYTYT TEKSTIT</w:t>
      </w:r>
    </w:p>
    <w:p w14:paraId="1E06B6B6" w14:textId="77777777" w:rsidR="00D058B8" w:rsidRPr="003E6E56" w:rsidRDefault="00D058B8" w:rsidP="00D058B8">
      <w:pPr>
        <w:pStyle w:val="LineBottom"/>
      </w:pPr>
    </w:p>
    <w:p w14:paraId="029C2FB9" w14:textId="757C6FF5" w:rsidR="00842174" w:rsidRPr="003E6E56" w:rsidRDefault="00842174" w:rsidP="00842174">
      <w:pPr>
        <w:pStyle w:val="ATHeading1"/>
      </w:pPr>
      <w:bookmarkStart w:id="0" w:name="TANumber"/>
      <w:r w:rsidRPr="003E6E56">
        <w:t>P10_TA(2026)0</w:t>
      </w:r>
      <w:bookmarkEnd w:id="0"/>
      <w:r w:rsidR="00135C88">
        <w:t>243</w:t>
      </w:r>
    </w:p>
    <w:p w14:paraId="3CDF8A40" w14:textId="4087F987" w:rsidR="00842174" w:rsidRPr="003E6E56" w:rsidRDefault="007A1478" w:rsidP="007A1478">
      <w:pPr>
        <w:pStyle w:val="ATHeading2"/>
      </w:pPr>
      <w:bookmarkStart w:id="1" w:name="title"/>
      <w:r w:rsidRPr="007A1478">
        <w:rPr>
          <w:bCs/>
        </w:rPr>
        <w:t>Euroopan globalisaatiorahaston varojen käyttöönotto: hakemus EGF/2026/000 TA 2026 – komission</w:t>
      </w:r>
      <w:r>
        <w:rPr>
          <w:bCs/>
        </w:rPr>
        <w:t xml:space="preserve"> </w:t>
      </w:r>
      <w:r w:rsidRPr="007A1478">
        <w:rPr>
          <w:bCs/>
        </w:rPr>
        <w:t>aloitteesta annettava tekninen apu</w:t>
      </w:r>
      <w:bookmarkEnd w:id="1"/>
    </w:p>
    <w:p w14:paraId="66C77C03" w14:textId="77777777" w:rsidR="00842174" w:rsidRPr="003E6E56" w:rsidRDefault="00842174" w:rsidP="00842174">
      <w:pPr>
        <w:rPr>
          <w:i/>
          <w:vanish/>
        </w:rPr>
      </w:pPr>
      <w:r w:rsidRPr="003E6E56">
        <w:rPr>
          <w:i/>
        </w:rPr>
        <w:fldChar w:fldCharType="begin"/>
      </w:r>
      <w:r w:rsidRPr="003E6E56">
        <w:rPr>
          <w:i/>
        </w:rPr>
        <w:instrText xml:space="preserve"> TC"(</w:instrText>
      </w:r>
      <w:bookmarkStart w:id="2" w:name="DocNumber"/>
      <w:r w:rsidRPr="003E6E56">
        <w:rPr>
          <w:i/>
        </w:rPr>
        <w:instrText>A10-0179/2026</w:instrText>
      </w:r>
      <w:bookmarkEnd w:id="2"/>
      <w:r w:rsidRPr="003E6E56">
        <w:rPr>
          <w:i/>
        </w:rPr>
        <w:instrText xml:space="preserve"> - Esittelijä: Lucia Yar)"\l3 \n&gt; \* MERGEFORMAT </w:instrText>
      </w:r>
      <w:r w:rsidRPr="003E6E56">
        <w:rPr>
          <w:i/>
        </w:rPr>
        <w:fldChar w:fldCharType="end"/>
      </w:r>
    </w:p>
    <w:p w14:paraId="0DED69DE" w14:textId="77777777" w:rsidR="00842174" w:rsidRPr="003E6E56" w:rsidRDefault="00842174" w:rsidP="00842174">
      <w:pPr>
        <w:rPr>
          <w:vanish/>
        </w:rPr>
      </w:pPr>
      <w:bookmarkStart w:id="3" w:name="Commission"/>
      <w:r w:rsidRPr="003E6E56">
        <w:rPr>
          <w:vanish/>
        </w:rPr>
        <w:t>Budjettivaliokunta</w:t>
      </w:r>
      <w:bookmarkEnd w:id="3"/>
    </w:p>
    <w:p w14:paraId="680316E7" w14:textId="77777777" w:rsidR="00842174" w:rsidRPr="003E6E56" w:rsidRDefault="00842174" w:rsidP="00842174">
      <w:pPr>
        <w:rPr>
          <w:vanish/>
        </w:rPr>
      </w:pPr>
      <w:bookmarkStart w:id="4" w:name="PE"/>
      <w:r w:rsidRPr="003E6E56">
        <w:rPr>
          <w:vanish/>
        </w:rPr>
        <w:t>PE789.086</w:t>
      </w:r>
      <w:bookmarkEnd w:id="4"/>
    </w:p>
    <w:p w14:paraId="59929108" w14:textId="6A8ACAE6" w:rsidR="00842174" w:rsidRPr="003E6E56" w:rsidRDefault="00842174" w:rsidP="00842174">
      <w:pPr>
        <w:pStyle w:val="ATHeading3"/>
      </w:pPr>
      <w:bookmarkStart w:id="5" w:name="Sujet"/>
      <w:r w:rsidRPr="003E6E56">
        <w:t xml:space="preserve">Euroopan parlamentin päätöslauselma </w:t>
      </w:r>
      <w:r w:rsidR="00220EE0">
        <w:t>7</w:t>
      </w:r>
      <w:r w:rsidRPr="003E6E56">
        <w:t xml:space="preserve">. </w:t>
      </w:r>
      <w:r w:rsidR="00220EE0">
        <w:t>heinä</w:t>
      </w:r>
      <w:r w:rsidRPr="003E6E56">
        <w:t>kuuta 2026 ehdotuksesta Euroopan parlamentin ja neuvoston päätökseksi työttömiksi jääneitä työntekijöitä tukevan Euroopan globalisaatiorahaston varojen käyttöönotosta komission aloitteesta (EGF/2026/000 TA 2026 – Tekninen apu)</w:t>
      </w:r>
      <w:bookmarkEnd w:id="5"/>
      <w:r w:rsidRPr="003E6E56">
        <w:t xml:space="preserve"> </w:t>
      </w:r>
      <w:bookmarkStart w:id="6" w:name="References"/>
      <w:r w:rsidRPr="003E6E56">
        <w:t>(COM(2026)0360 – C10-0124/2026 – 2026/0126(BUD))</w:t>
      </w:r>
      <w:bookmarkEnd w:id="6"/>
    </w:p>
    <w:p w14:paraId="49191DD2" w14:textId="77777777" w:rsidR="007748D3" w:rsidRPr="003E6E56" w:rsidRDefault="007748D3" w:rsidP="001E35B2">
      <w:pPr>
        <w:pStyle w:val="EPComma"/>
        <w:widowControl/>
        <w:rPr>
          <w:noProof/>
        </w:rPr>
      </w:pPr>
      <w:r w:rsidRPr="003E6E56">
        <w:rPr>
          <w:i/>
          <w:iCs/>
        </w:rPr>
        <w:t>Euroopan parlamentti</w:t>
      </w:r>
      <w:r w:rsidRPr="003E6E56">
        <w:t>, joka</w:t>
      </w:r>
    </w:p>
    <w:p w14:paraId="6399CE17" w14:textId="77777777" w:rsidR="007748D3" w:rsidRPr="003E6E56" w:rsidRDefault="007748D3" w:rsidP="001E35B2">
      <w:pPr>
        <w:pStyle w:val="NormalHanging12a"/>
        <w:widowControl/>
        <w:rPr>
          <w:noProof/>
        </w:rPr>
      </w:pPr>
      <w:r w:rsidRPr="003E6E56">
        <w:t>–</w:t>
      </w:r>
      <w:r w:rsidRPr="003E6E56">
        <w:tab/>
        <w:t>ottaa huomioon komission ehdotuksen Euroopan parlamentille ja neuvostolle (COM(2026)0360 – C10-0124/2026),</w:t>
      </w:r>
    </w:p>
    <w:p w14:paraId="1E84292A" w14:textId="77777777" w:rsidR="007748D3" w:rsidRPr="003E6E56" w:rsidRDefault="007748D3" w:rsidP="001E35B2">
      <w:pPr>
        <w:pStyle w:val="NormalHanging12a"/>
        <w:widowControl/>
        <w:rPr>
          <w:noProof/>
        </w:rPr>
      </w:pPr>
      <w:bookmarkStart w:id="7" w:name="_Hlk230701067"/>
      <w:r w:rsidRPr="003E6E56">
        <w:t>–</w:t>
      </w:r>
      <w:r w:rsidRPr="003E6E56">
        <w:tab/>
        <w:t>ottaa huomioon Euroopan globalisaatiorahastosta (EGR) työttömiksi jääneille työntekijöille ja asetuksen (EU) N:o 1309/2013 kumoamisesta 28. huhtikuuta 2021 annetun Euroopan parlamentin ja neuvoston asetuksen (EU) 2021/691</w:t>
      </w:r>
      <w:r w:rsidRPr="003E6E56">
        <w:rPr>
          <w:rStyle w:val="FootnoteReference"/>
        </w:rPr>
        <w:footnoteReference w:id="1"/>
      </w:r>
      <w:r w:rsidRPr="003E6E56">
        <w:t>, jäljempänä ’EGR-asetus’, sellaisena kuin se on muutettuna asetuksella (EU) 2026/1139</w:t>
      </w:r>
      <w:r w:rsidRPr="003E6E56">
        <w:rPr>
          <w:rStyle w:val="FootnoteReference"/>
          <w:noProof/>
        </w:rPr>
        <w:footnoteReference w:id="2"/>
      </w:r>
      <w:r w:rsidRPr="003E6E56">
        <w:t>,</w:t>
      </w:r>
    </w:p>
    <w:bookmarkEnd w:id="7"/>
    <w:p w14:paraId="4F2BFDCF" w14:textId="77777777" w:rsidR="007748D3" w:rsidRPr="003E6E56" w:rsidRDefault="007748D3" w:rsidP="001E35B2">
      <w:pPr>
        <w:pStyle w:val="NormalHanging12a"/>
        <w:widowControl/>
        <w:rPr>
          <w:noProof/>
        </w:rPr>
      </w:pPr>
      <w:r w:rsidRPr="003E6E56">
        <w:t>–</w:t>
      </w:r>
      <w:r w:rsidRPr="003E6E56">
        <w:tab/>
      </w:r>
      <w:r w:rsidRPr="003E6E56">
        <w:rPr>
          <w:snapToGrid w:val="0"/>
        </w:rPr>
        <w:t>ottaa huomioon vuosia 2021–2027 koskevan monivuotisen rahoituskehyksen vahvistamisesta 17. joulukuuta 2020 annetun neuvoston asetuksen (EU, Euratom) 2020/2093</w:t>
      </w:r>
      <w:r w:rsidRPr="003E6E56">
        <w:rPr>
          <w:rStyle w:val="FootnoteReference"/>
          <w:snapToGrid w:val="0"/>
        </w:rPr>
        <w:footnoteReference w:id="3"/>
      </w:r>
      <w:r w:rsidRPr="003E6E56">
        <w:rPr>
          <w:snapToGrid w:val="0"/>
        </w:rPr>
        <w:t>, sellaisena kuin se on muutettuna asetuksella (EU, Euratom) 2024/765</w:t>
      </w:r>
      <w:r w:rsidRPr="003E6E56">
        <w:rPr>
          <w:rStyle w:val="FootnoteReference"/>
          <w:snapToGrid w:val="0"/>
          <w:bdr w:val="none" w:sz="0" w:space="0" w:color="auto" w:frame="1"/>
        </w:rPr>
        <w:footnoteReference w:id="4"/>
      </w:r>
      <w:r w:rsidRPr="003E6E56">
        <w:rPr>
          <w:snapToGrid w:val="0"/>
        </w:rPr>
        <w:t>, ja erityisesti sen 8 artiklan,</w:t>
      </w:r>
    </w:p>
    <w:p w14:paraId="65B4C7F6" w14:textId="77777777" w:rsidR="007748D3" w:rsidRPr="003E6E56" w:rsidRDefault="007748D3" w:rsidP="001E35B2">
      <w:pPr>
        <w:pStyle w:val="NormalHanging12a"/>
        <w:widowControl/>
        <w:rPr>
          <w:noProof/>
        </w:rPr>
      </w:pPr>
      <w:r w:rsidRPr="003E6E56">
        <w:t>–</w:t>
      </w:r>
      <w:r w:rsidRPr="003E6E56">
        <w:tab/>
        <w:t>ottaa huomioon talousarviota koskevasta kurinalaisuudesta, talousarvioyhteistyöstä ja moitteettomasta varainhoidosta sekä uusista omista varoista, mukaan lukien etenemissuunnitelma uusien omien varojen käyttöönottamiseksi, 16. joulukuuta 2020 tehdyn Euroopan parlamentin, Euroopan unionin neuvoston ja Euroopan komission välisen toimielinten sopimuksen</w:t>
      </w:r>
      <w:r w:rsidRPr="003E6E56">
        <w:rPr>
          <w:rStyle w:val="FootnoteReference"/>
          <w:noProof/>
        </w:rPr>
        <w:footnoteReference w:id="5"/>
      </w:r>
      <w:r w:rsidRPr="003E6E56">
        <w:t xml:space="preserve"> ja erityisesti sen 9 kohdan,</w:t>
      </w:r>
    </w:p>
    <w:p w14:paraId="6368196F" w14:textId="77777777" w:rsidR="007748D3" w:rsidRPr="003E6E56" w:rsidRDefault="007748D3" w:rsidP="001E35B2">
      <w:pPr>
        <w:pStyle w:val="NormalHanging12a"/>
        <w:widowControl/>
      </w:pPr>
      <w:r w:rsidRPr="003E6E56">
        <w:lastRenderedPageBreak/>
        <w:t>–</w:t>
      </w:r>
      <w:r w:rsidRPr="003E6E56">
        <w:tab/>
        <w:t>ottaa huomioon budjettivaliokunnan mietinnön (A10-0179/2026),</w:t>
      </w:r>
    </w:p>
    <w:p w14:paraId="2BA494D6" w14:textId="77777777" w:rsidR="007748D3" w:rsidRPr="003E6E56" w:rsidRDefault="007748D3" w:rsidP="001E35B2">
      <w:pPr>
        <w:pStyle w:val="NormalHanging12a"/>
        <w:widowControl/>
        <w:rPr>
          <w:noProof/>
        </w:rPr>
      </w:pPr>
      <w:r w:rsidRPr="003E6E56">
        <w:t>A.</w:t>
      </w:r>
      <w:r w:rsidRPr="003E6E56">
        <w:tab/>
        <w:t>ottaa huomioon, että EU on ottanut käyttöön lainsäädäntö- ja budjettivälineitä tarjotakseen lisätukea työntekijöille, jotka kärsivät maailmankaupan huomattavien rakenteellisten tapahtumien ja muutosten seurauksista ja joita uhkaa välitön irtisanominen rakenneuudistuksen kohteena olevassa yrityksessä, ja auttaakseen heitä palaamaan työmarkkinoille tai tukeakseen heidän ammatillista siirtymäänsä; toteaa, että tuki annetaan rahoitustukena työntekijöille;</w:t>
      </w:r>
    </w:p>
    <w:p w14:paraId="63EEA397" w14:textId="77777777" w:rsidR="007748D3" w:rsidRPr="003E6E56" w:rsidRDefault="007748D3" w:rsidP="001E35B2">
      <w:pPr>
        <w:pStyle w:val="NormalHanging12a"/>
        <w:widowControl/>
      </w:pPr>
      <w:r w:rsidRPr="003E6E56">
        <w:t>B.</w:t>
      </w:r>
      <w:r w:rsidRPr="003E6E56">
        <w:tab/>
        <w:t xml:space="preserve">toteaa, että </w:t>
      </w:r>
      <w:proofErr w:type="spellStart"/>
      <w:r w:rsidRPr="003E6E56">
        <w:t>EGR:n</w:t>
      </w:r>
      <w:proofErr w:type="spellEnd"/>
      <w:r w:rsidRPr="003E6E56">
        <w:t xml:space="preserve"> rahoitustuki olisi keskitettävä ensisijaisesti aktiivisiin työvoimapoliittisiin toimenpiteisiin ja yksilöllisiin palveluihin, joilla pyritään auttamaan edunsaajia palaamaan nopeasti työmarkkinoille tai tukemaan heidän ammatillista siirtymäänsä;</w:t>
      </w:r>
    </w:p>
    <w:p w14:paraId="5506CD7E" w14:textId="77777777" w:rsidR="007748D3" w:rsidRPr="003E6E56" w:rsidRDefault="007748D3" w:rsidP="001E35B2">
      <w:pPr>
        <w:pStyle w:val="NormalHanging12a"/>
        <w:widowControl/>
      </w:pPr>
      <w:r w:rsidRPr="003E6E56">
        <w:t>C.</w:t>
      </w:r>
      <w:r w:rsidRPr="003E6E56">
        <w:tab/>
        <w:t xml:space="preserve">ottaa huomioon, että EGR-asetuksen 11 artiklan 1 kohdassa säädetään, että enintään 1,5 prosenttia </w:t>
      </w:r>
      <w:proofErr w:type="spellStart"/>
      <w:r w:rsidRPr="003E6E56">
        <w:t>EGR:n</w:t>
      </w:r>
      <w:proofErr w:type="spellEnd"/>
      <w:r w:rsidRPr="003E6E56">
        <w:t xml:space="preserve"> vuotuisesta enimmäismäärästä voidaan käyttää komission aloitteesta annettavaan tekniseen apuun; </w:t>
      </w:r>
    </w:p>
    <w:p w14:paraId="01063B5C" w14:textId="77777777" w:rsidR="007748D3" w:rsidRPr="003E6E56" w:rsidRDefault="007748D3" w:rsidP="001E35B2">
      <w:pPr>
        <w:pStyle w:val="NormalHanging12a"/>
        <w:widowControl/>
        <w:rPr>
          <w:color w:val="000000"/>
          <w:bdr w:val="none" w:sz="0" w:space="0" w:color="auto" w:frame="1"/>
        </w:rPr>
      </w:pPr>
      <w:r w:rsidRPr="003E6E56">
        <w:t>D.</w:t>
      </w:r>
      <w:r w:rsidRPr="003E6E56">
        <w:tab/>
      </w:r>
      <w:r w:rsidRPr="003E6E56">
        <w:rPr>
          <w:color w:val="000000"/>
          <w:bdr w:val="none" w:sz="0" w:space="0" w:color="auto" w:frame="1"/>
        </w:rPr>
        <w:t xml:space="preserve">ottaa huomioon, että tekninen apu voi koostua </w:t>
      </w:r>
      <w:proofErr w:type="spellStart"/>
      <w:r w:rsidRPr="003E6E56">
        <w:rPr>
          <w:color w:val="000000"/>
          <w:bdr w:val="none" w:sz="0" w:space="0" w:color="auto" w:frame="1"/>
        </w:rPr>
        <w:t>EGR:n</w:t>
      </w:r>
      <w:proofErr w:type="spellEnd"/>
      <w:r w:rsidRPr="003E6E56">
        <w:rPr>
          <w:color w:val="000000"/>
          <w:bdr w:val="none" w:sz="0" w:space="0" w:color="auto" w:frame="1"/>
        </w:rPr>
        <w:t xml:space="preserve"> toteuttamiseen liittyvistä teknisistä ja hallinnollisista menoista, kuten valmistelu-, seuranta-, valvonta-, tarkastus</w:t>
      </w:r>
      <w:r w:rsidRPr="003E6E56">
        <w:rPr>
          <w:color w:val="000000"/>
          <w:bdr w:val="none" w:sz="0" w:space="0" w:color="auto" w:frame="1"/>
        </w:rPr>
        <w:noBreakHyphen/>
        <w:t xml:space="preserve"> ja arviointitoimista sekä tiedonkeruu- ja viestintätoimista samoin kuin toimista, joilla lisätään </w:t>
      </w:r>
      <w:proofErr w:type="spellStart"/>
      <w:r w:rsidRPr="003E6E56">
        <w:rPr>
          <w:color w:val="000000"/>
          <w:bdr w:val="none" w:sz="0" w:space="0" w:color="auto" w:frame="1"/>
        </w:rPr>
        <w:t>EGR:n</w:t>
      </w:r>
      <w:proofErr w:type="spellEnd"/>
      <w:r w:rsidRPr="003E6E56">
        <w:rPr>
          <w:color w:val="000000"/>
          <w:bdr w:val="none" w:sz="0" w:space="0" w:color="auto" w:frame="1"/>
        </w:rPr>
        <w:t xml:space="preserve"> näkyvyyttä rahastona tai yksittäisten hankkeiden yhteydessä, ja muista teknisen avun toimenpiteistä; ottaa huomioon, että tekniseen apuun sisältyy </w:t>
      </w:r>
      <w:proofErr w:type="spellStart"/>
      <w:r w:rsidRPr="003E6E56">
        <w:rPr>
          <w:color w:val="000000"/>
          <w:bdr w:val="none" w:sz="0" w:space="0" w:color="auto" w:frame="1"/>
        </w:rPr>
        <w:t>EGR:ää</w:t>
      </w:r>
      <w:proofErr w:type="spellEnd"/>
      <w:r w:rsidRPr="003E6E56">
        <w:rPr>
          <w:color w:val="000000"/>
          <w:bdr w:val="none" w:sz="0" w:space="0" w:color="auto" w:frame="1"/>
        </w:rPr>
        <w:t xml:space="preserve"> koskevien tietojen ja ohjeiden antaminen jäsenvaltioille ja työmarkkinaosapuolille sekä kohdennettu tiedotus jäsenvaltioille, jotka eivät ole hyödyntäneet </w:t>
      </w:r>
      <w:proofErr w:type="spellStart"/>
      <w:r w:rsidRPr="003E6E56">
        <w:rPr>
          <w:color w:val="000000"/>
          <w:bdr w:val="none" w:sz="0" w:space="0" w:color="auto" w:frame="1"/>
        </w:rPr>
        <w:t>EGR:n</w:t>
      </w:r>
      <w:proofErr w:type="spellEnd"/>
      <w:r w:rsidRPr="003E6E56">
        <w:rPr>
          <w:color w:val="000000"/>
          <w:bdr w:val="none" w:sz="0" w:space="0" w:color="auto" w:frame="1"/>
        </w:rPr>
        <w:t xml:space="preserve"> tukea lainkaan tai ovat hyödyntäneet sitä vain vähän;</w:t>
      </w:r>
      <w:r w:rsidRPr="003E6E56">
        <w:t xml:space="preserve"> katsoo, että teknisen avun toimilla olisi parannettava </w:t>
      </w:r>
      <w:proofErr w:type="spellStart"/>
      <w:r w:rsidRPr="003E6E56">
        <w:t>EGR:n</w:t>
      </w:r>
      <w:proofErr w:type="spellEnd"/>
      <w:r w:rsidRPr="003E6E56">
        <w:t xml:space="preserve"> vaikuttavuutta, saatavuutta ja näkyvyyttä ja niissä olisi keskityttävä erityisesti mitattavissa oleviin tuloksiin, hallinnon yksinkertaistamiseen ja käyttäjälähtöiseen täytäntöönpanoon jäsenvaltioiden ja edunsaajien kannalta; ottaa huomioon, että useat jäsenvaltiot eivät ole vieläkään käyttäneet </w:t>
      </w:r>
      <w:proofErr w:type="spellStart"/>
      <w:r w:rsidRPr="003E6E56">
        <w:t>EGR:ää</w:t>
      </w:r>
      <w:proofErr w:type="spellEnd"/>
      <w:r w:rsidRPr="003E6E56">
        <w:t>, vaikka niiden rakenneuudistusprosessit ja työntekijöiden vähennykset ovat verrattavissa edunsaajina olevissa jäsenvaltioissa koettuihin prosesseihin ja irtisanomisiin; katsoo, että sen vuoksi tarvitaan kohdennettuja tiedotus</w:t>
      </w:r>
      <w:r w:rsidRPr="003E6E56">
        <w:noBreakHyphen/>
        <w:t xml:space="preserve"> ja valistustoimia, jotta voidaan varmistaa yhtäläiset mahdollisuudet hyödyntää </w:t>
      </w:r>
      <w:proofErr w:type="spellStart"/>
      <w:r w:rsidRPr="003E6E56">
        <w:t>EGR:n</w:t>
      </w:r>
      <w:proofErr w:type="spellEnd"/>
      <w:r w:rsidRPr="003E6E56">
        <w:t xml:space="preserve"> tarjoamia mahdollisuuksia kaikkialla unionissa;</w:t>
      </w:r>
    </w:p>
    <w:p w14:paraId="671FF111" w14:textId="77777777" w:rsidR="007748D3" w:rsidRPr="003E6E56" w:rsidRDefault="007748D3" w:rsidP="001E35B2">
      <w:pPr>
        <w:pStyle w:val="NormalHanging12a"/>
        <w:widowControl/>
      </w:pPr>
      <w:r w:rsidRPr="003E6E56">
        <w:t>E.</w:t>
      </w:r>
      <w:r w:rsidRPr="003E6E56">
        <w:tab/>
        <w:t xml:space="preserve">ottaa huomioon, että ehdotettu 210 000 euron määrä on noin 0,60 prosenttia </w:t>
      </w:r>
      <w:proofErr w:type="spellStart"/>
      <w:r w:rsidRPr="003E6E56">
        <w:t>EGR:n</w:t>
      </w:r>
      <w:proofErr w:type="spellEnd"/>
      <w:r w:rsidRPr="003E6E56">
        <w:t xml:space="preserve"> määrärahojen vuotuisesta enimmäismäärästä vuonna 2026; ottaa huomioon, että EGR tarjoaa merkittävää tukea rakenneuudistusten ja irtisanomisten kohteena oleville työntekijöille; katsoo, että kilpailukykyinen Euroopan talous, hallinnollisten rasitteiden vähentäminen ja investointeja ja innovointia edistävä liiketoimintaympäristö ovat edelleen olennaisen tärkeitä laadukkaiden työpaikkojen säilyttämiseksi ja </w:t>
      </w:r>
      <w:proofErr w:type="spellStart"/>
      <w:r w:rsidRPr="003E6E56">
        <w:t>EGR:stä</w:t>
      </w:r>
      <w:proofErr w:type="spellEnd"/>
      <w:r w:rsidRPr="003E6E56">
        <w:t xml:space="preserve"> tukea tarvitsevien työntekijöiden määrän vähentämiseksi;</w:t>
      </w:r>
    </w:p>
    <w:p w14:paraId="4F6FFF4E" w14:textId="77777777" w:rsidR="007748D3" w:rsidRPr="003E6E56" w:rsidRDefault="007748D3" w:rsidP="001E35B2">
      <w:pPr>
        <w:pStyle w:val="NormalHanging12a"/>
        <w:widowControl/>
      </w:pPr>
      <w:r w:rsidRPr="003E6E56">
        <w:t>1.</w:t>
      </w:r>
      <w:r w:rsidRPr="003E6E56">
        <w:tab/>
      </w:r>
      <w:r w:rsidRPr="003E6E56">
        <w:rPr>
          <w:bdr w:val="none" w:sz="0" w:space="0" w:color="auto" w:frame="1"/>
        </w:rPr>
        <w:t>hyväksyy 210 000 euron käyttöönoton ja komission ehdottamien toimenpiteiden rahoittamisen teknisen avun varoista EGR-asetuksen 11 artiklan 1 ja 4 kohdan sekä 12 artiklan 2, 3 ja 4 kohdan mukaisesti;</w:t>
      </w:r>
      <w:r w:rsidRPr="003E6E56">
        <w:t xml:space="preserve"> korostaa, että teknisen avun menojen olisi pysyttävä oikeasuhteisina ja tehokkaina ja ne olisi keskitettävä toimiin, joilla todistetusti parannetaan työttömiksi jääneiden työntekijöiden mahdollisuuksia saada tukea ja </w:t>
      </w:r>
      <w:proofErr w:type="spellStart"/>
      <w:r w:rsidRPr="003E6E56">
        <w:t>EGR:n</w:t>
      </w:r>
      <w:proofErr w:type="spellEnd"/>
      <w:r w:rsidRPr="003E6E56">
        <w:t xml:space="preserve"> yleistä vaikuttavuutta;</w:t>
      </w:r>
    </w:p>
    <w:p w14:paraId="16A22862" w14:textId="77777777" w:rsidR="007748D3" w:rsidRPr="003E6E56" w:rsidRDefault="007748D3" w:rsidP="001E35B2">
      <w:pPr>
        <w:widowControl/>
        <w:spacing w:after="240"/>
        <w:ind w:left="567" w:hanging="567"/>
      </w:pPr>
      <w:r w:rsidRPr="003E6E56">
        <w:lastRenderedPageBreak/>
        <w:t>2.</w:t>
      </w:r>
      <w:r w:rsidRPr="003E6E56">
        <w:tab/>
        <w:t xml:space="preserve">panee merkille, että komissio aikoo hallinnolliseen tukeen käytettävissä olevilla määrärahoilla järjestää EGR-yhteyshenkilöiden asiantuntijaryhmän (kaksi jäsentä kustakin jäsenvaltiosta) kokouksia sekä jäsenvaltioiden verkostoitumisen edistämiseksi yhden seminaarin, johon osallistuvat </w:t>
      </w:r>
      <w:proofErr w:type="spellStart"/>
      <w:r w:rsidRPr="003E6E56">
        <w:t>EGR:n</w:t>
      </w:r>
      <w:proofErr w:type="spellEnd"/>
      <w:r w:rsidRPr="003E6E56">
        <w:t xml:space="preserve"> täytäntöönpanosta vastaavat elimet ja työmarkkinaosapuolet; kehottaa komissiota kutsumaan jatkossakin parlamentin säännöllisesti mukaan näihin kokouksiin ja seminaareihin parlamentin ja komission välisiä suhteita koskevan puitesopimuksen asiaa koskevien määräysten mukaisesti;</w:t>
      </w:r>
    </w:p>
    <w:p w14:paraId="65F3F14B" w14:textId="77777777" w:rsidR="007748D3" w:rsidRPr="003E6E56" w:rsidRDefault="007748D3" w:rsidP="001E35B2">
      <w:pPr>
        <w:pStyle w:val="NormalHanging12a"/>
        <w:widowControl/>
        <w:rPr>
          <w:bCs/>
          <w:iCs/>
        </w:rPr>
      </w:pPr>
      <w:r w:rsidRPr="003E6E56">
        <w:t>3.</w:t>
      </w:r>
      <w:r w:rsidRPr="003E6E56">
        <w:tab/>
        <w:t xml:space="preserve">korostaa, että yleistä tietoisuutta </w:t>
      </w:r>
      <w:proofErr w:type="spellStart"/>
      <w:r w:rsidRPr="003E6E56">
        <w:t>EGR:stä</w:t>
      </w:r>
      <w:proofErr w:type="spellEnd"/>
      <w:r w:rsidRPr="003E6E56">
        <w:t xml:space="preserve"> ja sen näkyvyyttä on vahvistettava edelleen; huomauttaa, että tähän tavoitteeseen voidaan pyrkiä esittelemällä </w:t>
      </w:r>
      <w:proofErr w:type="spellStart"/>
      <w:r w:rsidRPr="003E6E56">
        <w:t>EGR:ää</w:t>
      </w:r>
      <w:proofErr w:type="spellEnd"/>
      <w:r w:rsidRPr="003E6E56">
        <w:t xml:space="preserve"> erilaisissa komission julkaisuissa ja audiovisuaalisissa esityksissä EGR-asetuksen 11 artiklan 1 kohdan mukaisesti ja levittämällä kohdennettua tietoa kansallisille, alueellisille ja paikallisille viranomaisille, työmarkkinaosapuolille ja suurelle yleisölle; </w:t>
      </w:r>
      <w:r w:rsidRPr="003E6E56">
        <w:rPr>
          <w:bdr w:val="none" w:sz="0" w:space="0" w:color="auto" w:frame="1"/>
        </w:rPr>
        <w:t xml:space="preserve">panee tässä yhteydessä tyytyväisenä merkille </w:t>
      </w:r>
      <w:proofErr w:type="spellStart"/>
      <w:r w:rsidRPr="003E6E56">
        <w:rPr>
          <w:bdr w:val="none" w:sz="0" w:space="0" w:color="auto" w:frame="1"/>
        </w:rPr>
        <w:t>EGR:ää</w:t>
      </w:r>
      <w:proofErr w:type="spellEnd"/>
      <w:r w:rsidRPr="003E6E56">
        <w:rPr>
          <w:bdr w:val="none" w:sz="0" w:space="0" w:color="auto" w:frame="1"/>
        </w:rPr>
        <w:t xml:space="preserve"> varten ylläpidetyn verkkosivuston ja kehottaa komissiota päivittämään ja laajentamaan sitä säännöllisesti;</w:t>
      </w:r>
      <w:r w:rsidRPr="003E6E56">
        <w:t xml:space="preserve"> kehottaa komissiota kiinnittämään tiedotus- ja viestintätoimissaan erityistä huomiota jäsenvaltioihin, jotka eivät ole vielä hyödyntäneet </w:t>
      </w:r>
      <w:proofErr w:type="spellStart"/>
      <w:r w:rsidRPr="003E6E56">
        <w:t>EGR:ää</w:t>
      </w:r>
      <w:proofErr w:type="spellEnd"/>
      <w:r w:rsidRPr="003E6E56">
        <w:t xml:space="preserve"> tai ovat hyödyntäneet sitä vain vähän, myös niihin, joissa on meneillään merkittäviä rakenneuudistusprosesseja ja työntekijöiden vähennyksiä, jotta voidaan parantaa tietämystä </w:t>
      </w:r>
      <w:proofErr w:type="spellStart"/>
      <w:r w:rsidRPr="003E6E56">
        <w:t>EGR:stä</w:t>
      </w:r>
      <w:proofErr w:type="spellEnd"/>
      <w:r w:rsidRPr="003E6E56">
        <w:t xml:space="preserve"> ja helpottaa </w:t>
      </w:r>
      <w:proofErr w:type="spellStart"/>
      <w:r w:rsidRPr="003E6E56">
        <w:t>EGR:stä</w:t>
      </w:r>
      <w:proofErr w:type="spellEnd"/>
      <w:r w:rsidRPr="003E6E56">
        <w:t xml:space="preserve"> annettavan tuen saantia;</w:t>
      </w:r>
    </w:p>
    <w:p w14:paraId="5A7CC534" w14:textId="77777777" w:rsidR="007748D3" w:rsidRPr="003E6E56" w:rsidRDefault="007748D3" w:rsidP="001E35B2">
      <w:pPr>
        <w:pStyle w:val="NormalHanging12a"/>
        <w:widowControl/>
        <w:rPr>
          <w:bCs/>
          <w:iCs/>
        </w:rPr>
      </w:pPr>
      <w:r w:rsidRPr="003E6E56">
        <w:rPr>
          <w:bdr w:val="none" w:sz="0" w:space="0" w:color="auto" w:frame="1"/>
        </w:rPr>
        <w:t>4.</w:t>
      </w:r>
      <w:r w:rsidRPr="003E6E56">
        <w:rPr>
          <w:bdr w:val="none" w:sz="0" w:space="0" w:color="auto" w:frame="1"/>
        </w:rPr>
        <w:tab/>
        <w:t xml:space="preserve">korostaa tarvetta yksinkertaistaa edelleen </w:t>
      </w:r>
      <w:proofErr w:type="spellStart"/>
      <w:r w:rsidRPr="003E6E56">
        <w:rPr>
          <w:bdr w:val="none" w:sz="0" w:space="0" w:color="auto" w:frame="1"/>
        </w:rPr>
        <w:t>EGR:n</w:t>
      </w:r>
      <w:proofErr w:type="spellEnd"/>
      <w:r w:rsidRPr="003E6E56">
        <w:rPr>
          <w:bdr w:val="none" w:sz="0" w:space="0" w:color="auto" w:frame="1"/>
        </w:rPr>
        <w:t xml:space="preserve"> hakumenettelyä; pitää tässä yhteydessä myönteisenä sähköisen tiedonvaihtojärjestelmän ylläpitoa ja komission toimia vakiomenettelyjen aikaansaamiseksi </w:t>
      </w:r>
      <w:proofErr w:type="spellStart"/>
      <w:r w:rsidRPr="003E6E56">
        <w:rPr>
          <w:bdr w:val="none" w:sz="0" w:space="0" w:color="auto" w:frame="1"/>
        </w:rPr>
        <w:t>EGR:n</w:t>
      </w:r>
      <w:proofErr w:type="spellEnd"/>
      <w:r w:rsidRPr="003E6E56">
        <w:rPr>
          <w:bdr w:val="none" w:sz="0" w:space="0" w:color="auto" w:frame="1"/>
        </w:rPr>
        <w:t xml:space="preserve"> hakemuksia varten;</w:t>
      </w:r>
      <w:r w:rsidRPr="003E6E56">
        <w:t xml:space="preserve"> kehottaa komissiota jatkamaan hallinnollisten rasitteiden vähentämistä ja lyhentämään edelleen tuen hakemisen ja edunsaajille toimittamisen välistä aikaa sekä varmistamaan samalla täyden avoimuuden ja yhtenä budjettivallan käyttäjänä toimivan Euroopan parlamentin talousarviovalvonnan;</w:t>
      </w:r>
    </w:p>
    <w:p w14:paraId="7FA63880" w14:textId="77777777" w:rsidR="007748D3" w:rsidRPr="003E6E56" w:rsidRDefault="007748D3" w:rsidP="001E35B2">
      <w:pPr>
        <w:pStyle w:val="NormalHanging12a"/>
        <w:widowControl/>
        <w:rPr>
          <w:bCs/>
          <w:iCs/>
        </w:rPr>
      </w:pPr>
      <w:r w:rsidRPr="003E6E56">
        <w:t>5.</w:t>
      </w:r>
      <w:r w:rsidRPr="003E6E56">
        <w:tab/>
        <w:t xml:space="preserve">korostaa, että on tärkeää varmistaa, että joukkoirtisanomisista sekä yritysten sulkemisista ja toiminnan siirtämisestä kärsivät työntekijät voivat löytää työtä ja uusia mahdollisuuksia; korostaa siksi, että </w:t>
      </w:r>
      <w:proofErr w:type="spellStart"/>
      <w:r w:rsidRPr="003E6E56">
        <w:t>EGR:ssä</w:t>
      </w:r>
      <w:proofErr w:type="spellEnd"/>
      <w:r w:rsidRPr="003E6E56">
        <w:t xml:space="preserve"> olisi edelleen asetettava etusijalle työttömiksi jääneiden työntekijöiden koulutus- ja uudelleenkoulutustoimenpiteet ja tarjottava koulutusväyliä ja osaamista, jotka helpottavat heidän paluutaan työmarkkinoille; korostaa, että </w:t>
      </w:r>
      <w:proofErr w:type="spellStart"/>
      <w:r w:rsidRPr="003E6E56">
        <w:t>EGR:n</w:t>
      </w:r>
      <w:proofErr w:type="spellEnd"/>
      <w:r w:rsidRPr="003E6E56">
        <w:t xml:space="preserve"> vaikutustenarvioinneissa olisi keskityttävä mittaamaan edunsaajien integroitumista uudelleen työelämään ja tarjotun koulutuksen tehokkuutta, jotta koulutusväyliä ja tukitoimenpiteitä voidaan jatkuvasti parantaa ja mukauttaa ajan mittaan;</w:t>
      </w:r>
    </w:p>
    <w:p w14:paraId="26D273D2" w14:textId="77777777" w:rsidR="007748D3" w:rsidRPr="003E6E56" w:rsidRDefault="007748D3" w:rsidP="001E35B2">
      <w:pPr>
        <w:pStyle w:val="NormalHanging12a"/>
        <w:widowControl/>
        <w:rPr>
          <w:noProof/>
        </w:rPr>
      </w:pPr>
      <w:r w:rsidRPr="003E6E56">
        <w:t>6.</w:t>
      </w:r>
      <w:r w:rsidRPr="003E6E56">
        <w:tab/>
        <w:t>suhtautuu myönteisesti toimiin, joilla lisätään jäsenvaltioiden, työmarkkinaosapuolten ja yritysten tietoisuutta EGR-asetukseen tehtävistä muutoksista, joihin sisältyy mahdollisuus tarjota tukea myös työntekijöille, joita uhkaa välitön irtisanominen rakenneuudistusten kohteena olevassa yrityksessä;</w:t>
      </w:r>
    </w:p>
    <w:p w14:paraId="72B219BA" w14:textId="77777777" w:rsidR="007748D3" w:rsidRPr="003E6E56" w:rsidRDefault="007748D3" w:rsidP="001E35B2">
      <w:pPr>
        <w:pStyle w:val="NormalHanging12a"/>
        <w:widowControl/>
        <w:rPr>
          <w:bdr w:val="none" w:sz="0" w:space="0" w:color="auto" w:frame="1"/>
        </w:rPr>
      </w:pPr>
      <w:r w:rsidRPr="003E6E56">
        <w:t>7.</w:t>
      </w:r>
      <w:r w:rsidRPr="003E6E56">
        <w:tab/>
        <w:t>korostaa, että teknisestä avusta rahoitettavia menoja olisi seurattava tarkasti ja arvioitava säännöllisesti, jotta voidaan varmistaa moitteeton varainhoito, kustannustehokkuus ja konkreettinen lisäarvo jäsenvaltioille ja edunsaajille; kehottaa komissiota antamaan yksityiskohtaisia tietoja teknisen avun resurssien käytöstä ja rahoitetuilla toimilla saavutetuista konkreettisista tuloksista;</w:t>
      </w:r>
    </w:p>
    <w:p w14:paraId="3709F40F" w14:textId="77777777" w:rsidR="007748D3" w:rsidRPr="003E6E56" w:rsidRDefault="007748D3" w:rsidP="001E35B2">
      <w:pPr>
        <w:widowControl/>
        <w:spacing w:after="240"/>
        <w:ind w:left="567" w:hanging="567"/>
      </w:pPr>
      <w:r w:rsidRPr="003E6E56">
        <w:t>8.</w:t>
      </w:r>
      <w:r w:rsidRPr="003E6E56">
        <w:tab/>
        <w:t>hyväksyy tämän päätöslauselman liitteenä olevan päätöksen;</w:t>
      </w:r>
    </w:p>
    <w:p w14:paraId="13E4C29C" w14:textId="77777777" w:rsidR="007748D3" w:rsidRPr="003E6E56" w:rsidRDefault="007748D3" w:rsidP="001E35B2">
      <w:pPr>
        <w:widowControl/>
        <w:spacing w:after="240"/>
        <w:ind w:left="567" w:hanging="567"/>
        <w:rPr>
          <w:bdr w:val="none" w:sz="0" w:space="0" w:color="auto" w:frame="1"/>
        </w:rPr>
      </w:pPr>
      <w:r w:rsidRPr="003E6E56">
        <w:lastRenderedPageBreak/>
        <w:t>9.</w:t>
      </w:r>
      <w:r w:rsidRPr="003E6E56">
        <w:tab/>
      </w:r>
      <w:r w:rsidRPr="003E6E56">
        <w:rPr>
          <w:bdr w:val="none" w:sz="0" w:space="0" w:color="auto" w:frame="1"/>
        </w:rPr>
        <w:t xml:space="preserve">kehottaa puhemiestä allekirjoittamaan päätöksen neuvoston puheenjohtajan kanssa ja huolehtimaan sen julkaisemisesta </w:t>
      </w:r>
      <w:r w:rsidRPr="003E6E56">
        <w:rPr>
          <w:i/>
          <w:iCs/>
          <w:bdr w:val="none" w:sz="0" w:space="0" w:color="auto" w:frame="1"/>
        </w:rPr>
        <w:t>Euroopan unionin virallisessa lehdessä</w:t>
      </w:r>
      <w:r w:rsidRPr="003E6E56">
        <w:rPr>
          <w:bdr w:val="none" w:sz="0" w:space="0" w:color="auto" w:frame="1"/>
        </w:rPr>
        <w:t>;</w:t>
      </w:r>
    </w:p>
    <w:p w14:paraId="15EA2C37" w14:textId="3B7C884F" w:rsidR="007748D3" w:rsidRPr="003E6E56" w:rsidRDefault="007748D3" w:rsidP="007A1478">
      <w:pPr>
        <w:pStyle w:val="NormalHanging12a"/>
        <w:widowControl/>
        <w:rPr>
          <w:noProof/>
        </w:rPr>
      </w:pPr>
      <w:r w:rsidRPr="003E6E56">
        <w:t>10.</w:t>
      </w:r>
      <w:r w:rsidRPr="003E6E56">
        <w:tab/>
      </w:r>
      <w:r w:rsidRPr="003E6E56">
        <w:rPr>
          <w:bdr w:val="none" w:sz="0" w:space="0" w:color="auto" w:frame="1"/>
        </w:rPr>
        <w:t>kehottaa puhemiestä välittämään tämän päätöslauselman liitteineen neuvostolle ja komissiolle.</w:t>
      </w:r>
    </w:p>
    <w:p w14:paraId="53AEFC71" w14:textId="77777777" w:rsidR="007748D3" w:rsidRPr="003E6E56" w:rsidRDefault="007748D3" w:rsidP="001E35B2">
      <w:pPr>
        <w:pStyle w:val="PageHeading"/>
        <w:widowControl/>
        <w:rPr>
          <w:noProof/>
        </w:rPr>
        <w:sectPr w:rsidR="007748D3" w:rsidRPr="003E6E56" w:rsidSect="003E6E56">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B17594F" w14:textId="77777777" w:rsidR="007748D3" w:rsidRPr="003E6E56" w:rsidRDefault="007748D3" w:rsidP="001E35B2">
      <w:pPr>
        <w:pStyle w:val="PageHeading"/>
        <w:widowControl/>
        <w:rPr>
          <w:noProof/>
        </w:rPr>
      </w:pPr>
      <w:bookmarkStart w:id="8" w:name="_Toc233730550"/>
      <w:r w:rsidRPr="003E6E56">
        <w:lastRenderedPageBreak/>
        <w:t>LIITE: EUROOPAN PARLAMENTIN JA NEUVOSTON PÄÄTÖS</w:t>
      </w:r>
      <w:bookmarkEnd w:id="8"/>
    </w:p>
    <w:p w14:paraId="49CA18DF" w14:textId="11D7D88F" w:rsidR="007748D3" w:rsidRPr="003E6E56" w:rsidRDefault="007748D3" w:rsidP="001E35B2">
      <w:pPr>
        <w:widowControl/>
        <w:rPr>
          <w:b/>
          <w:bCs/>
          <w:noProof/>
        </w:rPr>
      </w:pPr>
      <w:r w:rsidRPr="003E6E56">
        <w:rPr>
          <w:b/>
        </w:rPr>
        <w:t>työttömiksi jääneitä työntekijöitä tukevan Euroopan globalisaatiorahaston varojen käyttöönotosta komission aloitteesta (EGF/2026/000 TA 2026 – Tekninen apu)</w:t>
      </w:r>
    </w:p>
    <w:p w14:paraId="6928EF83" w14:textId="77777777" w:rsidR="007748D3" w:rsidRPr="003E6E56" w:rsidRDefault="007748D3" w:rsidP="000D7C94">
      <w:pPr>
        <w:pStyle w:val="Institutionquiagit"/>
        <w:keepNext w:val="0"/>
        <w:rPr>
          <w:noProof/>
        </w:rPr>
      </w:pPr>
      <w:r w:rsidRPr="003E6E56">
        <w:t>EUROOPAN PARLAMENTTI JA EUROOPAN UNIONIN NEUVOSTO, jotka</w:t>
      </w:r>
    </w:p>
    <w:p w14:paraId="62795FE3" w14:textId="77777777" w:rsidR="007748D3" w:rsidRPr="003E6E56" w:rsidRDefault="007748D3" w:rsidP="000D7C94">
      <w:pPr>
        <w:widowControl/>
        <w:spacing w:before="120" w:after="120" w:line="360" w:lineRule="auto"/>
      </w:pPr>
      <w:r w:rsidRPr="003E6E56">
        <w:t>ottavat huomioon Euroopan unionin toiminnasta tehdyn sopimuksen,</w:t>
      </w:r>
    </w:p>
    <w:p w14:paraId="6560657F" w14:textId="77777777" w:rsidR="007748D3" w:rsidRPr="003E6E56" w:rsidRDefault="007748D3" w:rsidP="000D7C94">
      <w:pPr>
        <w:widowControl/>
        <w:spacing w:before="120" w:after="120" w:line="360" w:lineRule="auto"/>
      </w:pPr>
      <w:r w:rsidRPr="003E6E56">
        <w:t>ottavat huomioon Euroopan globalisaatiorahastosta (EGR) työttömiksi jääneille työntekijöille ja asetuksen (EU) N:o 1309/2013 kumoamisesta 28 päivänä huhtikuuta 2021 annetun Euroopan parlamentin ja neuvoston asetuksen (EU) 2021/691</w:t>
      </w:r>
      <w:r w:rsidRPr="003E6E56">
        <w:rPr>
          <w:b/>
          <w:bCs/>
          <w:vertAlign w:val="superscript"/>
        </w:rPr>
        <w:footnoteReference w:id="6"/>
      </w:r>
      <w:r w:rsidRPr="003E6E56">
        <w:t xml:space="preserve"> ja erityisesti sen 15 artiklan 1 kohdan ensimmäisen alakohdan,</w:t>
      </w:r>
    </w:p>
    <w:p w14:paraId="3E22B7C4" w14:textId="77777777" w:rsidR="007748D3" w:rsidRPr="003E6E56" w:rsidRDefault="007748D3" w:rsidP="000D7C94">
      <w:pPr>
        <w:widowControl/>
        <w:spacing w:before="120" w:after="120" w:line="360" w:lineRule="auto"/>
      </w:pPr>
      <w:r w:rsidRPr="003E6E56">
        <w:t>ottavat huomioon talousarviota koskevasta kurinalaisuudesta, talousarvioyhteistyöstä ja moitteettomasta varainhoidosta sekä uusista omista varoista, mukaan lukien etenemissuunnitelma uusien omien varojen käyttöönottamiseksi, 16 päivänä joulukuuta 2020 tehdyn Euroopan parlamentin, Euroopan unionin neuvoston ja Euroopan komission välisen toimielinten sopimuksen</w:t>
      </w:r>
      <w:r w:rsidRPr="003E6E56">
        <w:rPr>
          <w:b/>
          <w:bCs/>
          <w:vertAlign w:val="superscript"/>
        </w:rPr>
        <w:footnoteReference w:id="7"/>
      </w:r>
      <w:r w:rsidRPr="003E6E56">
        <w:t xml:space="preserve"> ja erityisesti sen 9 kohdan,</w:t>
      </w:r>
    </w:p>
    <w:p w14:paraId="54F0B2FE" w14:textId="77777777" w:rsidR="007748D3" w:rsidRPr="003E6E56" w:rsidRDefault="007748D3" w:rsidP="000D7C94">
      <w:pPr>
        <w:widowControl/>
        <w:spacing w:before="120" w:after="120" w:line="360" w:lineRule="auto"/>
        <w:rPr>
          <w:noProof/>
        </w:rPr>
      </w:pPr>
      <w:r w:rsidRPr="003E6E56">
        <w:t>ottavat huomioon Euroopan komission ehdotuksen,</w:t>
      </w:r>
    </w:p>
    <w:p w14:paraId="310F9D7B" w14:textId="77777777" w:rsidR="007748D3" w:rsidRPr="003E6E56" w:rsidRDefault="007748D3" w:rsidP="000D7C94">
      <w:pPr>
        <w:widowControl/>
        <w:spacing w:before="120" w:after="120" w:line="360" w:lineRule="auto"/>
        <w:rPr>
          <w:noProof/>
        </w:rPr>
      </w:pPr>
      <w:r w:rsidRPr="003E6E56">
        <w:t>sekä katsovat seuraavaa:</w:t>
      </w:r>
    </w:p>
    <w:p w14:paraId="3F193E0B" w14:textId="77777777" w:rsidR="007748D3" w:rsidRPr="003E6E56" w:rsidRDefault="007748D3" w:rsidP="000D7C94">
      <w:pPr>
        <w:pStyle w:val="ManualConsidrant"/>
        <w:ind w:left="567" w:hanging="567"/>
        <w:rPr>
          <w:noProof/>
        </w:rPr>
      </w:pPr>
      <w:r w:rsidRPr="003E6E56">
        <w:t>(1)</w:t>
      </w:r>
      <w:r w:rsidRPr="003E6E56">
        <w:tab/>
        <w:t>Euroopan globalisaatiorahasto (EGR) työttömiksi jääneille työntekijöille pyrkii osoittamaan solidaarisuutta ja edistämään ihmisarvoista ja kestävää työllisyyttä unionissa tarjoamalla tukea suurten rakenteellisten muutosten vuoksi työttömiksi jääneille työntekijöille ja itsenäisille ammatinharjoittajille, joiden työskentely on loppunut, ja auttamalla heitä palaamaan ihmisarvoiseen ja kestävään työhön mahdollisimman nopeasti.</w:t>
      </w:r>
    </w:p>
    <w:p w14:paraId="466DF4FA" w14:textId="77777777" w:rsidR="007748D3" w:rsidRPr="003E6E56" w:rsidRDefault="007748D3" w:rsidP="001E35B2">
      <w:pPr>
        <w:pStyle w:val="ManualConsidrant"/>
        <w:ind w:left="567" w:hanging="567"/>
      </w:pPr>
      <w:r w:rsidRPr="003E6E56">
        <w:t>(2)</w:t>
      </w:r>
      <w:r w:rsidRPr="003E6E56">
        <w:tab/>
        <w:t>EGR ei saa ylittää 30 miljoonan euron vuotuista enimmäismäärää (vuoden 2018 hintoina), kuten neuvoston asetuksen (EU, Euratom) 2020/2093</w:t>
      </w:r>
      <w:r w:rsidRPr="003E6E56">
        <w:rPr>
          <w:b/>
          <w:bCs/>
          <w:vertAlign w:val="superscript"/>
        </w:rPr>
        <w:footnoteReference w:id="8"/>
      </w:r>
      <w:r w:rsidRPr="003E6E56">
        <w:t xml:space="preserve"> 8 artiklassa, sellaisena </w:t>
      </w:r>
      <w:r w:rsidRPr="003E6E56">
        <w:lastRenderedPageBreak/>
        <w:t>kuin se on muutettuna neuvoston asetuksella (EU, Euratom) 2024/765</w:t>
      </w:r>
      <w:r w:rsidRPr="003E6E56">
        <w:rPr>
          <w:b/>
          <w:bCs/>
          <w:vertAlign w:val="superscript"/>
        </w:rPr>
        <w:footnoteReference w:id="9"/>
      </w:r>
      <w:r w:rsidRPr="003E6E56">
        <w:t>, ja asetuksen (EU) 2021/691 16 artiklassa säädetään.</w:t>
      </w:r>
    </w:p>
    <w:p w14:paraId="035BF184" w14:textId="77777777" w:rsidR="007748D3" w:rsidRPr="003E6E56" w:rsidRDefault="007748D3" w:rsidP="001E35B2">
      <w:pPr>
        <w:pStyle w:val="ManualConsidrant"/>
        <w:ind w:left="567" w:hanging="567"/>
      </w:pPr>
      <w:r w:rsidRPr="003E6E56">
        <w:t>(3)</w:t>
      </w:r>
      <w:r w:rsidRPr="003E6E56">
        <w:tab/>
        <w:t xml:space="preserve">Asetuksen (EU) 2021/691 mukaan enintään 1,5 prosenttia </w:t>
      </w:r>
      <w:proofErr w:type="spellStart"/>
      <w:r w:rsidRPr="003E6E56">
        <w:t>EGR:n</w:t>
      </w:r>
      <w:proofErr w:type="spellEnd"/>
      <w:r w:rsidRPr="003E6E56">
        <w:t xml:space="preserve"> vuotuisesta enimmäismäärästä voidaan käyttää vuosittain komission aloitteesta annettavaan tekniseen apuun.</w:t>
      </w:r>
    </w:p>
    <w:p w14:paraId="794D0E7F" w14:textId="77777777" w:rsidR="007748D3" w:rsidRPr="003E6E56" w:rsidRDefault="007748D3" w:rsidP="001E35B2">
      <w:pPr>
        <w:pStyle w:val="ManualConsidrant"/>
        <w:ind w:left="567" w:hanging="567"/>
        <w:rPr>
          <w:noProof/>
        </w:rPr>
      </w:pPr>
      <w:r w:rsidRPr="003E6E56">
        <w:t>(4)</w:t>
      </w:r>
      <w:r w:rsidRPr="003E6E56">
        <w:tab/>
        <w:t xml:space="preserve">Tämä apu on tarpeen, jotta voidaan täyttää asetuksen (EU) 2021/691 11 artiklassa säädetyt </w:t>
      </w:r>
      <w:proofErr w:type="spellStart"/>
      <w:r w:rsidRPr="003E6E56">
        <w:t>EGR:n</w:t>
      </w:r>
      <w:proofErr w:type="spellEnd"/>
      <w:r w:rsidRPr="003E6E56">
        <w:t xml:space="preserve"> toteuttamiseen liittyvät velvoitteet, jotka koskevat erityisesti seurantaa ja tiedonkeruuta sekä viestintätoimia ja </w:t>
      </w:r>
      <w:proofErr w:type="spellStart"/>
      <w:r w:rsidRPr="003E6E56">
        <w:t>EGR:n</w:t>
      </w:r>
      <w:proofErr w:type="spellEnd"/>
      <w:r w:rsidRPr="003E6E56">
        <w:t xml:space="preserve"> näkyvyyttä lisääviä toimia.</w:t>
      </w:r>
    </w:p>
    <w:p w14:paraId="1C320B29" w14:textId="77777777" w:rsidR="007748D3" w:rsidRPr="003E6E56" w:rsidRDefault="007748D3" w:rsidP="001E35B2">
      <w:pPr>
        <w:pStyle w:val="ManualConsidrant"/>
        <w:ind w:left="567" w:hanging="567"/>
        <w:rPr>
          <w:noProof/>
        </w:rPr>
      </w:pPr>
      <w:r w:rsidRPr="003E6E56">
        <w:t>(5)</w:t>
      </w:r>
      <w:r w:rsidRPr="003E6E56">
        <w:tab/>
      </w:r>
      <w:proofErr w:type="spellStart"/>
      <w:r w:rsidRPr="003E6E56">
        <w:t>EGR:stä</w:t>
      </w:r>
      <w:proofErr w:type="spellEnd"/>
      <w:r w:rsidRPr="003E6E56">
        <w:t xml:space="preserve"> olisi sen vuoksi otettava käyttöön 210 000 euroa teknisen avun antamiseksi komission aloitteesta,</w:t>
      </w:r>
    </w:p>
    <w:p w14:paraId="46E2E276" w14:textId="77777777" w:rsidR="007748D3" w:rsidRPr="003E6E56" w:rsidRDefault="007748D3" w:rsidP="001E35B2">
      <w:pPr>
        <w:pStyle w:val="Formuledadoption"/>
        <w:keepNext w:val="0"/>
      </w:pPr>
      <w:r w:rsidRPr="003E6E56">
        <w:t>OVAT HYVÄKSYNEET TÄMÄN PÄÄTÖKSEN:</w:t>
      </w:r>
      <w:r w:rsidRPr="003E6E56">
        <w:tab/>
      </w:r>
    </w:p>
    <w:p w14:paraId="0916960C" w14:textId="77777777" w:rsidR="007748D3" w:rsidRPr="003E6E56" w:rsidRDefault="007748D3" w:rsidP="001E35B2">
      <w:pPr>
        <w:pStyle w:val="Titrearticle"/>
        <w:keepNext w:val="0"/>
        <w:rPr>
          <w:noProof/>
        </w:rPr>
      </w:pPr>
      <w:r w:rsidRPr="003E6E56">
        <w:t>1 artikla</w:t>
      </w:r>
    </w:p>
    <w:p w14:paraId="42870148" w14:textId="77777777" w:rsidR="007748D3" w:rsidRPr="003E6E56" w:rsidRDefault="007748D3" w:rsidP="007A1478">
      <w:pPr>
        <w:widowControl/>
        <w:spacing w:line="360" w:lineRule="auto"/>
        <w:rPr>
          <w:noProof/>
        </w:rPr>
      </w:pPr>
      <w:r w:rsidRPr="003E6E56">
        <w:t>Otetaan työttömiksi jääneitä työntekijöitä tukevasta Euroopan globalisaatiorahastosta käyttöön 210 000 euroa maksusitoumusmäärärahoina ja maksumäärärahoina osana varainhoitovuotta 2026 koskevaa unionin yleistä talousarviota.</w:t>
      </w:r>
    </w:p>
    <w:p w14:paraId="50490677" w14:textId="77777777" w:rsidR="007748D3" w:rsidRPr="003E6E56" w:rsidRDefault="007748D3" w:rsidP="001E35B2">
      <w:pPr>
        <w:pStyle w:val="Titrearticle"/>
        <w:rPr>
          <w:noProof/>
        </w:rPr>
      </w:pPr>
      <w:r w:rsidRPr="003E6E56">
        <w:t>2 artikla</w:t>
      </w:r>
    </w:p>
    <w:p w14:paraId="1C89DEDF" w14:textId="77777777" w:rsidR="007748D3" w:rsidRPr="003E6E56" w:rsidRDefault="007748D3" w:rsidP="007A1478">
      <w:pPr>
        <w:keepNext/>
        <w:keepLines/>
        <w:widowControl/>
        <w:spacing w:line="360" w:lineRule="auto"/>
        <w:rPr>
          <w:noProof/>
        </w:rPr>
      </w:pPr>
      <w:r w:rsidRPr="003E6E56">
        <w:t xml:space="preserve">Tämä päätös tulee voimaan sinä päivänä, jona se julkaistaan </w:t>
      </w:r>
      <w:r w:rsidRPr="003E6E56">
        <w:rPr>
          <w:i/>
        </w:rPr>
        <w:t>Euroopan unionin virallisessa lehdessä</w:t>
      </w:r>
      <w:r w:rsidRPr="003E6E56">
        <w:t>.</w:t>
      </w:r>
    </w:p>
    <w:p w14:paraId="7037CA1B" w14:textId="1830C8A9" w:rsidR="007748D3" w:rsidRPr="003E6E56" w:rsidRDefault="007748D3" w:rsidP="007A1478">
      <w:pPr>
        <w:pStyle w:val="Fait"/>
        <w:rPr>
          <w:noProof/>
        </w:rPr>
      </w:pPr>
      <w:r w:rsidRPr="003E6E56">
        <w:t xml:space="preserve">Tehty </w:t>
      </w:r>
    </w:p>
    <w:p w14:paraId="27515762" w14:textId="77777777" w:rsidR="007748D3" w:rsidRPr="003E6E56" w:rsidRDefault="007748D3" w:rsidP="007A1478">
      <w:pPr>
        <w:pStyle w:val="Institutionquisigne"/>
        <w:tabs>
          <w:tab w:val="clear" w:pos="5669"/>
          <w:tab w:val="left" w:pos="5670"/>
        </w:tabs>
        <w:rPr>
          <w:noProof/>
        </w:rPr>
      </w:pPr>
      <w:r w:rsidRPr="003E6E56">
        <w:t>Euroopan parlamentin puolesta</w:t>
      </w:r>
      <w:r w:rsidRPr="003E6E56">
        <w:tab/>
        <w:t>Neuvoston puolesta</w:t>
      </w:r>
    </w:p>
    <w:p w14:paraId="769221E4" w14:textId="5AF10373" w:rsidR="003E6E56" w:rsidRPr="003E6E56" w:rsidRDefault="007748D3" w:rsidP="007A1478">
      <w:pPr>
        <w:pStyle w:val="Personnequisigne"/>
        <w:tabs>
          <w:tab w:val="clear" w:pos="5669"/>
          <w:tab w:val="left" w:pos="5670"/>
        </w:tabs>
      </w:pPr>
      <w:r w:rsidRPr="003E6E56">
        <w:t>Puhemies</w:t>
      </w:r>
      <w:r w:rsidRPr="003E6E56">
        <w:tab/>
        <w:t>Puheenjohtaja</w:t>
      </w:r>
    </w:p>
    <w:p w14:paraId="59712232" w14:textId="26E8BE97" w:rsidR="00E365E1" w:rsidRPr="003E6E56" w:rsidRDefault="00E365E1" w:rsidP="001E35B2">
      <w:pPr>
        <w:widowControl/>
      </w:pPr>
    </w:p>
    <w:sectPr w:rsidR="00E365E1" w:rsidRPr="003E6E56" w:rsidSect="003E6E56">
      <w:headerReference w:type="even" r:id="rId11"/>
      <w:headerReference w:type="default" r:id="rId12"/>
      <w:footerReference w:type="even"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328E04" w14:textId="77777777" w:rsidR="00842174" w:rsidRPr="003E6E56" w:rsidRDefault="00842174">
      <w:r w:rsidRPr="003E6E56">
        <w:separator/>
      </w:r>
    </w:p>
  </w:endnote>
  <w:endnote w:type="continuationSeparator" w:id="0">
    <w:p w14:paraId="15E1F06E" w14:textId="77777777" w:rsidR="00842174" w:rsidRPr="003E6E56" w:rsidRDefault="00842174">
      <w:r w:rsidRPr="003E6E5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F48E4" w14:textId="77777777" w:rsidR="007748D3" w:rsidRPr="003E6E56" w:rsidRDefault="007748D3" w:rsidP="008332D8">
    <w:pPr>
      <w:pStyle w:val="EPFooter"/>
    </w:pPr>
    <w:r w:rsidRPr="003E6E56">
      <w:t>PE</w:t>
    </w:r>
    <w:r w:rsidRPr="003E6E56">
      <w:rPr>
        <w:rStyle w:val="HideTWBExt"/>
      </w:rPr>
      <w:t>&lt;NoPE&gt;</w:t>
    </w:r>
    <w:r w:rsidRPr="003E6E56">
      <w:t>789.086</w:t>
    </w:r>
    <w:r w:rsidRPr="003E6E56">
      <w:rPr>
        <w:rStyle w:val="HideTWBExt"/>
      </w:rPr>
      <w:t>&lt;/NoPE&gt;&lt;Version&gt;</w:t>
    </w:r>
    <w:r w:rsidRPr="003E6E56">
      <w:t>v02-00</w:t>
    </w:r>
    <w:r w:rsidRPr="003E6E56">
      <w:rPr>
        <w:rStyle w:val="HideTWBExt"/>
      </w:rPr>
      <w:t>&lt;/Version&gt;</w:t>
    </w:r>
    <w:r w:rsidRPr="003E6E56">
      <w:tab/>
    </w:r>
    <w:r w:rsidRPr="003E6E56">
      <w:fldChar w:fldCharType="begin"/>
    </w:r>
    <w:r w:rsidRPr="003E6E56">
      <w:instrText xml:space="preserve"> PAGE  \* MERGEFORMAT </w:instrText>
    </w:r>
    <w:r w:rsidRPr="003E6E56">
      <w:fldChar w:fldCharType="separate"/>
    </w:r>
    <w:r w:rsidRPr="003E6E56">
      <w:rPr>
        <w:noProof/>
      </w:rPr>
      <w:t>2</w:t>
    </w:r>
    <w:r w:rsidRPr="003E6E56">
      <w:fldChar w:fldCharType="end"/>
    </w:r>
    <w:r w:rsidRPr="003E6E56">
      <w:t>/</w:t>
    </w:r>
    <w:fldSimple w:instr=" NUMPAGES  \* MERGEFORMAT ">
      <w:r w:rsidRPr="003E6E56">
        <w:rPr>
          <w:noProof/>
        </w:rPr>
        <w:t>13</w:t>
      </w:r>
    </w:fldSimple>
    <w:r w:rsidRPr="003E6E56">
      <w:tab/>
    </w:r>
    <w:r w:rsidRPr="003E6E56">
      <w:rPr>
        <w:rStyle w:val="HideTWBExt"/>
      </w:rPr>
      <w:t>&lt;PathFdR&gt;</w:t>
    </w:r>
    <w:r w:rsidRPr="003E6E56">
      <w:t>RR\1346613FI.docx</w:t>
    </w:r>
    <w:r w:rsidRPr="003E6E56">
      <w:rPr>
        <w:rStyle w:val="HideTWBExt"/>
      </w:rPr>
      <w:t>&lt;/PathFdR&gt;</w:t>
    </w:r>
  </w:p>
  <w:p w14:paraId="57DC1750" w14:textId="77777777" w:rsidR="007748D3" w:rsidRPr="003E6E56" w:rsidRDefault="007748D3" w:rsidP="008332D8">
    <w:pPr>
      <w:pStyle w:val="EPFooter2"/>
    </w:pPr>
    <w:r w:rsidRPr="003E6E56">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5305A" w14:textId="77777777" w:rsidR="007748D3" w:rsidRPr="003E6E56" w:rsidRDefault="007748D3" w:rsidP="008332D8">
    <w:pPr>
      <w:pStyle w:val="EPFooter"/>
    </w:pPr>
    <w:r w:rsidRPr="003E6E56">
      <w:rPr>
        <w:rStyle w:val="HideTWBExt"/>
      </w:rPr>
      <w:t>&lt;PathFdR&gt;</w:t>
    </w:r>
    <w:r w:rsidRPr="003E6E56">
      <w:t>RR\1346613FI.docx</w:t>
    </w:r>
    <w:r w:rsidRPr="003E6E56">
      <w:rPr>
        <w:rStyle w:val="HideTWBExt"/>
      </w:rPr>
      <w:t>&lt;/PathFdR&gt;</w:t>
    </w:r>
    <w:r w:rsidRPr="003E6E56">
      <w:tab/>
    </w:r>
    <w:r w:rsidRPr="003E6E56">
      <w:tab/>
      <w:t>PE</w:t>
    </w:r>
    <w:r w:rsidRPr="003E6E56">
      <w:rPr>
        <w:rStyle w:val="HideTWBExt"/>
      </w:rPr>
      <w:t>&lt;NoPE&gt;</w:t>
    </w:r>
    <w:r w:rsidRPr="003E6E56">
      <w:t>789.086</w:t>
    </w:r>
    <w:r w:rsidRPr="003E6E56">
      <w:rPr>
        <w:rStyle w:val="HideTWBExt"/>
      </w:rPr>
      <w:t>&lt;/NoPE&gt;&lt;Version&gt;</w:t>
    </w:r>
    <w:r w:rsidRPr="003E6E56">
      <w:t>v02-00</w:t>
    </w:r>
    <w:r w:rsidRPr="003E6E56">
      <w:rPr>
        <w:rStyle w:val="HideTWBExt"/>
      </w:rPr>
      <w:t>&lt;/Version&gt;</w:t>
    </w:r>
  </w:p>
  <w:p w14:paraId="15ACC7E3" w14:textId="77777777" w:rsidR="007748D3" w:rsidRPr="003E6E56" w:rsidRDefault="007748D3" w:rsidP="008332D8">
    <w:pPr>
      <w:pStyle w:val="EPFooter2"/>
    </w:pPr>
    <w:r w:rsidRPr="003E6E56">
      <w:t>FI</w:t>
    </w:r>
    <w:r w:rsidRPr="003E6E56">
      <w:tab/>
    </w:r>
    <w:r w:rsidRPr="003E6E56">
      <w:rPr>
        <w:b w:val="0"/>
        <w:i/>
        <w:color w:val="C0C0C0"/>
        <w:sz w:val="22"/>
      </w:rPr>
      <w:t>Moninaisuudessaan yhtenäinen</w:t>
    </w:r>
    <w:r w:rsidRPr="003E6E56">
      <w:tab/>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1527C" w14:textId="77777777" w:rsidR="00064002" w:rsidRPr="003E6E56"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E79D1" w14:textId="77777777" w:rsidR="00064002" w:rsidRPr="003E6E5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F11F20" w14:textId="77777777" w:rsidR="00842174" w:rsidRPr="003E6E56" w:rsidRDefault="00842174">
      <w:r w:rsidRPr="003E6E56">
        <w:separator/>
      </w:r>
    </w:p>
  </w:footnote>
  <w:footnote w:type="continuationSeparator" w:id="0">
    <w:p w14:paraId="6AEA4C12" w14:textId="77777777" w:rsidR="00842174" w:rsidRPr="003E6E56" w:rsidRDefault="00842174">
      <w:r w:rsidRPr="003E6E56">
        <w:continuationSeparator/>
      </w:r>
    </w:p>
  </w:footnote>
  <w:footnote w:id="1">
    <w:p w14:paraId="388092EA" w14:textId="01B25E53" w:rsidR="007748D3" w:rsidRPr="003E6E56" w:rsidRDefault="007748D3" w:rsidP="000D7C94">
      <w:pPr>
        <w:pStyle w:val="FootnoteText"/>
        <w:keepLines w:val="0"/>
        <w:ind w:left="567" w:hanging="567"/>
        <w:rPr>
          <w:sz w:val="24"/>
          <w:lang w:val="fi-FI"/>
        </w:rPr>
      </w:pPr>
      <w:r w:rsidRPr="003E6E56">
        <w:rPr>
          <w:rStyle w:val="FootnoteReference"/>
          <w:sz w:val="24"/>
          <w:lang w:val="fi-FI"/>
        </w:rPr>
        <w:footnoteRef/>
      </w:r>
      <w:r w:rsidR="003E6E56" w:rsidRPr="003E6E56">
        <w:rPr>
          <w:sz w:val="24"/>
          <w:lang w:val="fi-FI"/>
        </w:rPr>
        <w:t xml:space="preserve"> </w:t>
      </w:r>
      <w:r w:rsidR="003E6E56" w:rsidRPr="003E6E56">
        <w:rPr>
          <w:sz w:val="24"/>
          <w:lang w:val="fi-FI"/>
        </w:rPr>
        <w:tab/>
      </w:r>
      <w:r w:rsidRPr="003E6E56">
        <w:rPr>
          <w:sz w:val="24"/>
          <w:lang w:val="fi-FI"/>
        </w:rPr>
        <w:t xml:space="preserve">EUVL L 153, 3.5.2021, s. 48, </w:t>
      </w:r>
      <w:r w:rsidR="004D2A36" w:rsidRPr="006C53A4">
        <w:rPr>
          <w:sz w:val="24"/>
          <w:lang w:val="fi-FI"/>
        </w:rPr>
        <w:t xml:space="preserve">ELI: </w:t>
      </w:r>
      <w:hyperlink r:id="rId1" w:history="1">
        <w:r w:rsidR="004D2A36" w:rsidRPr="004D2A36">
          <w:rPr>
            <w:rStyle w:val="Hyperlink"/>
            <w:lang w:val="fi-FI"/>
          </w:rPr>
          <w:t>http://data.europa.eu/eli/reg/2021/691/oj</w:t>
        </w:r>
      </w:hyperlink>
      <w:r w:rsidRPr="003E6E56">
        <w:rPr>
          <w:color w:val="0070C0"/>
          <w:sz w:val="24"/>
          <w:lang w:val="fi-FI"/>
        </w:rPr>
        <w:t>.</w:t>
      </w:r>
    </w:p>
  </w:footnote>
  <w:footnote w:id="2">
    <w:p w14:paraId="3790EB68" w14:textId="78D4BA5A" w:rsidR="007748D3" w:rsidRPr="000D7C94" w:rsidRDefault="007748D3" w:rsidP="000D7C94">
      <w:pPr>
        <w:pStyle w:val="FootnoteText"/>
        <w:keepLines w:val="0"/>
        <w:ind w:left="567" w:hanging="567"/>
        <w:rPr>
          <w:sz w:val="24"/>
          <w:lang w:val="fr-BE"/>
        </w:rPr>
      </w:pPr>
      <w:r w:rsidRPr="003E6E56">
        <w:rPr>
          <w:rStyle w:val="FootnoteReference"/>
          <w:sz w:val="24"/>
          <w:lang w:val="fi-FI"/>
        </w:rPr>
        <w:footnoteRef/>
      </w:r>
      <w:r w:rsidR="003E6E56" w:rsidRPr="000D7C94">
        <w:rPr>
          <w:sz w:val="24"/>
          <w:lang w:val="fr-BE"/>
        </w:rPr>
        <w:t xml:space="preserve"> </w:t>
      </w:r>
      <w:r w:rsidR="003E6E56" w:rsidRPr="000D7C94">
        <w:rPr>
          <w:sz w:val="24"/>
          <w:lang w:val="fr-BE"/>
        </w:rPr>
        <w:tab/>
      </w:r>
      <w:r w:rsidRPr="000D7C94">
        <w:rPr>
          <w:sz w:val="24"/>
          <w:lang w:val="fr-BE"/>
        </w:rPr>
        <w:t>EUVL L, 2026/1139, 20.5.2026, ELI: </w:t>
      </w:r>
      <w:hyperlink r:id="rId2" w:tgtFrame="_blank" w:tooltip="Avaa asiakirjan ELI URI -osoitteen kautta." w:history="1">
        <w:r w:rsidRPr="000D7C94">
          <w:rPr>
            <w:rStyle w:val="Hyperlink"/>
            <w:color w:val="0070C0"/>
            <w:sz w:val="24"/>
            <w:lang w:val="fr-BE"/>
          </w:rPr>
          <w:t>http://data.europa.eu/eli/reg/2026/1139/oj</w:t>
        </w:r>
      </w:hyperlink>
      <w:r w:rsidRPr="000D7C94">
        <w:rPr>
          <w:color w:val="0070C0"/>
          <w:sz w:val="24"/>
          <w:lang w:val="fr-BE"/>
        </w:rPr>
        <w:t>.</w:t>
      </w:r>
    </w:p>
  </w:footnote>
  <w:footnote w:id="3">
    <w:p w14:paraId="4DA3CACC" w14:textId="145D8194" w:rsidR="007748D3" w:rsidRPr="003E6E56" w:rsidRDefault="007748D3" w:rsidP="000D7C94">
      <w:pPr>
        <w:widowControl/>
        <w:ind w:left="567" w:hanging="567"/>
      </w:pPr>
      <w:r w:rsidRPr="003E6E56">
        <w:rPr>
          <w:rStyle w:val="FootnoteReference"/>
        </w:rPr>
        <w:footnoteRef/>
      </w:r>
      <w:r w:rsidR="003E6E56" w:rsidRPr="003E6E56">
        <w:t xml:space="preserve"> </w:t>
      </w:r>
      <w:r w:rsidR="003E6E56" w:rsidRPr="003E6E56">
        <w:tab/>
      </w:r>
      <w:r w:rsidRPr="003E6E56">
        <w:t xml:space="preserve">EUVL L 433 I, 22.12.2020, s. 11, ELI: </w:t>
      </w:r>
      <w:hyperlink r:id="rId3" w:history="1">
        <w:r w:rsidRPr="003E6E56">
          <w:rPr>
            <w:rStyle w:val="Hyperlink"/>
            <w:color w:val="0070C0"/>
          </w:rPr>
          <w:t>http://data.europa.eu/eli/reg/2020/2093/oj</w:t>
        </w:r>
      </w:hyperlink>
      <w:r w:rsidRPr="003E6E56">
        <w:rPr>
          <w:color w:val="0070C0"/>
        </w:rPr>
        <w:t>.</w:t>
      </w:r>
    </w:p>
  </w:footnote>
  <w:footnote w:id="4">
    <w:p w14:paraId="1FA7E208" w14:textId="69D4B66D" w:rsidR="007748D3" w:rsidRPr="003E6E56" w:rsidRDefault="007748D3" w:rsidP="000D7C94">
      <w:pPr>
        <w:widowControl/>
        <w:ind w:left="567" w:hanging="567"/>
      </w:pPr>
      <w:r w:rsidRPr="003E6E56">
        <w:rPr>
          <w:rStyle w:val="FootnoteReference"/>
        </w:rPr>
        <w:footnoteRef/>
      </w:r>
      <w:r w:rsidR="003E6E56" w:rsidRPr="003E6E56">
        <w:t xml:space="preserve"> </w:t>
      </w:r>
      <w:r w:rsidR="003E6E56" w:rsidRPr="003E6E56">
        <w:tab/>
      </w:r>
      <w:r w:rsidRPr="003E6E56">
        <w:t xml:space="preserve">EUVL L, 2024/765, 29.2.2024, ELI: </w:t>
      </w:r>
      <w:hyperlink r:id="rId4" w:history="1">
        <w:r w:rsidRPr="003E6E56">
          <w:rPr>
            <w:rStyle w:val="Hyperlink"/>
          </w:rPr>
          <w:t>https://eur-lex.europa.eu/eli/reg/2024/765/oj</w:t>
        </w:r>
      </w:hyperlink>
      <w:r w:rsidRPr="003E6E56">
        <w:t>.</w:t>
      </w:r>
    </w:p>
  </w:footnote>
  <w:footnote w:id="5">
    <w:p w14:paraId="0697124B" w14:textId="374BE544" w:rsidR="007748D3" w:rsidRPr="003E6E56" w:rsidRDefault="007748D3" w:rsidP="000D7C94">
      <w:pPr>
        <w:pStyle w:val="FootnoteText"/>
        <w:keepLines w:val="0"/>
        <w:ind w:left="567" w:hanging="567"/>
        <w:rPr>
          <w:sz w:val="24"/>
          <w:lang w:val="fi-FI"/>
        </w:rPr>
      </w:pPr>
      <w:r w:rsidRPr="003E6E56">
        <w:rPr>
          <w:rStyle w:val="FootnoteReference"/>
          <w:sz w:val="24"/>
          <w:lang w:val="fi-FI"/>
        </w:rPr>
        <w:footnoteRef/>
      </w:r>
      <w:r w:rsidR="003E6E56" w:rsidRPr="003E6E56">
        <w:rPr>
          <w:sz w:val="24"/>
          <w:lang w:val="fi-FI"/>
        </w:rPr>
        <w:t xml:space="preserve"> </w:t>
      </w:r>
      <w:r w:rsidR="003E6E56" w:rsidRPr="003E6E56">
        <w:rPr>
          <w:sz w:val="24"/>
          <w:lang w:val="fi-FI"/>
        </w:rPr>
        <w:tab/>
      </w:r>
      <w:r w:rsidRPr="003E6E56">
        <w:rPr>
          <w:sz w:val="24"/>
          <w:lang w:val="fi-FI"/>
        </w:rPr>
        <w:t xml:space="preserve">EUVL L 433 I, 22.12.2020, s. 28, ELI: </w:t>
      </w:r>
      <w:hyperlink r:id="rId5" w:history="1">
        <w:r w:rsidRPr="003E6E56">
          <w:rPr>
            <w:rStyle w:val="Hyperlink"/>
            <w:sz w:val="24"/>
            <w:lang w:val="fi-FI"/>
          </w:rPr>
          <w:t>http://data.europa.eu/eli/agree_interinstit/2020/1222/oj</w:t>
        </w:r>
      </w:hyperlink>
      <w:r w:rsidRPr="003E6E56">
        <w:rPr>
          <w:sz w:val="24"/>
          <w:lang w:val="fi-FI"/>
        </w:rPr>
        <w:t>.</w:t>
      </w:r>
    </w:p>
  </w:footnote>
  <w:footnote w:id="6">
    <w:p w14:paraId="6CA5825D" w14:textId="277F64E4" w:rsidR="007748D3" w:rsidRPr="003E6E56" w:rsidRDefault="007748D3" w:rsidP="000D7C94">
      <w:pPr>
        <w:pStyle w:val="FootnoteText"/>
        <w:keepLines w:val="0"/>
        <w:ind w:left="567" w:hanging="567"/>
        <w:rPr>
          <w:sz w:val="24"/>
          <w:lang w:val="fi-FI"/>
        </w:rPr>
      </w:pPr>
      <w:r w:rsidRPr="003E6E56">
        <w:rPr>
          <w:rStyle w:val="FootnoteReference"/>
          <w:sz w:val="24"/>
          <w:lang w:val="fi-FI"/>
        </w:rPr>
        <w:footnoteRef/>
      </w:r>
      <w:r w:rsidR="003E6E56" w:rsidRPr="003E6E56">
        <w:rPr>
          <w:sz w:val="24"/>
          <w:lang w:val="fi-FI"/>
        </w:rPr>
        <w:t xml:space="preserve"> </w:t>
      </w:r>
      <w:r w:rsidR="003E6E56" w:rsidRPr="003E6E56">
        <w:rPr>
          <w:sz w:val="24"/>
          <w:lang w:val="fi-FI"/>
        </w:rPr>
        <w:tab/>
      </w:r>
      <w:r w:rsidRPr="003E6E56">
        <w:rPr>
          <w:sz w:val="24"/>
          <w:lang w:val="fi-FI"/>
        </w:rPr>
        <w:t xml:space="preserve">EUVL L 153, 3.5.2021, s. 48, ELI: </w:t>
      </w:r>
      <w:hyperlink r:id="rId6" w:tooltip="Avaa asiakirjan ELI URI -osoitteen kautta." w:history="1">
        <w:r w:rsidRPr="003E6E56">
          <w:rPr>
            <w:rStyle w:val="Hyperlink"/>
            <w:sz w:val="24"/>
            <w:lang w:val="fi-FI"/>
          </w:rPr>
          <w:t>http://data.europa.eu/eli/reg/2021/691/oj</w:t>
        </w:r>
      </w:hyperlink>
      <w:r w:rsidRPr="003E6E56">
        <w:rPr>
          <w:sz w:val="24"/>
          <w:lang w:val="fi-FI"/>
        </w:rPr>
        <w:t>.</w:t>
      </w:r>
    </w:p>
  </w:footnote>
  <w:footnote w:id="7">
    <w:p w14:paraId="24870FB1" w14:textId="1F8A425E" w:rsidR="007748D3" w:rsidRPr="003E6E56" w:rsidRDefault="007748D3" w:rsidP="000D7C94">
      <w:pPr>
        <w:pStyle w:val="FootnoteText"/>
        <w:keepLines w:val="0"/>
        <w:ind w:left="567" w:hanging="567"/>
        <w:rPr>
          <w:sz w:val="24"/>
          <w:lang w:val="fi-FI"/>
        </w:rPr>
      </w:pPr>
      <w:r w:rsidRPr="003E6E56">
        <w:rPr>
          <w:rStyle w:val="FootnoteReference"/>
          <w:sz w:val="24"/>
          <w:lang w:val="fi-FI"/>
        </w:rPr>
        <w:footnoteRef/>
      </w:r>
      <w:r w:rsidR="003E6E56" w:rsidRPr="003E6E56">
        <w:rPr>
          <w:sz w:val="24"/>
          <w:lang w:val="fi-FI"/>
        </w:rPr>
        <w:t xml:space="preserve"> </w:t>
      </w:r>
      <w:r w:rsidR="003E6E56" w:rsidRPr="003E6E56">
        <w:rPr>
          <w:sz w:val="24"/>
          <w:lang w:val="fi-FI"/>
        </w:rPr>
        <w:tab/>
      </w:r>
      <w:r w:rsidRPr="003E6E56">
        <w:rPr>
          <w:sz w:val="24"/>
          <w:lang w:val="fi-FI"/>
        </w:rPr>
        <w:t xml:space="preserve">EUVL L 433 I, 22.12.2020, s. 28, ELI: </w:t>
      </w:r>
      <w:hyperlink r:id="rId7" w:tooltip="Avaa asiakirjan ELI URI -osoitteen kautta." w:history="1">
        <w:r w:rsidRPr="003E6E56">
          <w:rPr>
            <w:rStyle w:val="Hyperlink"/>
            <w:sz w:val="24"/>
            <w:lang w:val="fi-FI"/>
          </w:rPr>
          <w:t>http://data.europa.eu/eli/agree_interinstit/2020/1222/oj</w:t>
        </w:r>
      </w:hyperlink>
      <w:r w:rsidRPr="003E6E56">
        <w:rPr>
          <w:sz w:val="24"/>
          <w:lang w:val="fi-FI"/>
        </w:rPr>
        <w:t>.</w:t>
      </w:r>
    </w:p>
  </w:footnote>
  <w:footnote w:id="8">
    <w:p w14:paraId="6C71ADF9" w14:textId="0448086B" w:rsidR="007748D3" w:rsidRPr="003E6E56" w:rsidRDefault="007748D3" w:rsidP="000D7C94">
      <w:pPr>
        <w:pStyle w:val="FootnoteText"/>
        <w:keepLines w:val="0"/>
        <w:ind w:left="567" w:hanging="567"/>
        <w:rPr>
          <w:sz w:val="24"/>
          <w:lang w:val="fi-FI"/>
        </w:rPr>
      </w:pPr>
      <w:r w:rsidRPr="003E6E56">
        <w:rPr>
          <w:rStyle w:val="FootnoteReference"/>
          <w:sz w:val="24"/>
          <w:lang w:val="fi-FI"/>
        </w:rPr>
        <w:footnoteRef/>
      </w:r>
      <w:r w:rsidR="003E6E56" w:rsidRPr="003E6E56">
        <w:rPr>
          <w:sz w:val="24"/>
          <w:lang w:val="fi-FI"/>
        </w:rPr>
        <w:t xml:space="preserve"> </w:t>
      </w:r>
      <w:r w:rsidR="003E6E56" w:rsidRPr="003E6E56">
        <w:rPr>
          <w:sz w:val="24"/>
          <w:lang w:val="fi-FI"/>
        </w:rPr>
        <w:tab/>
      </w:r>
      <w:r w:rsidRPr="003E6E56">
        <w:rPr>
          <w:sz w:val="24"/>
          <w:lang w:val="fi-FI"/>
        </w:rPr>
        <w:t xml:space="preserve">Neuvoston asetus (EU, Euratom) 2020/2093, annettu 17 päivänä joulukuuta 2020, vuosia 2021–2027 koskevan monivuotisen rahoituskehyksen vahvistamisesta (EUVL L 433 I, 22.12.2020, s. 11, ELI: </w:t>
      </w:r>
      <w:hyperlink r:id="rId8" w:tooltip="Avaa asiakirjan ELI URI -osoitteen kautta." w:history="1">
        <w:r w:rsidRPr="003E6E56">
          <w:rPr>
            <w:rStyle w:val="Hyperlink"/>
            <w:sz w:val="24"/>
            <w:lang w:val="fi-FI"/>
          </w:rPr>
          <w:t>http://data.europa.eu/eli/reg/2020/2093/oj</w:t>
        </w:r>
      </w:hyperlink>
      <w:r w:rsidRPr="003E6E56">
        <w:rPr>
          <w:sz w:val="24"/>
          <w:lang w:val="fi-FI"/>
        </w:rPr>
        <w:t>).</w:t>
      </w:r>
    </w:p>
  </w:footnote>
  <w:footnote w:id="9">
    <w:p w14:paraId="602C1DE5" w14:textId="3B55F717" w:rsidR="007748D3" w:rsidRPr="003E6E56" w:rsidRDefault="007748D3" w:rsidP="000D7C94">
      <w:pPr>
        <w:pStyle w:val="FootnoteText"/>
        <w:keepLines w:val="0"/>
        <w:ind w:left="567" w:hanging="567"/>
        <w:rPr>
          <w:sz w:val="24"/>
          <w:lang w:val="fi-FI"/>
        </w:rPr>
      </w:pPr>
      <w:r w:rsidRPr="003E6E56">
        <w:rPr>
          <w:rStyle w:val="FootnoteReference"/>
          <w:sz w:val="24"/>
          <w:lang w:val="fi-FI"/>
        </w:rPr>
        <w:footnoteRef/>
      </w:r>
      <w:r w:rsidR="003E6E56" w:rsidRPr="003E6E56">
        <w:rPr>
          <w:sz w:val="24"/>
          <w:lang w:val="fi-FI"/>
        </w:rPr>
        <w:t xml:space="preserve"> </w:t>
      </w:r>
      <w:r w:rsidR="003E6E56" w:rsidRPr="003E6E56">
        <w:rPr>
          <w:sz w:val="24"/>
          <w:lang w:val="fi-FI"/>
        </w:rPr>
        <w:tab/>
      </w:r>
      <w:r w:rsidRPr="003E6E56">
        <w:rPr>
          <w:sz w:val="24"/>
          <w:lang w:val="fi-FI"/>
        </w:rPr>
        <w:t>Neuvoston asetus (EU, Euratom) 2024/765, annettu 29 päivänä helmikuuta 2024, vuosia 2021–2027 koskevan monivuotisen rahoituskehyksen vahvistamisesta annetun asetuksen (EU, Euratom) 2020/2093 muuttamisesta (EUVL L, 2024/765, 29.2.2024, ELI: </w:t>
      </w:r>
      <w:hyperlink r:id="rId9" w:history="1">
        <w:r w:rsidRPr="003E6E56">
          <w:rPr>
            <w:rStyle w:val="Hyperlink"/>
            <w:sz w:val="24"/>
            <w:lang w:val="fi-FI"/>
          </w:rPr>
          <w:t>http://data.europa.eu/eli/reg/2024/765/oj</w:t>
        </w:r>
      </w:hyperlink>
      <w:r w:rsidRPr="003E6E56">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8778A" w14:textId="77777777" w:rsidR="00064002" w:rsidRPr="003E6E5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DB1E9" w14:textId="77777777" w:rsidR="00064002" w:rsidRPr="003E6E5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75FC3" w14:textId="77777777" w:rsidR="00064002" w:rsidRPr="003E6E5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13832478">
    <w:abstractNumId w:val="9"/>
  </w:num>
  <w:num w:numId="2" w16cid:durableId="2007979359">
    <w:abstractNumId w:val="9"/>
  </w:num>
  <w:num w:numId="3" w16cid:durableId="1254048418">
    <w:abstractNumId w:val="7"/>
  </w:num>
  <w:num w:numId="4" w16cid:durableId="1048577711">
    <w:abstractNumId w:val="7"/>
  </w:num>
  <w:num w:numId="5" w16cid:durableId="1878275529">
    <w:abstractNumId w:val="6"/>
  </w:num>
  <w:num w:numId="6" w16cid:durableId="1784300488">
    <w:abstractNumId w:val="6"/>
  </w:num>
  <w:num w:numId="7" w16cid:durableId="1210995494">
    <w:abstractNumId w:val="5"/>
  </w:num>
  <w:num w:numId="8" w16cid:durableId="401567537">
    <w:abstractNumId w:val="5"/>
  </w:num>
  <w:num w:numId="9" w16cid:durableId="1382825552">
    <w:abstractNumId w:val="4"/>
  </w:num>
  <w:num w:numId="10" w16cid:durableId="1459564237">
    <w:abstractNumId w:val="4"/>
  </w:num>
  <w:num w:numId="11" w16cid:durableId="1730685491">
    <w:abstractNumId w:val="8"/>
  </w:num>
  <w:num w:numId="12" w16cid:durableId="1191991546">
    <w:abstractNumId w:val="8"/>
  </w:num>
  <w:num w:numId="13" w16cid:durableId="764687212">
    <w:abstractNumId w:val="3"/>
  </w:num>
  <w:num w:numId="14" w16cid:durableId="1713263390">
    <w:abstractNumId w:val="3"/>
  </w:num>
  <w:num w:numId="15" w16cid:durableId="2068802255">
    <w:abstractNumId w:val="2"/>
  </w:num>
  <w:num w:numId="16" w16cid:durableId="1564412654">
    <w:abstractNumId w:val="2"/>
  </w:num>
  <w:num w:numId="17" w16cid:durableId="1431663101">
    <w:abstractNumId w:val="1"/>
  </w:num>
  <w:num w:numId="18" w16cid:durableId="1976251989">
    <w:abstractNumId w:val="1"/>
  </w:num>
  <w:num w:numId="19" w16cid:durableId="357240022">
    <w:abstractNumId w:val="0"/>
  </w:num>
  <w:num w:numId="20" w16cid:durableId="908465131">
    <w:abstractNumId w:val="0"/>
  </w:num>
  <w:num w:numId="21" w16cid:durableId="356347276">
    <w:abstractNumId w:val="9"/>
  </w:num>
  <w:num w:numId="22" w16cid:durableId="1774280096">
    <w:abstractNumId w:val="7"/>
  </w:num>
  <w:num w:numId="23" w16cid:durableId="2012366317">
    <w:abstractNumId w:val="6"/>
  </w:num>
  <w:num w:numId="24" w16cid:durableId="1828280109">
    <w:abstractNumId w:val="5"/>
  </w:num>
  <w:num w:numId="25" w16cid:durableId="603851378">
    <w:abstractNumId w:val="4"/>
  </w:num>
  <w:num w:numId="26" w16cid:durableId="895698842">
    <w:abstractNumId w:val="8"/>
  </w:num>
  <w:num w:numId="27" w16cid:durableId="1910462645">
    <w:abstractNumId w:val="3"/>
  </w:num>
  <w:num w:numId="28" w16cid:durableId="1050884501">
    <w:abstractNumId w:val="2"/>
  </w:num>
  <w:num w:numId="29" w16cid:durableId="1467313936">
    <w:abstractNumId w:val="1"/>
  </w:num>
  <w:num w:numId="30" w16cid:durableId="1601598162">
    <w:abstractNumId w:val="0"/>
  </w:num>
  <w:num w:numId="31" w16cid:durableId="803472153">
    <w:abstractNumId w:val="9"/>
  </w:num>
  <w:num w:numId="32" w16cid:durableId="419134334">
    <w:abstractNumId w:val="7"/>
  </w:num>
  <w:num w:numId="33" w16cid:durableId="272397411">
    <w:abstractNumId w:val="6"/>
  </w:num>
  <w:num w:numId="34" w16cid:durableId="1520047188">
    <w:abstractNumId w:val="5"/>
  </w:num>
  <w:num w:numId="35" w16cid:durableId="757868536">
    <w:abstractNumId w:val="4"/>
  </w:num>
  <w:num w:numId="36" w16cid:durableId="13727700">
    <w:abstractNumId w:val="8"/>
  </w:num>
  <w:num w:numId="37" w16cid:durableId="1148863783">
    <w:abstractNumId w:val="3"/>
  </w:num>
  <w:num w:numId="38" w16cid:durableId="106119768">
    <w:abstractNumId w:val="2"/>
  </w:num>
  <w:num w:numId="39" w16cid:durableId="928393930">
    <w:abstractNumId w:val="1"/>
  </w:num>
  <w:num w:numId="40" w16cid:durableId="560407740">
    <w:abstractNumId w:val="0"/>
  </w:num>
  <w:num w:numId="41" w16cid:durableId="1016347726">
    <w:abstractNumId w:val="10"/>
  </w:num>
  <w:num w:numId="42" w16cid:durableId="2122645832">
    <w:abstractNumId w:val="10"/>
  </w:num>
  <w:num w:numId="43" w16cid:durableId="2070228967">
    <w:abstractNumId w:val="10"/>
  </w:num>
  <w:num w:numId="44" w16cid:durableId="13119093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9/2026"/>
    <w:docVar w:name="dvlangue" w:val="FI"/>
    <w:docVar w:name="dvnumam" w:val="0"/>
    <w:docVar w:name="dvpe" w:val="789.086"/>
    <w:docVar w:name="dvrapporteur" w:val="Esittelijä: "/>
    <w:docVar w:name="dvtitre" w:val="Euroopan parlamentin lainsäädäntöpäätöslauselma xx. xxxkuuta 2026 ehdotuksesta Euroopan parlamentin ja neuvoston päätökseksi työttömiksi jääneitä työntekijöitä tukevan Euroopan globalisaatiorahaston varojen käyttöönotosta komission aloitteesta (EGF/2026/000 TA 2026 – Tekninen apu)(COM(2026)0360 – C10-0124/2026 – 2026/0126(BUD))"/>
  </w:docVars>
  <w:rsids>
    <w:rsidRoot w:val="00842174"/>
    <w:rsid w:val="00002272"/>
    <w:rsid w:val="00064002"/>
    <w:rsid w:val="000677B9"/>
    <w:rsid w:val="000831BA"/>
    <w:rsid w:val="000A42CC"/>
    <w:rsid w:val="000D7C94"/>
    <w:rsid w:val="000E7DD9"/>
    <w:rsid w:val="0010095E"/>
    <w:rsid w:val="00125B37"/>
    <w:rsid w:val="00135C88"/>
    <w:rsid w:val="00187494"/>
    <w:rsid w:val="001E35B2"/>
    <w:rsid w:val="001F32AE"/>
    <w:rsid w:val="00220EE0"/>
    <w:rsid w:val="002767FF"/>
    <w:rsid w:val="002B18FE"/>
    <w:rsid w:val="002B5493"/>
    <w:rsid w:val="00343214"/>
    <w:rsid w:val="00361C00"/>
    <w:rsid w:val="00395FA1"/>
    <w:rsid w:val="003E15D4"/>
    <w:rsid w:val="003E6E56"/>
    <w:rsid w:val="00411CCE"/>
    <w:rsid w:val="0041666E"/>
    <w:rsid w:val="00421060"/>
    <w:rsid w:val="00432C9A"/>
    <w:rsid w:val="00471C19"/>
    <w:rsid w:val="004867E3"/>
    <w:rsid w:val="00494A28"/>
    <w:rsid w:val="004C0004"/>
    <w:rsid w:val="004C5D52"/>
    <w:rsid w:val="004D2A36"/>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748D3"/>
    <w:rsid w:val="00786EC0"/>
    <w:rsid w:val="007A1478"/>
    <w:rsid w:val="007D1690"/>
    <w:rsid w:val="007E22AD"/>
    <w:rsid w:val="00817416"/>
    <w:rsid w:val="00842174"/>
    <w:rsid w:val="00842779"/>
    <w:rsid w:val="00865F67"/>
    <w:rsid w:val="00881A7B"/>
    <w:rsid w:val="008840E5"/>
    <w:rsid w:val="00887B3E"/>
    <w:rsid w:val="008C2257"/>
    <w:rsid w:val="008C2AC6"/>
    <w:rsid w:val="00930C23"/>
    <w:rsid w:val="0093193B"/>
    <w:rsid w:val="009509D8"/>
    <w:rsid w:val="00950B64"/>
    <w:rsid w:val="00981893"/>
    <w:rsid w:val="00A1687D"/>
    <w:rsid w:val="00A43E52"/>
    <w:rsid w:val="00A4678D"/>
    <w:rsid w:val="00A778C7"/>
    <w:rsid w:val="00AA1C56"/>
    <w:rsid w:val="00AB441E"/>
    <w:rsid w:val="00AB6293"/>
    <w:rsid w:val="00AC001A"/>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2306"/>
    <w:rsid w:val="00DA7FCD"/>
    <w:rsid w:val="00E365E1"/>
    <w:rsid w:val="00E37E2B"/>
    <w:rsid w:val="00E820A4"/>
    <w:rsid w:val="00EB006A"/>
    <w:rsid w:val="00EB4772"/>
    <w:rsid w:val="00ED169E"/>
    <w:rsid w:val="00ED4235"/>
    <w:rsid w:val="00F04346"/>
    <w:rsid w:val="00F075DC"/>
    <w:rsid w:val="00F149E9"/>
    <w:rsid w:val="00F5134D"/>
    <w:rsid w:val="00F72D46"/>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A3B95E"/>
  <w15:chartTrackingRefBased/>
  <w15:docId w15:val="{308135F3-4EA7-4EAF-81FF-E6EF0C60B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748D3"/>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7748D3"/>
    <w:pPr>
      <w:keepNext/>
      <w:spacing w:after="480"/>
      <w:jc w:val="center"/>
    </w:pPr>
    <w:rPr>
      <w:rFonts w:ascii="Arial" w:hAnsi="Arial" w:cs="Arial"/>
      <w:b/>
    </w:rPr>
  </w:style>
  <w:style w:type="paragraph" w:customStyle="1" w:styleId="NormalHanging12a">
    <w:name w:val="NormalHanging12a"/>
    <w:basedOn w:val="Normal"/>
    <w:link w:val="NormalHanging12aChar"/>
    <w:rsid w:val="007748D3"/>
    <w:pPr>
      <w:spacing w:after="240"/>
      <w:ind w:left="567" w:hanging="567"/>
    </w:pPr>
  </w:style>
  <w:style w:type="paragraph" w:styleId="Header">
    <w:name w:val="header"/>
    <w:basedOn w:val="Normal"/>
    <w:link w:val="HeaderChar"/>
    <w:rsid w:val="007748D3"/>
    <w:pPr>
      <w:tabs>
        <w:tab w:val="center" w:pos="4513"/>
        <w:tab w:val="right" w:pos="9026"/>
      </w:tabs>
    </w:pPr>
  </w:style>
  <w:style w:type="character" w:customStyle="1" w:styleId="HeaderChar">
    <w:name w:val="Header Char"/>
    <w:basedOn w:val="DefaultParagraphFont"/>
    <w:link w:val="Header"/>
    <w:rsid w:val="007748D3"/>
    <w:rPr>
      <w:sz w:val="24"/>
      <w:lang w:val="fi-FI"/>
    </w:rPr>
  </w:style>
  <w:style w:type="paragraph" w:customStyle="1" w:styleId="EPFooter">
    <w:name w:val="EPFooter"/>
    <w:basedOn w:val="Normal"/>
    <w:rsid w:val="007748D3"/>
    <w:pPr>
      <w:tabs>
        <w:tab w:val="center" w:pos="4535"/>
        <w:tab w:val="right" w:pos="9071"/>
      </w:tabs>
      <w:spacing w:before="240" w:after="240"/>
    </w:pPr>
    <w:rPr>
      <w:color w:val="010000"/>
      <w:sz w:val="22"/>
    </w:rPr>
  </w:style>
  <w:style w:type="paragraph" w:customStyle="1" w:styleId="EPComma">
    <w:name w:val="EPComma"/>
    <w:basedOn w:val="Normal"/>
    <w:rsid w:val="007748D3"/>
    <w:pPr>
      <w:spacing w:before="480" w:after="240"/>
    </w:pPr>
  </w:style>
  <w:style w:type="character" w:styleId="Hyperlink">
    <w:name w:val="Hyperlink"/>
    <w:basedOn w:val="DefaultParagraphFont"/>
    <w:uiPriority w:val="99"/>
    <w:rsid w:val="007748D3"/>
    <w:rPr>
      <w:color w:val="0563C1" w:themeColor="hyperlink"/>
      <w:u w:val="single"/>
    </w:rPr>
  </w:style>
  <w:style w:type="character" w:customStyle="1" w:styleId="NormalHanging12aChar">
    <w:name w:val="NormalHanging12a Char"/>
    <w:basedOn w:val="DefaultParagraphFont"/>
    <w:link w:val="NormalHanging12a"/>
    <w:locked/>
    <w:rsid w:val="007748D3"/>
    <w:rPr>
      <w:sz w:val="24"/>
      <w:lang w:val="fi-FI"/>
    </w:rPr>
  </w:style>
  <w:style w:type="paragraph" w:customStyle="1" w:styleId="Fait">
    <w:name w:val="Fait à"/>
    <w:basedOn w:val="Normal"/>
    <w:next w:val="Institutionquisigne"/>
    <w:rsid w:val="007748D3"/>
    <w:pPr>
      <w:keepNext/>
      <w:widowControl/>
      <w:spacing w:before="120" w:line="360" w:lineRule="auto"/>
    </w:pPr>
    <w:rPr>
      <w:rFonts w:eastAsiaTheme="minorHAnsi"/>
      <w:szCs w:val="22"/>
      <w:lang w:eastAsia="fi-FI" w:bidi="fi-FI"/>
    </w:rPr>
  </w:style>
  <w:style w:type="paragraph" w:customStyle="1" w:styleId="Formuledadoption">
    <w:name w:val="Formule d'adoption"/>
    <w:basedOn w:val="Normal"/>
    <w:next w:val="Titrearticle"/>
    <w:rsid w:val="007748D3"/>
    <w:pPr>
      <w:keepNext/>
      <w:widowControl/>
      <w:spacing w:before="120" w:after="120" w:line="360" w:lineRule="auto"/>
    </w:pPr>
    <w:rPr>
      <w:rFonts w:eastAsiaTheme="minorHAnsi"/>
      <w:szCs w:val="22"/>
      <w:lang w:eastAsia="fi-FI" w:bidi="fi-FI"/>
    </w:rPr>
  </w:style>
  <w:style w:type="paragraph" w:customStyle="1" w:styleId="Institutionquiagit">
    <w:name w:val="Institution qui agit"/>
    <w:basedOn w:val="Normal"/>
    <w:next w:val="Normal"/>
    <w:rsid w:val="007748D3"/>
    <w:pPr>
      <w:keepNext/>
      <w:widowControl/>
      <w:spacing w:before="600" w:after="120" w:line="360" w:lineRule="auto"/>
    </w:pPr>
    <w:rPr>
      <w:rFonts w:eastAsiaTheme="minorHAnsi"/>
      <w:szCs w:val="22"/>
      <w:lang w:eastAsia="fi-FI" w:bidi="fi-FI"/>
    </w:rPr>
  </w:style>
  <w:style w:type="paragraph" w:customStyle="1" w:styleId="Institutionquisigne">
    <w:name w:val="Institution qui signe"/>
    <w:basedOn w:val="Normal"/>
    <w:next w:val="Personnequisigne"/>
    <w:rsid w:val="007748D3"/>
    <w:pPr>
      <w:keepNext/>
      <w:widowControl/>
      <w:tabs>
        <w:tab w:val="left" w:pos="5669"/>
      </w:tabs>
      <w:spacing w:before="720" w:line="360" w:lineRule="auto"/>
    </w:pPr>
    <w:rPr>
      <w:rFonts w:eastAsiaTheme="minorHAnsi"/>
      <w:i/>
      <w:szCs w:val="22"/>
      <w:lang w:eastAsia="fi-FI" w:bidi="fi-FI"/>
    </w:rPr>
  </w:style>
  <w:style w:type="paragraph" w:customStyle="1" w:styleId="ManualConsidrant">
    <w:name w:val="Manual Considérant"/>
    <w:basedOn w:val="Normal"/>
    <w:rsid w:val="007748D3"/>
    <w:pPr>
      <w:widowControl/>
      <w:spacing w:before="120" w:after="120" w:line="360" w:lineRule="auto"/>
      <w:ind w:left="850" w:hanging="850"/>
    </w:pPr>
    <w:rPr>
      <w:rFonts w:eastAsiaTheme="minorHAnsi"/>
      <w:szCs w:val="22"/>
      <w:lang w:eastAsia="fi-FI" w:bidi="fi-FI"/>
    </w:rPr>
  </w:style>
  <w:style w:type="paragraph" w:customStyle="1" w:styleId="Personnequisigne">
    <w:name w:val="Personne qui signe"/>
    <w:basedOn w:val="Normal"/>
    <w:next w:val="Institutionquisigne"/>
    <w:rsid w:val="007748D3"/>
    <w:pPr>
      <w:widowControl/>
      <w:tabs>
        <w:tab w:val="left" w:pos="5669"/>
      </w:tabs>
      <w:spacing w:line="360" w:lineRule="auto"/>
    </w:pPr>
    <w:rPr>
      <w:rFonts w:eastAsiaTheme="minorHAnsi"/>
      <w:i/>
      <w:szCs w:val="22"/>
      <w:lang w:eastAsia="fi-FI" w:bidi="fi-FI"/>
    </w:rPr>
  </w:style>
  <w:style w:type="paragraph" w:customStyle="1" w:styleId="Titrearticle">
    <w:name w:val="Titre article"/>
    <w:basedOn w:val="Normal"/>
    <w:next w:val="Normal"/>
    <w:rsid w:val="007748D3"/>
    <w:pPr>
      <w:keepNext/>
      <w:widowControl/>
      <w:spacing w:before="360" w:after="120" w:line="360" w:lineRule="auto"/>
      <w:jc w:val="center"/>
    </w:pPr>
    <w:rPr>
      <w:rFonts w:eastAsiaTheme="minorHAnsi"/>
      <w:i/>
      <w:szCs w:val="22"/>
      <w:lang w:eastAsia="fi-FI" w:bidi="fi-FI"/>
    </w:rPr>
  </w:style>
  <w:style w:type="paragraph" w:customStyle="1" w:styleId="Lignefinal">
    <w:name w:val="Ligne final"/>
    <w:basedOn w:val="Normal"/>
    <w:next w:val="Normal"/>
    <w:rsid w:val="007748D3"/>
    <w:pPr>
      <w:widowControl/>
      <w:pBdr>
        <w:bottom w:val="single" w:sz="4" w:space="0" w:color="000000"/>
      </w:pBdr>
      <w:spacing w:before="360" w:after="120" w:line="360" w:lineRule="auto"/>
      <w:ind w:left="3400" w:right="3400"/>
      <w:jc w:val="center"/>
    </w:pPr>
    <w:rPr>
      <w:rFonts w:eastAsiaTheme="minorHAnsi"/>
      <w:b/>
      <w:szCs w:val="22"/>
      <w:lang w:eastAsia="fi-FI" w:bidi="fi-FI"/>
    </w:rPr>
  </w:style>
  <w:style w:type="paragraph" w:styleId="Footer">
    <w:name w:val="footer"/>
    <w:basedOn w:val="Normal"/>
    <w:link w:val="FooterChar"/>
    <w:rsid w:val="001E35B2"/>
    <w:pPr>
      <w:tabs>
        <w:tab w:val="center" w:pos="4513"/>
        <w:tab w:val="right" w:pos="9026"/>
      </w:tabs>
    </w:pPr>
  </w:style>
  <w:style w:type="character" w:customStyle="1" w:styleId="FooterChar">
    <w:name w:val="Footer Char"/>
    <w:basedOn w:val="DefaultParagraphFont"/>
    <w:link w:val="Footer"/>
    <w:rsid w:val="001E35B2"/>
    <w:rPr>
      <w:sz w:val="24"/>
      <w:lang w:val="fi-FI"/>
    </w:rPr>
  </w:style>
  <w:style w:type="character" w:styleId="CommentReference">
    <w:name w:val="annotation reference"/>
    <w:basedOn w:val="DefaultParagraphFont"/>
    <w:rsid w:val="000D7C94"/>
    <w:rPr>
      <w:sz w:val="16"/>
      <w:szCs w:val="16"/>
    </w:rPr>
  </w:style>
  <w:style w:type="paragraph" w:styleId="CommentText">
    <w:name w:val="annotation text"/>
    <w:basedOn w:val="Normal"/>
    <w:link w:val="CommentTextChar"/>
    <w:rsid w:val="000D7C94"/>
    <w:rPr>
      <w:sz w:val="20"/>
    </w:rPr>
  </w:style>
  <w:style w:type="character" w:customStyle="1" w:styleId="CommentTextChar">
    <w:name w:val="Comment Text Char"/>
    <w:basedOn w:val="DefaultParagraphFont"/>
    <w:link w:val="CommentText"/>
    <w:rsid w:val="000D7C94"/>
    <w:rPr>
      <w:lang w:val="fi-FI"/>
    </w:rPr>
  </w:style>
  <w:style w:type="paragraph" w:styleId="CommentSubject">
    <w:name w:val="annotation subject"/>
    <w:basedOn w:val="CommentText"/>
    <w:next w:val="CommentText"/>
    <w:link w:val="CommentSubjectChar"/>
    <w:rsid w:val="000D7C94"/>
    <w:rPr>
      <w:b/>
      <w:bCs/>
    </w:rPr>
  </w:style>
  <w:style w:type="character" w:customStyle="1" w:styleId="CommentSubjectChar">
    <w:name w:val="Comment Subject Char"/>
    <w:basedOn w:val="CommentTextChar"/>
    <w:link w:val="CommentSubject"/>
    <w:rsid w:val="000D7C94"/>
    <w:rPr>
      <w:b/>
      <w:bCs/>
      <w:lang w:val="fi-FI"/>
    </w:rPr>
  </w:style>
  <w:style w:type="paragraph" w:styleId="Revision">
    <w:name w:val="Revision"/>
    <w:hidden/>
    <w:uiPriority w:val="99"/>
    <w:semiHidden/>
    <w:rsid w:val="00AA1C56"/>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0/2093/oj" TargetMode="External"/><Relationship Id="rId3" Type="http://schemas.openxmlformats.org/officeDocument/2006/relationships/hyperlink" Target="http://data.europa.eu/eli/reg/2020/2093/oj" TargetMode="External"/><Relationship Id="rId7" Type="http://schemas.openxmlformats.org/officeDocument/2006/relationships/hyperlink" Target="http://data.europa.eu/eli/agree_interinstit/2020/1222/oj" TargetMode="External"/><Relationship Id="rId2" Type="http://schemas.openxmlformats.org/officeDocument/2006/relationships/hyperlink" Target="http://data.europa.eu/eli/reg/2026/1139/oj" TargetMode="External"/><Relationship Id="rId1" Type="http://schemas.openxmlformats.org/officeDocument/2006/relationships/hyperlink" Target="http://data.europa.eu/eli/reg/2021/691/oj" TargetMode="External"/><Relationship Id="rId6" Type="http://schemas.openxmlformats.org/officeDocument/2006/relationships/hyperlink" Target="http://data.europa.eu/eli/reg/2021/691/oj" TargetMode="External"/><Relationship Id="rId5" Type="http://schemas.openxmlformats.org/officeDocument/2006/relationships/hyperlink" Target="http://data.europa.eu/eli/agree_interinstit/2020/1222/oj" TargetMode="External"/><Relationship Id="rId4" Type="http://schemas.openxmlformats.org/officeDocument/2006/relationships/hyperlink" Target="https://eur-lex.europa.eu/eli/reg/2024/765/oj" TargetMode="External"/><Relationship Id="rId9" Type="http://schemas.openxmlformats.org/officeDocument/2006/relationships/hyperlink" Target="http://data.europa.eu/eli/reg/2024/7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1737</Words>
  <Characters>9905</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VUORIHUHTA Anne Kristiina</cp:lastModifiedBy>
  <cp:revision>2</cp:revision>
  <cp:lastPrinted>2004-11-19T15:42:00Z</cp:lastPrinted>
  <dcterms:created xsi:type="dcterms:W3CDTF">2026-07-09T09:38:00Z</dcterms:created>
  <dcterms:modified xsi:type="dcterms:W3CDTF">2026-07-09T09:38:00Z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P10_TA(2026)0243_</vt:lpwstr>
  </property>
  <property fmtid="{D5CDD505-2E9C-101B-9397-08002B2CF9AE}" pid="4" name="&lt;Type&gt;">
    <vt:lpwstr>RR</vt:lpwstr>
  </property>
</Properties>
</file>