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2979" w14:paraId="328628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293760" w14:textId="77777777" w:rsidR="00751A4A" w:rsidRPr="00DE2979" w:rsidRDefault="0047048E" w:rsidP="0010095E">
            <w:pPr>
              <w:pStyle w:val="EPName"/>
            </w:pPr>
            <w:r w:rsidRPr="00DE2979">
              <w:t>Europski parlament</w:t>
            </w:r>
          </w:p>
          <w:p w14:paraId="4B3E377D" w14:textId="77777777" w:rsidR="00751A4A" w:rsidRPr="00DE29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2979">
              <w:t>2024</w:t>
            </w:r>
            <w:r w:rsidR="00817416" w:rsidRPr="00DE2979">
              <w:t>-202</w:t>
            </w:r>
            <w:r w:rsidRPr="00DE2979">
              <w:t>9</w:t>
            </w:r>
          </w:p>
        </w:tc>
        <w:tc>
          <w:tcPr>
            <w:tcW w:w="2268" w:type="dxa"/>
            <w:shd w:val="clear" w:color="auto" w:fill="auto"/>
          </w:tcPr>
          <w:p w14:paraId="2CE3998B" w14:textId="77777777" w:rsidR="00751A4A" w:rsidRPr="00DE2979" w:rsidRDefault="00187494" w:rsidP="0010095E">
            <w:pPr>
              <w:pStyle w:val="EPLogo"/>
            </w:pPr>
            <w:r w:rsidRPr="00DE2979">
              <w:rPr>
                <w:noProof/>
                <w:lang w:eastAsia="ja-JP"/>
              </w:rPr>
              <w:drawing>
                <wp:inline distT="0" distB="0" distL="0" distR="0" wp14:anchorId="1234DBD8" wp14:editId="10E2A6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DB5990" w14:textId="77777777" w:rsidR="00D058B8" w:rsidRPr="00DE2979" w:rsidRDefault="00D058B8" w:rsidP="004C5D52">
      <w:pPr>
        <w:pStyle w:val="LineTop"/>
      </w:pPr>
    </w:p>
    <w:p w14:paraId="7D07E5FD" w14:textId="77777777" w:rsidR="00680577" w:rsidRPr="00DE2979" w:rsidRDefault="0047048E" w:rsidP="00680577">
      <w:pPr>
        <w:pStyle w:val="EPBodyTA1"/>
      </w:pPr>
      <w:r w:rsidRPr="00DE2979">
        <w:t>USVOJENI TEKSTOVI</w:t>
      </w:r>
    </w:p>
    <w:p w14:paraId="330F24B4" w14:textId="77777777" w:rsidR="00D058B8" w:rsidRPr="00DE2979" w:rsidRDefault="00D058B8" w:rsidP="00D058B8">
      <w:pPr>
        <w:pStyle w:val="LineBottom"/>
      </w:pPr>
    </w:p>
    <w:p w14:paraId="66FFE8BA" w14:textId="0BEC4D7D" w:rsidR="0047048E" w:rsidRPr="00DE2979" w:rsidRDefault="0047048E" w:rsidP="0047048E">
      <w:pPr>
        <w:pStyle w:val="ATHeading1"/>
      </w:pPr>
      <w:bookmarkStart w:id="0" w:name="TANumber"/>
      <w:r w:rsidRPr="00DE2979">
        <w:t>P10_TA(2026)0</w:t>
      </w:r>
      <w:r w:rsidR="00E03330">
        <w:t>243</w:t>
      </w:r>
      <w:bookmarkEnd w:id="0"/>
    </w:p>
    <w:p w14:paraId="02901186" w14:textId="77777777" w:rsidR="0047048E" w:rsidRPr="00DE2979" w:rsidRDefault="0047048E" w:rsidP="0047048E">
      <w:pPr>
        <w:pStyle w:val="ATHeading2"/>
      </w:pPr>
      <w:bookmarkStart w:id="1" w:name="title"/>
      <w:r w:rsidRPr="00DE2979">
        <w:t>Mobilizacija Europskog fonda za prilagodbu globalizaciji: Zahtjev EGF/2026/000 TA 2026 – Tehnička pomoć na inicijativu Komisije</w:t>
      </w:r>
      <w:bookmarkEnd w:id="1"/>
    </w:p>
    <w:p w14:paraId="6BFCEF02" w14:textId="77777777" w:rsidR="0047048E" w:rsidRPr="00DE2979" w:rsidRDefault="0047048E" w:rsidP="0047048E">
      <w:pPr>
        <w:rPr>
          <w:i/>
          <w:vanish/>
        </w:rPr>
      </w:pPr>
      <w:r w:rsidRPr="00DE2979">
        <w:rPr>
          <w:i/>
        </w:rPr>
        <w:fldChar w:fldCharType="begin"/>
      </w:r>
      <w:r w:rsidRPr="00DE2979">
        <w:rPr>
          <w:i/>
        </w:rPr>
        <w:instrText xml:space="preserve"> TC"(</w:instrText>
      </w:r>
      <w:bookmarkStart w:id="2" w:name="DocNumber"/>
      <w:r w:rsidRPr="00DE2979">
        <w:rPr>
          <w:i/>
        </w:rPr>
        <w:instrText>A10-0179/2026</w:instrText>
      </w:r>
      <w:bookmarkEnd w:id="2"/>
      <w:r w:rsidRPr="00DE2979">
        <w:rPr>
          <w:i/>
        </w:rPr>
        <w:instrText xml:space="preserve"> - Izvjestiteljica: Lucia </w:instrText>
      </w:r>
      <w:proofErr w:type="spellStart"/>
      <w:r w:rsidRPr="00DE2979">
        <w:rPr>
          <w:i/>
        </w:rPr>
        <w:instrText>Yar</w:instrText>
      </w:r>
      <w:proofErr w:type="spellEnd"/>
      <w:r w:rsidRPr="00DE2979">
        <w:rPr>
          <w:i/>
        </w:rPr>
        <w:instrText xml:space="preserve">)"\l3 \n&gt; \* MERGEFORMAT </w:instrText>
      </w:r>
      <w:r w:rsidRPr="00DE2979">
        <w:rPr>
          <w:i/>
        </w:rPr>
        <w:fldChar w:fldCharType="end"/>
      </w:r>
    </w:p>
    <w:p w14:paraId="616A1BCF" w14:textId="77777777" w:rsidR="0047048E" w:rsidRPr="00DE2979" w:rsidRDefault="0047048E" w:rsidP="0047048E">
      <w:pPr>
        <w:rPr>
          <w:vanish/>
        </w:rPr>
      </w:pPr>
      <w:bookmarkStart w:id="3" w:name="Commission"/>
      <w:r w:rsidRPr="00DE2979">
        <w:rPr>
          <w:vanish/>
        </w:rPr>
        <w:t>Odbor za proračune</w:t>
      </w:r>
      <w:bookmarkEnd w:id="3"/>
    </w:p>
    <w:p w14:paraId="3EB9BD53" w14:textId="77777777" w:rsidR="0047048E" w:rsidRPr="00DE2979" w:rsidRDefault="0047048E" w:rsidP="0047048E">
      <w:pPr>
        <w:rPr>
          <w:vanish/>
        </w:rPr>
      </w:pPr>
      <w:bookmarkStart w:id="4" w:name="PE"/>
      <w:r w:rsidRPr="00DE2979">
        <w:rPr>
          <w:vanish/>
        </w:rPr>
        <w:t>PE789.086</w:t>
      </w:r>
      <w:bookmarkEnd w:id="4"/>
    </w:p>
    <w:p w14:paraId="76A0ECEB" w14:textId="09C549E7" w:rsidR="0047048E" w:rsidRPr="00DE2979" w:rsidRDefault="0047048E" w:rsidP="0047048E">
      <w:pPr>
        <w:pStyle w:val="ATHeading3"/>
      </w:pPr>
      <w:bookmarkStart w:id="5" w:name="Sujet"/>
      <w:r w:rsidRPr="00DE2979">
        <w:t xml:space="preserve">Rezolucija Europskog parlamenta od </w:t>
      </w:r>
      <w:r w:rsidR="00DE2979">
        <w:t>7</w:t>
      </w:r>
      <w:r w:rsidRPr="00DE2979">
        <w:t xml:space="preserve">. </w:t>
      </w:r>
      <w:r w:rsidR="00DE2979">
        <w:t xml:space="preserve">srpnja </w:t>
      </w:r>
      <w:r w:rsidRPr="00DE2979">
        <w:t>2026. o Prijedlogu odluke Europskog parlamenta i Vijeća o mobilizaciji, na inicijativu Komisije, Europskog fonda za prilagodbu globalizaciji za radnike koji su proglašeni viškom (EGF/2026/000 TA 2026 – Tehnička pomoć)</w:t>
      </w:r>
      <w:bookmarkEnd w:id="5"/>
      <w:r w:rsidRPr="00DE2979">
        <w:t xml:space="preserve"> </w:t>
      </w:r>
      <w:bookmarkStart w:id="6" w:name="References"/>
      <w:r w:rsidRPr="00DE2979">
        <w:t>(COM(2026)0360 – C10-0124/2026 – 2026/0126(BUD))</w:t>
      </w:r>
      <w:bookmarkEnd w:id="6"/>
    </w:p>
    <w:p w14:paraId="1517D01A" w14:textId="77777777" w:rsidR="00EC660D" w:rsidRPr="00DE2979" w:rsidRDefault="00EC660D" w:rsidP="00EC660D">
      <w:pPr>
        <w:pStyle w:val="EPComma"/>
        <w:rPr>
          <w:noProof/>
        </w:rPr>
      </w:pPr>
      <w:r w:rsidRPr="00DE2979">
        <w:rPr>
          <w:i/>
        </w:rPr>
        <w:t>Europski parlament</w:t>
      </w:r>
      <w:r w:rsidRPr="00DE2979">
        <w:t>,</w:t>
      </w:r>
    </w:p>
    <w:p w14:paraId="4D97222D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t>–</w:t>
      </w:r>
      <w:r w:rsidRPr="00DE2979">
        <w:tab/>
        <w:t>uzimajući u obzir prijedlog Komisije upućen Europskom parlamentu i Vijeću (COM(2026)0360 – C10</w:t>
      </w:r>
      <w:r w:rsidRPr="00DE2979">
        <w:noBreakHyphen/>
        <w:t>0124/2026),</w:t>
      </w:r>
    </w:p>
    <w:p w14:paraId="3A07030C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t>–</w:t>
      </w:r>
      <w:r w:rsidRPr="00DE2979">
        <w:tab/>
        <w:t>uzimajući u obzir Uredbu (EU) 2021/691 Europskog parlamenta i Vijeća od 28. travnja 2021. o Europskom fondu za prilagodbu globalizaciji za radnike koji su proglašeni viškom (EGF) i stavljanju izvan snage Uredbe (EU) 1309/2013</w:t>
      </w:r>
      <w:r w:rsidRPr="00DE2979">
        <w:rPr>
          <w:rStyle w:val="FootnoteReference"/>
        </w:rPr>
        <w:footnoteReference w:id="1"/>
      </w:r>
      <w:r w:rsidRPr="00DE2979">
        <w:t xml:space="preserve"> („Uredba o EGF-u”), kako je izmijenjena Uredbom (EU) 2026/1139</w:t>
      </w:r>
      <w:r w:rsidRPr="00DE2979">
        <w:rPr>
          <w:rStyle w:val="FootnoteReference"/>
          <w:noProof/>
        </w:rPr>
        <w:footnoteReference w:id="2"/>
      </w:r>
      <w:r w:rsidRPr="00DE2979">
        <w:t>,</w:t>
      </w:r>
    </w:p>
    <w:p w14:paraId="3A0CB003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t>–</w:t>
      </w:r>
      <w:r w:rsidRPr="00DE2979">
        <w:tab/>
      </w:r>
      <w:r w:rsidRPr="00DE2979">
        <w:rPr>
          <w:snapToGrid w:val="0"/>
        </w:rPr>
        <w:t>uzimajući u obzir Uredbu Vijeća (EU, Euratom) 2020/2093 od 17. prosinca 2020. kojom se utvrđuje višegodišnji financijski okvir za razdoblje 2021. – 2027.</w:t>
      </w:r>
      <w:r w:rsidRPr="00DE2979">
        <w:rPr>
          <w:rStyle w:val="FootnoteReference"/>
          <w:snapToGrid w:val="0"/>
        </w:rPr>
        <w:footnoteReference w:id="3"/>
      </w:r>
      <w:r w:rsidRPr="00DE2979">
        <w:rPr>
          <w:snapToGrid w:val="0"/>
        </w:rPr>
        <w:t>, kako je izmijenjena Uredbom (EU, Euratom) 2024/765</w:t>
      </w:r>
      <w:r w:rsidRPr="00DE2979">
        <w:rPr>
          <w:rStyle w:val="FootnoteReference"/>
          <w:snapToGrid w:val="0"/>
          <w:bdr w:val="none" w:sz="0" w:space="0" w:color="auto" w:frame="1"/>
        </w:rPr>
        <w:footnoteReference w:id="4"/>
      </w:r>
      <w:r w:rsidRPr="00DE2979">
        <w:rPr>
          <w:snapToGrid w:val="0"/>
        </w:rPr>
        <w:t>, a posebno njezin članak 8.</w:t>
      </w:r>
      <w:r w:rsidRPr="00DE2979">
        <w:t>,</w:t>
      </w:r>
    </w:p>
    <w:p w14:paraId="13C935F7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t>–</w:t>
      </w:r>
      <w:r w:rsidRPr="00DE2979">
        <w:tab/>
        <w:t xml:space="preserve">uzimajući u obzir </w:t>
      </w:r>
      <w:proofErr w:type="spellStart"/>
      <w:r w:rsidRPr="00DE2979">
        <w:t>Međuinstitucijski</w:t>
      </w:r>
      <w:proofErr w:type="spellEnd"/>
      <w:r w:rsidRPr="00DE2979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DE2979">
        <w:rPr>
          <w:rStyle w:val="FootnoteReference"/>
          <w:noProof/>
        </w:rPr>
        <w:footnoteReference w:id="5"/>
      </w:r>
      <w:r w:rsidRPr="00DE2979">
        <w:t>, a posebno njegovu točku 9.,</w:t>
      </w:r>
    </w:p>
    <w:p w14:paraId="2927F429" w14:textId="77777777" w:rsidR="00EC660D" w:rsidRPr="00DE2979" w:rsidRDefault="00EC660D" w:rsidP="00EC660D">
      <w:pPr>
        <w:pStyle w:val="NormalHanging12a"/>
      </w:pPr>
      <w:r w:rsidRPr="00DE2979">
        <w:t>–</w:t>
      </w:r>
      <w:r w:rsidRPr="00DE2979">
        <w:tab/>
        <w:t>uzimajući u obzir izvješće Odbora za proračune (A10</w:t>
      </w:r>
      <w:r w:rsidRPr="00DE2979">
        <w:noBreakHyphen/>
        <w:t>0179/2026),</w:t>
      </w:r>
    </w:p>
    <w:p w14:paraId="7CCEA1E8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lastRenderedPageBreak/>
        <w:t>A.</w:t>
      </w:r>
      <w:r w:rsidRPr="00DE2979">
        <w:tab/>
        <w:t>budući da je Unija uspostavila zakonodavne i proračunske instrumente kako bi pružila dodatnu potporu radnicima koji su pogođeni posljedicama velikih strukturnih događaja i promjena u svjetskim trgovinskim tokovima ili kojima predstoji otpuštanje u poduzeću koje je u postupku restrukturiranja, te kako bi im se pružila pomoć prilikom njihova ponovnog uključivanja na tržište rada; budući da se ta pomoć ostvaruje u obliku financijske potpore radnicima;</w:t>
      </w:r>
    </w:p>
    <w:p w14:paraId="1E263965" w14:textId="77777777" w:rsidR="00EC660D" w:rsidRPr="00DE2979" w:rsidRDefault="00EC660D" w:rsidP="00EC660D">
      <w:pPr>
        <w:pStyle w:val="NormalHanging12a"/>
      </w:pPr>
      <w:r w:rsidRPr="00DE2979">
        <w:t>B.</w:t>
      </w:r>
      <w:r w:rsidRPr="00DE2979">
        <w:tab/>
        <w:t>budući da bi financijski doprinosi iz EGF-a ponajprije trebali biti usmjereni na aktivne mjere politike tržišta rada i personalizirane usluge čiji je cilj brza reintegracija korisnika na tržište rada ili potpora u promjeni karijere;</w:t>
      </w:r>
    </w:p>
    <w:p w14:paraId="3B7491C3" w14:textId="77777777" w:rsidR="00EC660D" w:rsidRPr="00DE2979" w:rsidRDefault="00EC660D" w:rsidP="00EC660D">
      <w:pPr>
        <w:pStyle w:val="NormalHanging12a"/>
      </w:pPr>
      <w:r w:rsidRPr="00DE2979">
        <w:t>C.</w:t>
      </w:r>
      <w:r w:rsidRPr="00DE2979">
        <w:tab/>
        <w:t xml:space="preserve">budući da je u članku 11. stavku 1. Uredbe o EGF-u utvrđeno da se na inicijativu Komisije za tehničku pomoć može upotrijebiti do 1,5 % godišnje gornje granice EGF-a; </w:t>
      </w:r>
    </w:p>
    <w:p w14:paraId="0208B6EB" w14:textId="77777777" w:rsidR="00EC660D" w:rsidRPr="00DE2979" w:rsidRDefault="00EC660D" w:rsidP="00EC660D">
      <w:pPr>
        <w:pStyle w:val="NormalHanging12a"/>
        <w:rPr>
          <w:color w:val="000000"/>
          <w:bdr w:val="none" w:sz="0" w:space="0" w:color="auto" w:frame="1"/>
        </w:rPr>
      </w:pPr>
      <w:r w:rsidRPr="00DE2979">
        <w:t>D.</w:t>
      </w:r>
      <w:r w:rsidRPr="00DE2979">
        <w:tab/>
      </w:r>
      <w:r w:rsidRPr="00DE2979">
        <w:rPr>
          <w:color w:val="000000"/>
          <w:bdr w:val="none" w:sz="0" w:space="0" w:color="auto" w:frame="1"/>
        </w:rPr>
        <w:t>budući da se tehnička pomoć može sastojati od tehničkih i administrativnih rashoda za provedbu EGF-a, kao što su aktivnosti pripreme, praćenja, kontrole, revizije i evaluacije, kao i prikupljanje podataka, komunikacijske aktivnosti i aktivnosti kojima se povećava vidljivost EGF-a kao fonda ili u pogledu posebnih projekata i drugih mjera tehničke pomoći; budući da tehnička pomoć uključuje pružanje informacija i smjernica državama članicama i socijalnim partnerima o EGF-u, kao i posebno informiranje država članica koje nisu iskoristile potporu iz EGF-a ili su je slabo iskoristile;</w:t>
      </w:r>
      <w:r w:rsidRPr="00DE2979">
        <w:t xml:space="preserve"> budući da bi aktivnosti tehničke pomoći trebale doprinijeti poboljšanju djelotvornosti, dostupnosti i vidljivosti EGF-a s posebnim naglaskom na mjerljivim rezultatima, administrativnom pojednostavnjenju i provedbi usmjerenoj na korisnike za države članice i korisnike; budući da nekoliko država članica još uvijek nije iskoristilo EGF unatoč tome što se suočavaju s postupcima restrukturiranja i otpuštanjima usporedivima s onima u državama članicama korisnicama; budući da su stoga potrebne ciljane aktivnosti podizanja razine osviještenosti i informiranja kako bi se osigurao jednak pristup mogućnostima koje EGF nudi diljem Unije;</w:t>
      </w:r>
    </w:p>
    <w:p w14:paraId="235DF704" w14:textId="77777777" w:rsidR="00EC660D" w:rsidRPr="00DE2979" w:rsidRDefault="00EC660D" w:rsidP="00EC660D">
      <w:pPr>
        <w:pStyle w:val="NormalHanging12a"/>
      </w:pPr>
      <w:r w:rsidRPr="00DE2979">
        <w:t>E.</w:t>
      </w:r>
      <w:r w:rsidRPr="00DE2979">
        <w:tab/>
        <w:t>budući da predloženi iznos od 210 000 EUR predstavlja otprilike 0,60 % maksimalnog godišnjeg proračuna raspoloživog za EGF u 2026. godini; budući da EGF pruža važnu potporu radnicima pogođenima restrukturiranjem i otpuštanjem; budući da su konkurentno europsko gospodarstvo, smanjeno administrativno opterećenje i poslovno okruženje pogodno za ulaganja i inovacije i dalje ključni za očuvanje kvalitetnih radnih mjesta i smanjenje broja radnika kojima je potrebna potpora u okviru EGF-a;</w:t>
      </w:r>
    </w:p>
    <w:p w14:paraId="66DA1D49" w14:textId="77777777" w:rsidR="00EC660D" w:rsidRPr="00DE2979" w:rsidRDefault="00EC660D" w:rsidP="00EC660D">
      <w:pPr>
        <w:pStyle w:val="NormalHanging12a"/>
      </w:pPr>
      <w:r w:rsidRPr="00DE2979">
        <w:t>1.</w:t>
      </w:r>
      <w:r w:rsidRPr="00DE2979">
        <w:tab/>
      </w:r>
      <w:r w:rsidRPr="00DE2979">
        <w:rPr>
          <w:bdr w:val="none" w:sz="0" w:space="0" w:color="auto" w:frame="1"/>
        </w:rPr>
        <w:t>slaže se s mobilizacijom 210 000 EUR i s time da se mjere koje je predložila Komisija financiraju kao tehnička pomoć u skladu s člankom 11. stavcima 1. i 4. te člankom 12. stavcima 2., 3. i 4. Uredbe o EGF-u;</w:t>
      </w:r>
      <w:r w:rsidRPr="00DE2979">
        <w:t xml:space="preserve"> naglašava da bi rashodi za tehničku pomoć trebali ostati razmjerni, učinkoviti i usmjereni na aktivnosti kojima se dokazano poboljšava pristup potpori za radnike koji su proglašeni viškom i ukupna djelotvornost EGF-a;</w:t>
      </w:r>
    </w:p>
    <w:p w14:paraId="58A25947" w14:textId="77777777" w:rsidR="00EC660D" w:rsidRPr="00DE2979" w:rsidRDefault="00EC660D" w:rsidP="00EC660D">
      <w:pPr>
        <w:spacing w:after="240"/>
        <w:ind w:left="567" w:hanging="567"/>
      </w:pPr>
      <w:r w:rsidRPr="00DE2979">
        <w:t>2.</w:t>
      </w:r>
      <w:r w:rsidRPr="00DE2979">
        <w:tab/>
        <w:t>prima na znanje da će Komisija upotrijebiti raspoloživi proračun u okviru administrativne potpore za održavanje sastanaka stručne skupine osoba za kontakt u EGF-u (po dvoje članova iz svake države članice) i jednog seminara uz sudjelovanje provedbenih tijela EGF-a i socijalnih partnera radi poticanja umrežavanja među državama članicama; traži od Komisije da nastavi sustavno pozivati Parlament na te sastanke i seminare u skladu s mjerodavnim odredbama Okvirnog sporazuma o odnosima između Parlamenta i Komisije;</w:t>
      </w:r>
    </w:p>
    <w:p w14:paraId="6747D7E0" w14:textId="4E6ED422" w:rsidR="00EC660D" w:rsidRPr="00DE2979" w:rsidRDefault="00EC660D" w:rsidP="00EC660D">
      <w:pPr>
        <w:pStyle w:val="NormalHanging12a"/>
        <w:rPr>
          <w:bCs/>
          <w:iCs/>
        </w:rPr>
      </w:pPr>
      <w:r w:rsidRPr="00DE2979">
        <w:t>3.</w:t>
      </w:r>
      <w:r w:rsidRPr="00DE2979">
        <w:tab/>
        <w:t xml:space="preserve">ističe potrebu za daljnjim povećanjem opće osviještenosti i vidljivosti EGF-a; ističe </w:t>
      </w:r>
      <w:r w:rsidRPr="00DE2979">
        <w:lastRenderedPageBreak/>
        <w:t xml:space="preserve">činjenicu da se taj cilj može ostvariti uključivanjem EGF-a u razne publikacije i audiovizualne aktivnosti Komisije kako je predviđeno člankom 11. stavkom 1. Uredbe o EGF-u te širenjem ciljanih informacija nacionalnim, regionalnim i lokalnim tijelima, socijalnim partnerima i široj javnosti; </w:t>
      </w:r>
      <w:r w:rsidR="00F42714" w:rsidRPr="00DE2979">
        <w:rPr>
          <w:bdr w:val="none" w:sz="0" w:space="0" w:color="auto" w:frame="1"/>
        </w:rPr>
        <w:t xml:space="preserve">pozdravlja </w:t>
      </w:r>
      <w:r w:rsidRPr="00DE2979">
        <w:rPr>
          <w:bdr w:val="none" w:sz="0" w:space="0" w:color="auto" w:frame="1"/>
        </w:rPr>
        <w:t>u tom kontekstu održavanje posebne internetske stranice za EGF i poziva Komisiju da je redovito ažurira i proširuje;</w:t>
      </w:r>
      <w:r w:rsidRPr="00DE2979">
        <w:t xml:space="preserve"> poziva Komisiju da u svojim aktivnostima podizanja razine osviještenosti i komunikacijskim aktivnostima obrati posebnu pozornost na države članice koje još nisu iskoristile EGF ili su ga iskoristile samo u ograničenoj mjeri, uključujući one koje se suočavaju sa znatnim postupcima restrukturiranja i otpuštanjima, kako bi se poboljšalo znanje o EGF-u i olakšao pristup potpori iz EGF-a;</w:t>
      </w:r>
    </w:p>
    <w:p w14:paraId="4A319978" w14:textId="0CCCF4B2" w:rsidR="00EC660D" w:rsidRPr="00DE2979" w:rsidRDefault="00EC660D" w:rsidP="00EC660D">
      <w:pPr>
        <w:pStyle w:val="NormalHanging12a"/>
        <w:rPr>
          <w:bCs/>
          <w:iCs/>
        </w:rPr>
      </w:pPr>
      <w:r w:rsidRPr="00DE2979">
        <w:rPr>
          <w:bdr w:val="none" w:sz="0" w:space="0" w:color="auto" w:frame="1"/>
        </w:rPr>
        <w:t>4.</w:t>
      </w:r>
      <w:r w:rsidRPr="00DE2979">
        <w:rPr>
          <w:bdr w:val="none" w:sz="0" w:space="0" w:color="auto" w:frame="1"/>
        </w:rPr>
        <w:tab/>
        <w:t xml:space="preserve">ističe da je potrebno dodatno pojednostavniti postupak podnošenja zahtjeva za dodjelu sredstava iz EGF-a; </w:t>
      </w:r>
      <w:r w:rsidR="00F42714" w:rsidRPr="00DE2979">
        <w:rPr>
          <w:bdr w:val="none" w:sz="0" w:space="0" w:color="auto" w:frame="1"/>
        </w:rPr>
        <w:t xml:space="preserve">pozdravlja </w:t>
      </w:r>
      <w:r w:rsidRPr="00DE2979">
        <w:rPr>
          <w:bdr w:val="none" w:sz="0" w:space="0" w:color="auto" w:frame="1"/>
        </w:rPr>
        <w:t>u tom pogledu održavanje sustava elektroničke razmjene podataka i rad Komisije na standardiziranim postupcima za zahtjeve za dodjelu sredstava iz EGF-a;</w:t>
      </w:r>
      <w:r w:rsidRPr="00DE2979">
        <w:t xml:space="preserve"> poziva Komisiju da nastavi smanjivati administrativno opterećenje i skraćivati vrijeme između podnošenja zahtjeva i pružanja potpore korisnicima, osiguravajući pritom potpunu transparentnost i proračunski nadzor Europskog parlamenta kao jedne grane proračunskog tijela;</w:t>
      </w:r>
    </w:p>
    <w:p w14:paraId="6BD97C6A" w14:textId="77777777" w:rsidR="00EC660D" w:rsidRPr="00DE2979" w:rsidRDefault="00EC660D" w:rsidP="00EC660D">
      <w:pPr>
        <w:pStyle w:val="NormalHanging12a"/>
        <w:rPr>
          <w:bCs/>
          <w:iCs/>
        </w:rPr>
      </w:pPr>
      <w:r w:rsidRPr="00DE2979">
        <w:t>5.</w:t>
      </w:r>
      <w:r w:rsidRPr="00DE2979">
        <w:tab/>
        <w:t>naglašava da je važno osigurati da radnici pogođeni masovnim otpuštanjima, zatvaranjima i premještanjima mogu pronaći posao i nove mogućnosti; stoga naglašava da bi EGF i dalje trebao davati prednost mjerama osposobljavanja i prekvalifikacije za radnike koji su proglašeni viškom, nudeći načine osposobljavanja i kvalifikacije kojima se olakšava njihovo ponovno uključivanje na tržište rada; ističe da bi se evaluacije učinka EGF-a trebale usredotočiti na mjerenje ponovnog uključivanja korisnika na tržište rada i učinkovitosti pruženog osposobljavanja kako bi se tijekom vremena kontinuirano poboljšavali i prilagođavali načini osposobljavanja i mjere potpore;</w:t>
      </w:r>
    </w:p>
    <w:p w14:paraId="1186D6F6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t>6.</w:t>
      </w:r>
      <w:r w:rsidRPr="00DE2979">
        <w:tab/>
        <w:t>pozdravlja aktivnosti kojima se podiže razina osviještenosti na razini država članica, socijalnih partnera i poduzeća o izmjenama Uredbe o EGF-u koje uključuju mogućnost pružanja potpore i radnicima kojima predstoji otpuštanje iz poduzeća koje je u postupku restrukturiranja;</w:t>
      </w:r>
    </w:p>
    <w:p w14:paraId="7CF156EF" w14:textId="77777777" w:rsidR="00EC660D" w:rsidRPr="00DE2979" w:rsidRDefault="00EC660D" w:rsidP="00EC660D">
      <w:pPr>
        <w:pStyle w:val="NormalHanging12a"/>
        <w:rPr>
          <w:bCs/>
          <w:iCs/>
        </w:rPr>
      </w:pPr>
      <w:r w:rsidRPr="00DE2979">
        <w:t>7.</w:t>
      </w:r>
      <w:r w:rsidRPr="00DE2979">
        <w:tab/>
        <w:t>naglašava da bi rashodi koji se financiraju u okviru tehničke pomoći trebali podlijegati strogom praćenju i redovitoj evaluaciji kako bi se osiguralo dobro financijsko upravljanje, troškovna učinkovitost i konkretna dodana vrijednost za države članice i korisnike; poziva Komisiju da pruži detaljne informacije o upotrebi sredstava tehničke pomoći i konkretnim ishodima postignutima financiranim aktivnostima;</w:t>
      </w:r>
    </w:p>
    <w:p w14:paraId="51A0F82C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t>8.</w:t>
      </w:r>
      <w:r w:rsidRPr="00DE2979">
        <w:tab/>
        <w:t>odobrava Odluku priloženu ovoj Rezoluciji;</w:t>
      </w:r>
    </w:p>
    <w:p w14:paraId="275D98D0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t>9.</w:t>
      </w:r>
      <w:r w:rsidRPr="00DE2979">
        <w:tab/>
        <w:t xml:space="preserve">nalaže svojoj predsjednici da potpiše ovu Odluku zajedno s predsjednikom Vijeća te da je da na objavu u </w:t>
      </w:r>
      <w:r w:rsidRPr="00DE2979">
        <w:rPr>
          <w:i/>
        </w:rPr>
        <w:t>Službenom listu Europske unije</w:t>
      </w:r>
      <w:r w:rsidRPr="00DE2979">
        <w:t>;</w:t>
      </w:r>
    </w:p>
    <w:p w14:paraId="4CBC1B75" w14:textId="77777777" w:rsidR="00EC660D" w:rsidRPr="00DE2979" w:rsidRDefault="00EC660D" w:rsidP="00EC660D">
      <w:pPr>
        <w:pStyle w:val="NormalHanging12a"/>
        <w:rPr>
          <w:noProof/>
        </w:rPr>
      </w:pPr>
      <w:r w:rsidRPr="00DE2979">
        <w:t>10.</w:t>
      </w:r>
      <w:r w:rsidRPr="00DE2979">
        <w:tab/>
        <w:t>nalaže svojoj predsjednici da ovu Rezoluciju, zajedno s njezinim Prilogom, proslijedi Vijeću i Komisiji.</w:t>
      </w:r>
    </w:p>
    <w:p w14:paraId="677644AC" w14:textId="77777777" w:rsidR="00EC660D" w:rsidRPr="00DE2979" w:rsidRDefault="00EC660D" w:rsidP="00EC660D">
      <w:pPr>
        <w:pStyle w:val="PageHeading"/>
        <w:rPr>
          <w:noProof/>
        </w:rPr>
        <w:sectPr w:rsidR="00EC660D" w:rsidRPr="00DE2979" w:rsidSect="00F34341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F356D46" w14:textId="77777777" w:rsidR="00EC660D" w:rsidRPr="00DE2979" w:rsidRDefault="00EC660D" w:rsidP="00EC660D">
      <w:pPr>
        <w:pStyle w:val="PageHeading"/>
        <w:rPr>
          <w:noProof/>
        </w:rPr>
      </w:pPr>
      <w:bookmarkStart w:id="7" w:name="_Toc233722008"/>
      <w:r w:rsidRPr="00DE2979">
        <w:lastRenderedPageBreak/>
        <w:t>PRILOG: ODLUKA EUROPSKOG PARLAMENTA I VIJEĆA</w:t>
      </w:r>
      <w:bookmarkEnd w:id="7"/>
    </w:p>
    <w:p w14:paraId="7FADFAC1" w14:textId="77777777" w:rsidR="00EC660D" w:rsidRPr="00DE2979" w:rsidRDefault="00EC660D" w:rsidP="00EC660D">
      <w:pPr>
        <w:pStyle w:val="NormalBold24a"/>
      </w:pPr>
      <w:r w:rsidRPr="00DE2979">
        <w:t>o mobilizaciji, na inicijativu Komisije, Europskog fonda za prilagodbu globalizaciji za radnike koji su proglašeni viškom (EGF/2026/000 TA 2026 – Tehnička pomoć)</w:t>
      </w:r>
    </w:p>
    <w:p w14:paraId="5079C6A2" w14:textId="77777777" w:rsidR="00EC660D" w:rsidRPr="00DE2979" w:rsidRDefault="00EC660D" w:rsidP="00EC660D">
      <w:pPr>
        <w:pStyle w:val="NormalHanging12a"/>
      </w:pPr>
      <w:r w:rsidRPr="00DE2979">
        <w:t>EUROPSKI PARLAMENT I VIJEĆE EUROPSKE UNIJE,</w:t>
      </w:r>
    </w:p>
    <w:p w14:paraId="6AC60CE4" w14:textId="77777777" w:rsidR="00EC660D" w:rsidRPr="00DE2979" w:rsidRDefault="00EC660D" w:rsidP="00EC660D">
      <w:pPr>
        <w:pStyle w:val="NormalHanging12a"/>
      </w:pPr>
      <w:r w:rsidRPr="00DE2979">
        <w:t>uzimajući u obzir Ugovor o funkcioniranju Europske unije,</w:t>
      </w:r>
    </w:p>
    <w:p w14:paraId="4AE97113" w14:textId="77777777" w:rsidR="00EC660D" w:rsidRPr="00DE2979" w:rsidRDefault="00EC660D" w:rsidP="00EC660D">
      <w:pPr>
        <w:pStyle w:val="NormalHanging12a"/>
        <w:ind w:left="0" w:firstLine="0"/>
      </w:pPr>
      <w:r w:rsidRPr="00DE2979">
        <w:t>uzimajući u obzir Uredbu (EU) 2021/691 Europskog parlamenta i Vijeća od 28. travnja 2021. o Europskom fondu za prilagodbu globalizaciji za radnike koji su proglašeni viškom (EGF) i stavljanju izvan snage Uredbe (EU) br. 1309/2013</w:t>
      </w:r>
      <w:r w:rsidRPr="00DE2979">
        <w:rPr>
          <w:vertAlign w:val="superscript"/>
        </w:rPr>
        <w:footnoteReference w:id="6"/>
      </w:r>
      <w:r w:rsidRPr="00DE2979">
        <w:t>, a posebno njezin članak 15. stavak 1. prvi podstavak,</w:t>
      </w:r>
    </w:p>
    <w:p w14:paraId="78A3D59E" w14:textId="77777777" w:rsidR="00EC660D" w:rsidRPr="00DE2979" w:rsidRDefault="00EC660D" w:rsidP="00EC660D">
      <w:pPr>
        <w:pStyle w:val="NormalHanging12a"/>
        <w:ind w:left="0" w:firstLine="0"/>
      </w:pPr>
      <w:r w:rsidRPr="00DE2979">
        <w:t xml:space="preserve">uzimajući u obzir </w:t>
      </w:r>
      <w:proofErr w:type="spellStart"/>
      <w:r w:rsidRPr="00DE2979">
        <w:t>Međuinstitucijski</w:t>
      </w:r>
      <w:proofErr w:type="spellEnd"/>
      <w:r w:rsidRPr="00DE2979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DE2979">
        <w:rPr>
          <w:vertAlign w:val="superscript"/>
        </w:rPr>
        <w:footnoteReference w:id="7"/>
      </w:r>
      <w:r w:rsidRPr="00DE2979">
        <w:t>, a posebno njegovu točku 9.,</w:t>
      </w:r>
    </w:p>
    <w:p w14:paraId="404707EF" w14:textId="77777777" w:rsidR="00EC660D" w:rsidRPr="00DE2979" w:rsidRDefault="00EC660D" w:rsidP="00EC660D">
      <w:pPr>
        <w:pStyle w:val="NormalHanging12a"/>
      </w:pPr>
      <w:r w:rsidRPr="00DE2979">
        <w:t>uzimajući u obzir prijedlog Europske komisije,</w:t>
      </w:r>
    </w:p>
    <w:p w14:paraId="00082748" w14:textId="77777777" w:rsidR="00EC660D" w:rsidRPr="00DE2979" w:rsidRDefault="00EC660D" w:rsidP="00EC660D">
      <w:pPr>
        <w:pStyle w:val="NormalHanging12a"/>
        <w:jc w:val="both"/>
      </w:pPr>
      <w:r w:rsidRPr="00DE2979">
        <w:t>budući da:</w:t>
      </w:r>
    </w:p>
    <w:p w14:paraId="53D7A542" w14:textId="77777777" w:rsidR="00EC660D" w:rsidRPr="00DE2979" w:rsidRDefault="00EC660D" w:rsidP="00EC660D">
      <w:pPr>
        <w:pStyle w:val="NormalHanging12a"/>
        <w:jc w:val="both"/>
      </w:pPr>
      <w:r w:rsidRPr="00DE2979">
        <w:t>(1)</w:t>
      </w:r>
      <w:r w:rsidRPr="00DE2979">
        <w:tab/>
        <w:t>Cilj je Europskog fonda za prilagodbu globalizaciji za radnike koji su proglašeni viškom (EGF) iskazati solidarnost i promicati dostojanstveno i održivo zapošljavanje u Uniji pružanjem potpore otpuštenim radnicima i samozaposlenim osobama koje su prestale obavljati svoju djelatnost zbog velikih restrukturiranja te im pomoći da što prije pronađu novo dostojanstveno i održivo zaposlenje.</w:t>
      </w:r>
    </w:p>
    <w:p w14:paraId="12EBC659" w14:textId="77777777" w:rsidR="00EC660D" w:rsidRPr="00DE2979" w:rsidRDefault="00EC660D" w:rsidP="00EC660D">
      <w:pPr>
        <w:pStyle w:val="NormalHanging12a"/>
        <w:jc w:val="both"/>
      </w:pPr>
      <w:r w:rsidRPr="00DE2979">
        <w:t>(2)</w:t>
      </w:r>
      <w:r w:rsidRPr="00DE2979">
        <w:tab/>
        <w:t>U skladu s člankom 8. Uredbe Vijeća (EU, Euratom) 2020/2093</w:t>
      </w:r>
      <w:r w:rsidRPr="00DE2979">
        <w:rPr>
          <w:iCs/>
          <w:vertAlign w:val="superscript"/>
        </w:rPr>
        <w:footnoteReference w:id="8"/>
      </w:r>
      <w:r w:rsidRPr="00DE2979">
        <w:t>, kako je izmijenjena Uredbom Vijeća (EU, Euratom) 2024/765</w:t>
      </w:r>
      <w:r w:rsidRPr="00DE2979">
        <w:rPr>
          <w:iCs/>
          <w:vertAlign w:val="superscript"/>
        </w:rPr>
        <w:footnoteReference w:id="9"/>
      </w:r>
      <w:r w:rsidRPr="00DE2979">
        <w:t>, i člankom 16. Uredbe (EU) 2021/691, sredstva EGF-a ne smiju premašiti maksimalni godišnji iznos od 30 milijuna EUR (u cijenama iz 2018.).</w:t>
      </w:r>
    </w:p>
    <w:p w14:paraId="7A24FE9F" w14:textId="77777777" w:rsidR="00EC660D" w:rsidRPr="00DE2979" w:rsidRDefault="00EC660D" w:rsidP="00EC660D">
      <w:pPr>
        <w:pStyle w:val="NormalHanging12a"/>
        <w:jc w:val="both"/>
      </w:pPr>
      <w:r w:rsidRPr="00DE2979">
        <w:t>(3)</w:t>
      </w:r>
      <w:r w:rsidRPr="00DE2979">
        <w:tab/>
        <w:t>Uredbom (EU) 2021/691 predviđeno je da se svake godine na inicijativu Komisije za tehničku pomoć može upotrijebiti najviše 1,5 % najvišeg godišnjeg iznosa EGF-a.</w:t>
      </w:r>
    </w:p>
    <w:p w14:paraId="78492619" w14:textId="77777777" w:rsidR="00EC660D" w:rsidRPr="00DE2979" w:rsidRDefault="00EC660D" w:rsidP="00EC660D">
      <w:pPr>
        <w:pStyle w:val="NormalHanging12a"/>
        <w:jc w:val="both"/>
      </w:pPr>
      <w:r w:rsidRPr="00DE2979">
        <w:t>(4)</w:t>
      </w:r>
      <w:r w:rsidRPr="00DE2979">
        <w:tab/>
        <w:t>Ta je pomoć potrebna za ispunjavanje obveza povezanih s provedbom EGF-a kako je predviđeno člankom 11. Uredbe (EU) 2021/691, osobito u pogledu praćenja i prikupljanja podataka te komunikacijskih aktivnosti i aktivnosti kojima se povećava vidljivost EGF-</w:t>
      </w:r>
      <w:r w:rsidRPr="00DE2979">
        <w:lastRenderedPageBreak/>
        <w:t>a.</w:t>
      </w:r>
    </w:p>
    <w:p w14:paraId="29479587" w14:textId="77777777" w:rsidR="00EC660D" w:rsidRPr="00DE2979" w:rsidRDefault="00EC660D" w:rsidP="00EC660D">
      <w:pPr>
        <w:pStyle w:val="NormalHanging12a"/>
        <w:jc w:val="both"/>
      </w:pPr>
      <w:r w:rsidRPr="00DE2979">
        <w:t>(5)</w:t>
      </w:r>
      <w:r w:rsidRPr="00DE2979">
        <w:tab/>
        <w:t>EGF bi stoga trebalo mobilizirati kako bi se pružila tehnička pomoć na inicijativu Komisije u iznosu od 210 000 EUR,</w:t>
      </w:r>
    </w:p>
    <w:p w14:paraId="3A402D0B" w14:textId="77777777" w:rsidR="00EC660D" w:rsidRPr="00DE2979" w:rsidRDefault="00EC660D" w:rsidP="00EC660D">
      <w:r w:rsidRPr="00DE2979">
        <w:t>DONIJELI SU OVU ODLUKU:</w:t>
      </w:r>
    </w:p>
    <w:p w14:paraId="4B0CC009" w14:textId="77777777" w:rsidR="00EC660D" w:rsidRPr="00DE2979" w:rsidRDefault="00EC660D" w:rsidP="00EC660D"/>
    <w:p w14:paraId="432FE639" w14:textId="77777777" w:rsidR="00EC660D" w:rsidRPr="00DE2979" w:rsidRDefault="00EC660D" w:rsidP="00EC660D">
      <w:pPr>
        <w:jc w:val="center"/>
        <w:rPr>
          <w:i/>
          <w:iCs/>
        </w:rPr>
      </w:pPr>
      <w:r w:rsidRPr="00DE2979">
        <w:rPr>
          <w:i/>
        </w:rPr>
        <w:t>Članak 1.</w:t>
      </w:r>
    </w:p>
    <w:p w14:paraId="1F9FE117" w14:textId="77777777" w:rsidR="00EC660D" w:rsidRPr="00DE2979" w:rsidRDefault="00EC660D" w:rsidP="00EC660D">
      <w:pPr>
        <w:jc w:val="center"/>
        <w:rPr>
          <w:i/>
          <w:iCs/>
        </w:rPr>
      </w:pPr>
    </w:p>
    <w:p w14:paraId="538AF4AA" w14:textId="77777777" w:rsidR="00EC660D" w:rsidRPr="00DE2979" w:rsidRDefault="00EC660D" w:rsidP="00EC660D">
      <w:bookmarkStart w:id="8" w:name="_Hlk230695449"/>
      <w:r w:rsidRPr="00DE2979">
        <w:t>U okviru općeg proračuna Unije za financijsku godinu 2026. mobilizira se Europski fond za prilagodbu globalizaciji za radnike koji su proglašeni viškom kako bi se osigurao iznos od 210 000 EUR u obliku odobrenih sredstava za preuzimanje obveza i odobrenih sredstava za plaćanje.</w:t>
      </w:r>
      <w:bookmarkEnd w:id="8"/>
    </w:p>
    <w:p w14:paraId="14D8F846" w14:textId="77777777" w:rsidR="00EC660D" w:rsidRPr="00DE2979" w:rsidRDefault="00EC660D" w:rsidP="00EC660D"/>
    <w:p w14:paraId="62B95917" w14:textId="77777777" w:rsidR="00EC660D" w:rsidRPr="00DE2979" w:rsidRDefault="00EC660D" w:rsidP="00EC660D">
      <w:pPr>
        <w:jc w:val="center"/>
        <w:rPr>
          <w:i/>
          <w:iCs/>
        </w:rPr>
      </w:pPr>
      <w:r w:rsidRPr="00DE2979">
        <w:rPr>
          <w:i/>
        </w:rPr>
        <w:t>Članak 2.</w:t>
      </w:r>
    </w:p>
    <w:p w14:paraId="7B9BA204" w14:textId="77777777" w:rsidR="00EC660D" w:rsidRPr="00DE2979" w:rsidRDefault="00EC660D" w:rsidP="00EC660D"/>
    <w:p w14:paraId="1CA36B6A" w14:textId="77777777" w:rsidR="00EC660D" w:rsidRPr="00DE2979" w:rsidRDefault="00EC660D" w:rsidP="00EC660D">
      <w:r w:rsidRPr="00DE2979">
        <w:t xml:space="preserve">Ova Odluka stupa na snagu na dan objave u </w:t>
      </w:r>
      <w:r w:rsidRPr="00DE2979">
        <w:rPr>
          <w:i/>
        </w:rPr>
        <w:t>Službenom listu Europske unije</w:t>
      </w:r>
      <w:r w:rsidRPr="00DE2979">
        <w:t xml:space="preserve">. </w:t>
      </w:r>
    </w:p>
    <w:p w14:paraId="445C9401" w14:textId="77777777" w:rsidR="00EC660D" w:rsidRPr="00DE2979" w:rsidRDefault="00EC660D" w:rsidP="00EC660D"/>
    <w:p w14:paraId="2EA6C3AE" w14:textId="77777777" w:rsidR="00EC660D" w:rsidRPr="00DE2979" w:rsidRDefault="00EC660D" w:rsidP="00EC660D"/>
    <w:p w14:paraId="4EADB178" w14:textId="62090453" w:rsidR="00EC660D" w:rsidRPr="00DE2979" w:rsidRDefault="00EC660D" w:rsidP="00EC660D">
      <w:r w:rsidRPr="00DE2979">
        <w:t xml:space="preserve">Sastavljeno u </w:t>
      </w:r>
    </w:p>
    <w:p w14:paraId="787E1877" w14:textId="77777777" w:rsidR="00EC660D" w:rsidRPr="00DE2979" w:rsidRDefault="00EC660D" w:rsidP="00EC660D"/>
    <w:p w14:paraId="187D7F33" w14:textId="77777777" w:rsidR="00EC660D" w:rsidRPr="00DE2979" w:rsidRDefault="00EC660D" w:rsidP="00EC660D">
      <w:pPr>
        <w:rPr>
          <w:i/>
        </w:rPr>
      </w:pPr>
      <w:r w:rsidRPr="00DE2979">
        <w:rPr>
          <w:i/>
        </w:rPr>
        <w:t>Za Europski parlament</w:t>
      </w:r>
      <w:r w:rsidRPr="00DE2979">
        <w:rPr>
          <w:i/>
        </w:rPr>
        <w:tab/>
      </w:r>
      <w:r w:rsidRPr="00DE2979">
        <w:rPr>
          <w:i/>
        </w:rPr>
        <w:tab/>
      </w:r>
      <w:r w:rsidRPr="00DE2979">
        <w:rPr>
          <w:i/>
        </w:rPr>
        <w:tab/>
        <w:t>Za Vijeće</w:t>
      </w:r>
    </w:p>
    <w:p w14:paraId="218585A5" w14:textId="7E67CD35" w:rsidR="00F34341" w:rsidRPr="00DE2979" w:rsidRDefault="00EC660D" w:rsidP="00F34341">
      <w:pPr>
        <w:pStyle w:val="NormalHanging12a"/>
      </w:pPr>
      <w:r w:rsidRPr="00DE2979">
        <w:rPr>
          <w:i/>
        </w:rPr>
        <w:t>Predsjednica</w:t>
      </w:r>
      <w:r w:rsidRPr="00DE2979">
        <w:rPr>
          <w:i/>
        </w:rPr>
        <w:tab/>
      </w:r>
      <w:r w:rsidRPr="00DE2979">
        <w:rPr>
          <w:i/>
        </w:rPr>
        <w:tab/>
      </w:r>
      <w:r w:rsidRPr="00DE2979">
        <w:rPr>
          <w:i/>
        </w:rPr>
        <w:tab/>
      </w:r>
      <w:r w:rsidR="00DE2979">
        <w:rPr>
          <w:i/>
        </w:rPr>
        <w:tab/>
      </w:r>
      <w:r w:rsidR="00DE2979">
        <w:rPr>
          <w:i/>
        </w:rPr>
        <w:tab/>
      </w:r>
      <w:r w:rsidRPr="00DE2979">
        <w:rPr>
          <w:i/>
        </w:rPr>
        <w:t>Predsjednik/Predsjednica</w:t>
      </w:r>
    </w:p>
    <w:p w14:paraId="095FEA03" w14:textId="06E6418E" w:rsidR="00E365E1" w:rsidRPr="00DE2979" w:rsidRDefault="00E365E1" w:rsidP="0047048E"/>
    <w:sectPr w:rsidR="00E365E1" w:rsidRPr="00DE2979" w:rsidSect="00F343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C6B9D" w14:textId="77777777" w:rsidR="0047048E" w:rsidRPr="00F34341" w:rsidRDefault="0047048E">
      <w:r w:rsidRPr="00F34341">
        <w:separator/>
      </w:r>
    </w:p>
  </w:endnote>
  <w:endnote w:type="continuationSeparator" w:id="0">
    <w:p w14:paraId="42146541" w14:textId="77777777" w:rsidR="0047048E" w:rsidRPr="00F34341" w:rsidRDefault="0047048E">
      <w:r w:rsidRPr="00F343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A69B6" w14:textId="77777777" w:rsidR="00EC660D" w:rsidRPr="00F34341" w:rsidRDefault="00EC660D" w:rsidP="00F51FD8">
    <w:pPr>
      <w:pStyle w:val="EPFooter"/>
    </w:pPr>
    <w:r w:rsidRPr="00F34341">
      <w:t>PE</w:t>
    </w:r>
    <w:r w:rsidRPr="00F34341">
      <w:rPr>
        <w:rStyle w:val="HideTWBExt"/>
      </w:rPr>
      <w:t>&lt;</w:t>
    </w:r>
    <w:proofErr w:type="spellStart"/>
    <w:r w:rsidRPr="00F34341">
      <w:rPr>
        <w:rStyle w:val="HideTWBExt"/>
      </w:rPr>
      <w:t>NoPE</w:t>
    </w:r>
    <w:proofErr w:type="spellEnd"/>
    <w:r w:rsidRPr="00F34341">
      <w:rPr>
        <w:rStyle w:val="HideTWBExt"/>
      </w:rPr>
      <w:t>&gt;</w:t>
    </w:r>
    <w:r w:rsidRPr="00F34341">
      <w:t>789.086</w:t>
    </w:r>
    <w:r w:rsidRPr="00F34341">
      <w:rPr>
        <w:rStyle w:val="HideTWBExt"/>
      </w:rPr>
      <w:t>&lt;/</w:t>
    </w:r>
    <w:proofErr w:type="spellStart"/>
    <w:r w:rsidRPr="00F34341">
      <w:rPr>
        <w:rStyle w:val="HideTWBExt"/>
      </w:rPr>
      <w:t>NoPE</w:t>
    </w:r>
    <w:proofErr w:type="spellEnd"/>
    <w:r w:rsidRPr="00F34341">
      <w:rPr>
        <w:rStyle w:val="HideTWBExt"/>
      </w:rPr>
      <w:t>&gt;&lt;Version&gt;</w:t>
    </w:r>
    <w:r w:rsidRPr="00F34341">
      <w:t>v02-00</w:t>
    </w:r>
    <w:r w:rsidRPr="00F34341">
      <w:rPr>
        <w:rStyle w:val="HideTWBExt"/>
      </w:rPr>
      <w:t>&lt;/</w:t>
    </w:r>
    <w:proofErr w:type="spellStart"/>
    <w:r w:rsidRPr="00F34341">
      <w:rPr>
        <w:rStyle w:val="HideTWBExt"/>
      </w:rPr>
      <w:t>Version</w:t>
    </w:r>
    <w:proofErr w:type="spellEnd"/>
    <w:r w:rsidRPr="00F34341">
      <w:rPr>
        <w:rStyle w:val="HideTWBExt"/>
      </w:rPr>
      <w:t>&gt;</w:t>
    </w:r>
    <w:r w:rsidRPr="00F34341">
      <w:tab/>
    </w:r>
    <w:r w:rsidRPr="00F34341">
      <w:fldChar w:fldCharType="begin"/>
    </w:r>
    <w:r w:rsidRPr="00F34341">
      <w:instrText xml:space="preserve"> PAGE  \* MERGEFORMAT </w:instrText>
    </w:r>
    <w:r w:rsidRPr="00F34341">
      <w:fldChar w:fldCharType="separate"/>
    </w:r>
    <w:r w:rsidRPr="00F34341">
      <w:rPr>
        <w:noProof/>
      </w:rPr>
      <w:t>1</w:t>
    </w:r>
    <w:r w:rsidRPr="00F34341">
      <w:fldChar w:fldCharType="end"/>
    </w:r>
    <w:r w:rsidRPr="00F34341">
      <w:t>/</w:t>
    </w:r>
    <w:fldSimple w:instr=" NUMPAGES  \* MERGEFORMAT ">
      <w:r w:rsidRPr="00F34341">
        <w:rPr>
          <w:noProof/>
        </w:rPr>
        <w:t>2</w:t>
      </w:r>
    </w:fldSimple>
    <w:r w:rsidRPr="00F34341">
      <w:tab/>
    </w:r>
    <w:r w:rsidRPr="00F34341">
      <w:rPr>
        <w:rStyle w:val="HideTWBExt"/>
      </w:rPr>
      <w:t>&lt;PathFdR&gt;</w:t>
    </w:r>
    <w:r w:rsidRPr="00F34341">
      <w:t>RR\1346613HR.docx</w:t>
    </w:r>
    <w:r w:rsidRPr="00F34341">
      <w:rPr>
        <w:rStyle w:val="HideTWBExt"/>
      </w:rPr>
      <w:t>&lt;/</w:t>
    </w:r>
    <w:proofErr w:type="spellStart"/>
    <w:r w:rsidRPr="00F34341">
      <w:rPr>
        <w:rStyle w:val="HideTWBExt"/>
      </w:rPr>
      <w:t>PathFdR</w:t>
    </w:r>
    <w:proofErr w:type="spellEnd"/>
    <w:r w:rsidRPr="00F34341">
      <w:rPr>
        <w:rStyle w:val="HideTWBExt"/>
      </w:rPr>
      <w:t>&gt;</w:t>
    </w:r>
  </w:p>
  <w:p w14:paraId="6FA64C4C" w14:textId="77777777" w:rsidR="00EC660D" w:rsidRPr="00F34341" w:rsidRDefault="00EC660D" w:rsidP="00F51FD8">
    <w:pPr>
      <w:pStyle w:val="EPFooter2"/>
    </w:pPr>
    <w:r w:rsidRPr="00F34341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0CDC" w14:textId="77777777" w:rsidR="00EC660D" w:rsidRPr="00F34341" w:rsidRDefault="00EC660D" w:rsidP="00F51FD8">
    <w:pPr>
      <w:pStyle w:val="EPFooter"/>
    </w:pPr>
    <w:r w:rsidRPr="00F34341">
      <w:rPr>
        <w:rStyle w:val="HideTWBExt"/>
      </w:rPr>
      <w:t>&lt;PathFdR&gt;</w:t>
    </w:r>
    <w:r w:rsidRPr="00F34341">
      <w:t>RR\1346613HR.docx</w:t>
    </w:r>
    <w:r w:rsidRPr="00F34341">
      <w:rPr>
        <w:rStyle w:val="HideTWBExt"/>
      </w:rPr>
      <w:t>&lt;/</w:t>
    </w:r>
    <w:proofErr w:type="spellStart"/>
    <w:r w:rsidRPr="00F34341">
      <w:rPr>
        <w:rStyle w:val="HideTWBExt"/>
      </w:rPr>
      <w:t>PathFdR</w:t>
    </w:r>
    <w:proofErr w:type="spellEnd"/>
    <w:r w:rsidRPr="00F34341">
      <w:rPr>
        <w:rStyle w:val="HideTWBExt"/>
      </w:rPr>
      <w:t>&gt;</w:t>
    </w:r>
    <w:r w:rsidRPr="00F34341">
      <w:tab/>
    </w:r>
    <w:r w:rsidRPr="00F34341">
      <w:tab/>
      <w:t>PE</w:t>
    </w:r>
    <w:r w:rsidRPr="00F34341">
      <w:rPr>
        <w:rStyle w:val="HideTWBExt"/>
      </w:rPr>
      <w:t>&lt;</w:t>
    </w:r>
    <w:proofErr w:type="spellStart"/>
    <w:r w:rsidRPr="00F34341">
      <w:rPr>
        <w:rStyle w:val="HideTWBExt"/>
      </w:rPr>
      <w:t>NoPE</w:t>
    </w:r>
    <w:proofErr w:type="spellEnd"/>
    <w:r w:rsidRPr="00F34341">
      <w:rPr>
        <w:rStyle w:val="HideTWBExt"/>
      </w:rPr>
      <w:t>&gt;</w:t>
    </w:r>
    <w:r w:rsidRPr="00F34341">
      <w:t>789.086</w:t>
    </w:r>
    <w:r w:rsidRPr="00F34341">
      <w:rPr>
        <w:rStyle w:val="HideTWBExt"/>
      </w:rPr>
      <w:t>&lt;/</w:t>
    </w:r>
    <w:proofErr w:type="spellStart"/>
    <w:r w:rsidRPr="00F34341">
      <w:rPr>
        <w:rStyle w:val="HideTWBExt"/>
      </w:rPr>
      <w:t>NoPE</w:t>
    </w:r>
    <w:proofErr w:type="spellEnd"/>
    <w:r w:rsidRPr="00F34341">
      <w:rPr>
        <w:rStyle w:val="HideTWBExt"/>
      </w:rPr>
      <w:t>&gt;&lt;Version&gt;</w:t>
    </w:r>
    <w:r w:rsidRPr="00F34341">
      <w:t>v02-00</w:t>
    </w:r>
    <w:r w:rsidRPr="00F34341">
      <w:rPr>
        <w:rStyle w:val="HideTWBExt"/>
      </w:rPr>
      <w:t>&lt;/</w:t>
    </w:r>
    <w:proofErr w:type="spellStart"/>
    <w:r w:rsidRPr="00F34341">
      <w:rPr>
        <w:rStyle w:val="HideTWBExt"/>
      </w:rPr>
      <w:t>Version</w:t>
    </w:r>
    <w:proofErr w:type="spellEnd"/>
    <w:r w:rsidRPr="00F34341">
      <w:rPr>
        <w:rStyle w:val="HideTWBExt"/>
      </w:rPr>
      <w:t>&gt;</w:t>
    </w:r>
  </w:p>
  <w:p w14:paraId="6AD422E5" w14:textId="77777777" w:rsidR="00EC660D" w:rsidRPr="00F34341" w:rsidRDefault="00EC660D" w:rsidP="00F51FD8">
    <w:pPr>
      <w:pStyle w:val="EPFooter2"/>
    </w:pPr>
    <w:r w:rsidRPr="00F34341">
      <w:t>HR</w:t>
    </w:r>
    <w:r w:rsidRPr="00F34341">
      <w:tab/>
    </w:r>
    <w:r w:rsidRPr="00F34341">
      <w:rPr>
        <w:b w:val="0"/>
        <w:i/>
        <w:color w:val="C0C0C0"/>
        <w:sz w:val="22"/>
      </w:rPr>
      <w:t>Ujedinjena u raznolikosti</w:t>
    </w:r>
    <w:r w:rsidRPr="00F34341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8D521" w14:textId="77777777" w:rsidR="00064002" w:rsidRPr="00F3434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8BF2D" w14:textId="77777777" w:rsidR="00064002" w:rsidRPr="00F3434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03D75" w14:textId="77777777" w:rsidR="00064002" w:rsidRPr="00F343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D0492" w14:textId="77777777" w:rsidR="0047048E" w:rsidRPr="00F34341" w:rsidRDefault="0047048E">
      <w:r w:rsidRPr="00F34341">
        <w:separator/>
      </w:r>
    </w:p>
  </w:footnote>
  <w:footnote w:type="continuationSeparator" w:id="0">
    <w:p w14:paraId="571B0250" w14:textId="77777777" w:rsidR="0047048E" w:rsidRPr="00F34341" w:rsidRDefault="0047048E">
      <w:r w:rsidRPr="00F34341">
        <w:continuationSeparator/>
      </w:r>
    </w:p>
  </w:footnote>
  <w:footnote w:id="1">
    <w:p w14:paraId="0808E76B" w14:textId="717B2C83" w:rsidR="00EC660D" w:rsidRPr="00F34341" w:rsidRDefault="00EC660D" w:rsidP="00F34341">
      <w:pPr>
        <w:pStyle w:val="FootnoteText"/>
        <w:ind w:left="567" w:hanging="567"/>
        <w:rPr>
          <w:sz w:val="24"/>
          <w:lang w:val="hr-HR"/>
        </w:rPr>
      </w:pPr>
      <w:r w:rsidRPr="00F34341">
        <w:rPr>
          <w:rStyle w:val="FootnoteReference"/>
          <w:sz w:val="24"/>
          <w:lang w:val="hr-HR"/>
        </w:rPr>
        <w:footnoteRef/>
      </w:r>
      <w:r w:rsidR="00F34341" w:rsidRPr="00F34341">
        <w:rPr>
          <w:sz w:val="24"/>
          <w:lang w:val="hr-HR"/>
        </w:rPr>
        <w:t xml:space="preserve"> </w:t>
      </w:r>
      <w:r w:rsidR="00F34341" w:rsidRPr="00F34341">
        <w:rPr>
          <w:sz w:val="24"/>
          <w:lang w:val="hr-HR"/>
        </w:rPr>
        <w:tab/>
      </w:r>
      <w:r w:rsidRPr="00F34341">
        <w:rPr>
          <w:sz w:val="24"/>
          <w:lang w:val="hr-HR"/>
        </w:rPr>
        <w:t xml:space="preserve">SL L 153, 3.5.2021., str. 48., ELI: </w:t>
      </w:r>
      <w:hyperlink r:id="rId1" w:history="1">
        <w:r w:rsidRPr="00F34341">
          <w:rPr>
            <w:rStyle w:val="Hyperlink"/>
            <w:color w:val="0070C0"/>
            <w:sz w:val="24"/>
            <w:lang w:val="hr-HR"/>
          </w:rPr>
          <w:t>http://data.europa.eu/eli/reg/2021/691/oj</w:t>
        </w:r>
      </w:hyperlink>
      <w:r w:rsidRPr="00F34341">
        <w:rPr>
          <w:color w:val="0070C0"/>
          <w:sz w:val="24"/>
          <w:lang w:val="hr-HR"/>
        </w:rPr>
        <w:t>.</w:t>
      </w:r>
    </w:p>
  </w:footnote>
  <w:footnote w:id="2">
    <w:p w14:paraId="58A297E9" w14:textId="285D0641" w:rsidR="00EC660D" w:rsidRPr="00F34341" w:rsidRDefault="00EC660D" w:rsidP="00F34341">
      <w:pPr>
        <w:pStyle w:val="FootnoteText"/>
        <w:ind w:left="567" w:hanging="567"/>
        <w:rPr>
          <w:sz w:val="24"/>
          <w:lang w:val="hr-HR"/>
        </w:rPr>
      </w:pPr>
      <w:r w:rsidRPr="00F34341">
        <w:rPr>
          <w:rStyle w:val="FootnoteReference"/>
          <w:sz w:val="24"/>
          <w:lang w:val="hr-HR"/>
        </w:rPr>
        <w:footnoteRef/>
      </w:r>
      <w:r w:rsidR="00F34341" w:rsidRPr="00F34341">
        <w:rPr>
          <w:sz w:val="24"/>
          <w:lang w:val="hr-HR"/>
        </w:rPr>
        <w:t xml:space="preserve"> </w:t>
      </w:r>
      <w:r w:rsidR="00F34341" w:rsidRPr="00F34341">
        <w:rPr>
          <w:sz w:val="24"/>
          <w:lang w:val="hr-HR"/>
        </w:rPr>
        <w:tab/>
      </w:r>
      <w:r w:rsidRPr="00F34341">
        <w:rPr>
          <w:sz w:val="24"/>
          <w:lang w:val="hr-HR"/>
        </w:rPr>
        <w:t>SL L, 2026/1139, 20.5.2026., ELI: </w:t>
      </w:r>
      <w:hyperlink r:id="rId2" w:tgtFrame="_blank" w:tooltip="ELI URI za pristup dokumentu." w:history="1">
        <w:r w:rsidRPr="00F34341">
          <w:rPr>
            <w:rStyle w:val="Hyperlink"/>
            <w:color w:val="0070C0"/>
            <w:sz w:val="24"/>
            <w:lang w:val="hr-HR"/>
          </w:rPr>
          <w:t>http://data.europa.eu/eli/reg/2026/1139/oj</w:t>
        </w:r>
      </w:hyperlink>
      <w:r w:rsidRPr="00F34341">
        <w:rPr>
          <w:color w:val="0070C0"/>
          <w:sz w:val="24"/>
          <w:lang w:val="hr-HR"/>
        </w:rPr>
        <w:t>.</w:t>
      </w:r>
    </w:p>
  </w:footnote>
  <w:footnote w:id="3">
    <w:p w14:paraId="70AAADA4" w14:textId="234EFAAC" w:rsidR="00EC660D" w:rsidRPr="00F34341" w:rsidRDefault="00EC660D" w:rsidP="00F34341">
      <w:pPr>
        <w:ind w:left="567" w:hanging="567"/>
      </w:pPr>
      <w:r w:rsidRPr="00F34341">
        <w:rPr>
          <w:rStyle w:val="FootnoteReference"/>
        </w:rPr>
        <w:footnoteRef/>
      </w:r>
      <w:r w:rsidR="00F34341" w:rsidRPr="00F34341">
        <w:t xml:space="preserve"> </w:t>
      </w:r>
      <w:r w:rsidR="00F34341" w:rsidRPr="00F34341">
        <w:tab/>
      </w:r>
      <w:r w:rsidRPr="00F34341">
        <w:t xml:space="preserve">SL L 433 I, 22.12.2020., str. 11., ELI: </w:t>
      </w:r>
      <w:hyperlink r:id="rId3" w:history="1">
        <w:r w:rsidRPr="00F34341">
          <w:rPr>
            <w:rStyle w:val="Hyperlink"/>
            <w:color w:val="0070C0"/>
          </w:rPr>
          <w:t>http://data.europa.eu/eli/reg/2020/2093/oj</w:t>
        </w:r>
      </w:hyperlink>
      <w:r w:rsidRPr="00F34341">
        <w:rPr>
          <w:color w:val="0070C0"/>
        </w:rPr>
        <w:t>.</w:t>
      </w:r>
    </w:p>
  </w:footnote>
  <w:footnote w:id="4">
    <w:p w14:paraId="5ED47146" w14:textId="3C87C499" w:rsidR="00EC660D" w:rsidRPr="00F34341" w:rsidRDefault="00EC660D" w:rsidP="00F34341">
      <w:pPr>
        <w:ind w:left="567" w:hanging="567"/>
      </w:pPr>
      <w:r w:rsidRPr="00F34341">
        <w:rPr>
          <w:rStyle w:val="FootnoteReference"/>
        </w:rPr>
        <w:footnoteRef/>
      </w:r>
      <w:r w:rsidR="00F34341" w:rsidRPr="00F34341">
        <w:t xml:space="preserve"> </w:t>
      </w:r>
      <w:r w:rsidR="00F34341" w:rsidRPr="00F34341">
        <w:tab/>
      </w:r>
      <w:r w:rsidRPr="00F34341">
        <w:t xml:space="preserve">SL L, 2024/765, 29.2.2024., ELI: </w:t>
      </w:r>
      <w:hyperlink r:id="rId4" w:history="1">
        <w:r w:rsidRPr="00F34341">
          <w:rPr>
            <w:rStyle w:val="Hyperlink"/>
          </w:rPr>
          <w:t>https://eur-lex.europa.eu/eli/reg/2024/765/oj</w:t>
        </w:r>
      </w:hyperlink>
      <w:r w:rsidRPr="00F34341">
        <w:t>.</w:t>
      </w:r>
    </w:p>
  </w:footnote>
  <w:footnote w:id="5">
    <w:p w14:paraId="170A7EA5" w14:textId="45CAC635" w:rsidR="00EC660D" w:rsidRPr="00F34341" w:rsidRDefault="00EC660D" w:rsidP="00F34341">
      <w:pPr>
        <w:pStyle w:val="FootnoteText"/>
        <w:ind w:left="567" w:hanging="567"/>
        <w:rPr>
          <w:sz w:val="24"/>
          <w:lang w:val="hr-HR"/>
        </w:rPr>
      </w:pPr>
      <w:r w:rsidRPr="00F34341">
        <w:rPr>
          <w:rStyle w:val="FootnoteReference"/>
          <w:sz w:val="24"/>
          <w:lang w:val="hr-HR"/>
        </w:rPr>
        <w:footnoteRef/>
      </w:r>
      <w:r w:rsidR="00F34341" w:rsidRPr="00F34341">
        <w:rPr>
          <w:sz w:val="24"/>
          <w:lang w:val="hr-HR"/>
        </w:rPr>
        <w:t xml:space="preserve"> </w:t>
      </w:r>
      <w:r w:rsidR="00F34341" w:rsidRPr="00F34341">
        <w:rPr>
          <w:sz w:val="24"/>
          <w:lang w:val="hr-HR"/>
        </w:rPr>
        <w:tab/>
      </w:r>
      <w:r w:rsidRPr="00F34341">
        <w:rPr>
          <w:sz w:val="24"/>
          <w:lang w:val="hr-HR"/>
        </w:rPr>
        <w:t xml:space="preserve">SL L 433 I, 22.12.2020., str. </w:t>
      </w:r>
      <w:r w:rsidRPr="00F34341">
        <w:rPr>
          <w:sz w:val="24"/>
          <w:lang w:val="hr-HR"/>
        </w:rPr>
        <w:t xml:space="preserve">28., ELI: </w:t>
      </w:r>
      <w:hyperlink r:id="rId5" w:tooltip="http://data.europa.eu/eli/agree_interinstit/2020/1222/oj" w:history="1">
        <w:r w:rsidRPr="00F34341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F34341">
        <w:rPr>
          <w:sz w:val="24"/>
          <w:lang w:val="hr-HR"/>
        </w:rPr>
        <w:t>.</w:t>
      </w:r>
    </w:p>
  </w:footnote>
  <w:footnote w:id="6">
    <w:p w14:paraId="08A94F38" w14:textId="41BF03EB" w:rsidR="00EC660D" w:rsidRPr="00F34341" w:rsidRDefault="00EC660D" w:rsidP="00F34341">
      <w:pPr>
        <w:pStyle w:val="FootnoteText"/>
        <w:ind w:left="567" w:hanging="567"/>
        <w:rPr>
          <w:sz w:val="24"/>
          <w:lang w:val="hr-HR"/>
        </w:rPr>
      </w:pPr>
      <w:r w:rsidRPr="00F34341">
        <w:rPr>
          <w:rStyle w:val="FootnoteReference"/>
          <w:sz w:val="24"/>
          <w:lang w:val="hr-HR"/>
        </w:rPr>
        <w:footnoteRef/>
      </w:r>
      <w:r w:rsidR="00F34341" w:rsidRPr="00F34341">
        <w:rPr>
          <w:sz w:val="24"/>
          <w:lang w:val="hr-HR"/>
        </w:rPr>
        <w:t xml:space="preserve"> </w:t>
      </w:r>
      <w:r w:rsidR="00F34341" w:rsidRPr="00F34341">
        <w:rPr>
          <w:sz w:val="24"/>
          <w:lang w:val="hr-HR"/>
        </w:rPr>
        <w:tab/>
      </w:r>
      <w:r w:rsidRPr="00F34341">
        <w:rPr>
          <w:sz w:val="24"/>
          <w:lang w:val="hr-HR"/>
        </w:rPr>
        <w:t xml:space="preserve">SL L 153, 3.5.2021., str. </w:t>
      </w:r>
      <w:r w:rsidRPr="00F34341">
        <w:rPr>
          <w:sz w:val="24"/>
          <w:lang w:val="hr-HR"/>
        </w:rPr>
        <w:t xml:space="preserve">48., ELI: </w:t>
      </w:r>
      <w:hyperlink r:id="rId6" w:history="1">
        <w:r w:rsidRPr="00F34341">
          <w:rPr>
            <w:rStyle w:val="Hyperlink"/>
            <w:sz w:val="24"/>
            <w:lang w:val="hr-HR"/>
          </w:rPr>
          <w:t>http://data.europa.eu/eli/reg/2021/691/oj</w:t>
        </w:r>
      </w:hyperlink>
      <w:r w:rsidRPr="00F34341">
        <w:rPr>
          <w:sz w:val="24"/>
          <w:lang w:val="hr-HR"/>
        </w:rPr>
        <w:t>.</w:t>
      </w:r>
    </w:p>
  </w:footnote>
  <w:footnote w:id="7">
    <w:p w14:paraId="6250D190" w14:textId="7DCEA1F8" w:rsidR="00EC660D" w:rsidRPr="00F34341" w:rsidRDefault="00EC660D" w:rsidP="00F34341">
      <w:pPr>
        <w:pStyle w:val="FootnoteText"/>
        <w:ind w:left="567" w:hanging="567"/>
        <w:rPr>
          <w:sz w:val="24"/>
          <w:lang w:val="hr-HR"/>
        </w:rPr>
      </w:pPr>
      <w:r w:rsidRPr="00F34341">
        <w:rPr>
          <w:rStyle w:val="FootnoteReference"/>
          <w:sz w:val="24"/>
          <w:lang w:val="hr-HR"/>
        </w:rPr>
        <w:footnoteRef/>
      </w:r>
      <w:r w:rsidR="00F34341" w:rsidRPr="00F34341">
        <w:rPr>
          <w:sz w:val="24"/>
          <w:lang w:val="hr-HR"/>
        </w:rPr>
        <w:t xml:space="preserve"> </w:t>
      </w:r>
      <w:r w:rsidR="00F34341" w:rsidRPr="00F34341">
        <w:rPr>
          <w:sz w:val="24"/>
          <w:lang w:val="hr-HR"/>
        </w:rPr>
        <w:tab/>
      </w:r>
      <w:r w:rsidRPr="00F34341">
        <w:rPr>
          <w:sz w:val="24"/>
          <w:lang w:val="hr-HR"/>
        </w:rPr>
        <w:t>SL L 433 I, 22.12.2020., str. </w:t>
      </w:r>
      <w:r w:rsidRPr="00F34341">
        <w:rPr>
          <w:sz w:val="24"/>
          <w:lang w:val="hr-HR"/>
        </w:rPr>
        <w:t xml:space="preserve">28., ELI: </w:t>
      </w:r>
      <w:hyperlink r:id="rId7" w:history="1">
        <w:r w:rsidRPr="00F34341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F34341">
        <w:rPr>
          <w:sz w:val="24"/>
          <w:lang w:val="hr-HR"/>
        </w:rPr>
        <w:t xml:space="preserve">. </w:t>
      </w:r>
    </w:p>
  </w:footnote>
  <w:footnote w:id="8">
    <w:p w14:paraId="51846052" w14:textId="60C3CA7F" w:rsidR="00EC660D" w:rsidRPr="00F34341" w:rsidRDefault="00EC660D" w:rsidP="00F34341">
      <w:pPr>
        <w:pStyle w:val="FootnoteText"/>
        <w:ind w:left="567" w:hanging="567"/>
        <w:rPr>
          <w:sz w:val="24"/>
          <w:lang w:val="hr-HR"/>
        </w:rPr>
      </w:pPr>
      <w:r w:rsidRPr="00F34341">
        <w:rPr>
          <w:rStyle w:val="FootnoteReference"/>
          <w:sz w:val="24"/>
          <w:lang w:val="hr-HR"/>
        </w:rPr>
        <w:footnoteRef/>
      </w:r>
      <w:r w:rsidR="00F34341" w:rsidRPr="00F34341">
        <w:rPr>
          <w:sz w:val="24"/>
          <w:lang w:val="hr-HR"/>
        </w:rPr>
        <w:t xml:space="preserve"> </w:t>
      </w:r>
      <w:r w:rsidR="00F34341" w:rsidRPr="00F34341">
        <w:rPr>
          <w:sz w:val="24"/>
          <w:lang w:val="hr-HR"/>
        </w:rPr>
        <w:tab/>
      </w:r>
      <w:r w:rsidRPr="00F34341">
        <w:rPr>
          <w:sz w:val="24"/>
          <w:lang w:val="hr-HR"/>
        </w:rPr>
        <w:t xml:space="preserve">Uredba Vijeća (EU, Euratom) 2020/2093 od 17. prosinca 2020. kojom se utvrđuje višegodišnji financijski okvir za razdoblje 2021. – 2027. (SL L 433 I, 22.12.2020., str. </w:t>
      </w:r>
      <w:r w:rsidRPr="00F34341">
        <w:rPr>
          <w:sz w:val="24"/>
          <w:lang w:val="hr-HR"/>
        </w:rPr>
        <w:t>11., ELI: </w:t>
      </w:r>
      <w:hyperlink r:id="rId8" w:tooltip="ELI URI za pristup dokumentu." w:history="1">
        <w:r w:rsidRPr="00F34341">
          <w:rPr>
            <w:rStyle w:val="Hyperlink"/>
            <w:sz w:val="24"/>
            <w:lang w:val="hr-HR"/>
          </w:rPr>
          <w:t>http://data.europa.eu/eli/reg/2020/2093/oj</w:t>
        </w:r>
      </w:hyperlink>
      <w:r w:rsidRPr="00F34341">
        <w:rPr>
          <w:sz w:val="24"/>
          <w:lang w:val="hr-HR"/>
        </w:rPr>
        <w:t>).</w:t>
      </w:r>
    </w:p>
  </w:footnote>
  <w:footnote w:id="9">
    <w:p w14:paraId="5E700FEA" w14:textId="6FC5FFEF" w:rsidR="00EC660D" w:rsidRPr="00F34341" w:rsidRDefault="00EC660D" w:rsidP="00F34341">
      <w:pPr>
        <w:pStyle w:val="FootnoteText"/>
        <w:ind w:left="567" w:hanging="567"/>
        <w:rPr>
          <w:sz w:val="24"/>
          <w:lang w:val="hr-HR"/>
        </w:rPr>
      </w:pPr>
      <w:r w:rsidRPr="00F34341">
        <w:rPr>
          <w:rStyle w:val="FootnoteReference"/>
          <w:sz w:val="24"/>
          <w:lang w:val="hr-HR"/>
        </w:rPr>
        <w:footnoteRef/>
      </w:r>
      <w:r w:rsidR="00F34341" w:rsidRPr="00F34341">
        <w:rPr>
          <w:sz w:val="24"/>
          <w:lang w:val="hr-HR"/>
        </w:rPr>
        <w:t xml:space="preserve"> </w:t>
      </w:r>
      <w:r w:rsidR="00F34341" w:rsidRPr="00F34341">
        <w:rPr>
          <w:sz w:val="24"/>
          <w:lang w:val="hr-HR"/>
        </w:rPr>
        <w:tab/>
      </w:r>
      <w:r w:rsidRPr="00F34341">
        <w:rPr>
          <w:sz w:val="24"/>
          <w:lang w:val="hr-HR"/>
        </w:rPr>
        <w:t xml:space="preserve">Uredba Vijeća (EU, Euratom) 2024/765 od 29. veljače 2024. o izmjeni Uredbe (EU, Euratom) 2020/2093 kojom se utvrđuje višegodišnji financijski okvir za razdoblje 2021. – 2027. </w:t>
      </w:r>
      <w:r w:rsidRPr="00F34341">
        <w:rPr>
          <w:sz w:val="24"/>
          <w:lang w:val="hr-HR"/>
        </w:rPr>
        <w:t xml:space="preserve">(SL L, 2024/765, 29.2.2024., ELI: </w:t>
      </w:r>
      <w:hyperlink r:id="rId9" w:history="1">
        <w:r w:rsidRPr="00F34341">
          <w:rPr>
            <w:rStyle w:val="Hyperlink"/>
            <w:sz w:val="24"/>
            <w:lang w:val="hr-HR"/>
          </w:rPr>
          <w:t>http://data.europa.eu/eli/reg/2024/765/oj</w:t>
        </w:r>
      </w:hyperlink>
      <w:r w:rsidRPr="00F34341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B7090" w14:textId="77777777" w:rsidR="00064002" w:rsidRPr="00F343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8782" w14:textId="77777777" w:rsidR="00064002" w:rsidRPr="00F343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F5FE" w14:textId="77777777" w:rsidR="00064002" w:rsidRPr="00F343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754485">
    <w:abstractNumId w:val="9"/>
  </w:num>
  <w:num w:numId="2" w16cid:durableId="999426633">
    <w:abstractNumId w:val="9"/>
  </w:num>
  <w:num w:numId="3" w16cid:durableId="136070842">
    <w:abstractNumId w:val="7"/>
  </w:num>
  <w:num w:numId="4" w16cid:durableId="736317006">
    <w:abstractNumId w:val="7"/>
  </w:num>
  <w:num w:numId="5" w16cid:durableId="1310942749">
    <w:abstractNumId w:val="6"/>
  </w:num>
  <w:num w:numId="6" w16cid:durableId="447554760">
    <w:abstractNumId w:val="6"/>
  </w:num>
  <w:num w:numId="7" w16cid:durableId="285622170">
    <w:abstractNumId w:val="5"/>
  </w:num>
  <w:num w:numId="8" w16cid:durableId="718165150">
    <w:abstractNumId w:val="5"/>
  </w:num>
  <w:num w:numId="9" w16cid:durableId="547566926">
    <w:abstractNumId w:val="4"/>
  </w:num>
  <w:num w:numId="10" w16cid:durableId="1999724352">
    <w:abstractNumId w:val="4"/>
  </w:num>
  <w:num w:numId="11" w16cid:durableId="492337315">
    <w:abstractNumId w:val="8"/>
  </w:num>
  <w:num w:numId="12" w16cid:durableId="2025008002">
    <w:abstractNumId w:val="8"/>
  </w:num>
  <w:num w:numId="13" w16cid:durableId="2128498025">
    <w:abstractNumId w:val="3"/>
  </w:num>
  <w:num w:numId="14" w16cid:durableId="733627916">
    <w:abstractNumId w:val="3"/>
  </w:num>
  <w:num w:numId="15" w16cid:durableId="1138381377">
    <w:abstractNumId w:val="2"/>
  </w:num>
  <w:num w:numId="16" w16cid:durableId="960067509">
    <w:abstractNumId w:val="2"/>
  </w:num>
  <w:num w:numId="17" w16cid:durableId="1038816720">
    <w:abstractNumId w:val="1"/>
  </w:num>
  <w:num w:numId="18" w16cid:durableId="1366104923">
    <w:abstractNumId w:val="1"/>
  </w:num>
  <w:num w:numId="19" w16cid:durableId="2034914882">
    <w:abstractNumId w:val="0"/>
  </w:num>
  <w:num w:numId="20" w16cid:durableId="1136071887">
    <w:abstractNumId w:val="0"/>
  </w:num>
  <w:num w:numId="21" w16cid:durableId="1961181072">
    <w:abstractNumId w:val="9"/>
  </w:num>
  <w:num w:numId="22" w16cid:durableId="1229073060">
    <w:abstractNumId w:val="7"/>
  </w:num>
  <w:num w:numId="23" w16cid:durableId="371031207">
    <w:abstractNumId w:val="6"/>
  </w:num>
  <w:num w:numId="24" w16cid:durableId="1548688184">
    <w:abstractNumId w:val="5"/>
  </w:num>
  <w:num w:numId="25" w16cid:durableId="140007860">
    <w:abstractNumId w:val="4"/>
  </w:num>
  <w:num w:numId="26" w16cid:durableId="661783207">
    <w:abstractNumId w:val="8"/>
  </w:num>
  <w:num w:numId="27" w16cid:durableId="1359429138">
    <w:abstractNumId w:val="3"/>
  </w:num>
  <w:num w:numId="28" w16cid:durableId="1446266085">
    <w:abstractNumId w:val="2"/>
  </w:num>
  <w:num w:numId="29" w16cid:durableId="1825244053">
    <w:abstractNumId w:val="1"/>
  </w:num>
  <w:num w:numId="30" w16cid:durableId="658702738">
    <w:abstractNumId w:val="0"/>
  </w:num>
  <w:num w:numId="31" w16cid:durableId="1652518816">
    <w:abstractNumId w:val="9"/>
  </w:num>
  <w:num w:numId="32" w16cid:durableId="1466046261">
    <w:abstractNumId w:val="7"/>
  </w:num>
  <w:num w:numId="33" w16cid:durableId="74137152">
    <w:abstractNumId w:val="6"/>
  </w:num>
  <w:num w:numId="34" w16cid:durableId="1206215872">
    <w:abstractNumId w:val="5"/>
  </w:num>
  <w:num w:numId="35" w16cid:durableId="618071121">
    <w:abstractNumId w:val="4"/>
  </w:num>
  <w:num w:numId="36" w16cid:durableId="18089339">
    <w:abstractNumId w:val="8"/>
  </w:num>
  <w:num w:numId="37" w16cid:durableId="1231886154">
    <w:abstractNumId w:val="3"/>
  </w:num>
  <w:num w:numId="38" w16cid:durableId="1124275726">
    <w:abstractNumId w:val="2"/>
  </w:num>
  <w:num w:numId="39" w16cid:durableId="111480430">
    <w:abstractNumId w:val="1"/>
  </w:num>
  <w:num w:numId="40" w16cid:durableId="623199484">
    <w:abstractNumId w:val="0"/>
  </w:num>
  <w:num w:numId="41" w16cid:durableId="1943567357">
    <w:abstractNumId w:val="10"/>
  </w:num>
  <w:num w:numId="42" w16cid:durableId="1583099497">
    <w:abstractNumId w:val="10"/>
  </w:num>
  <w:num w:numId="43" w16cid:durableId="633950658">
    <w:abstractNumId w:val="10"/>
  </w:num>
  <w:num w:numId="44" w16cid:durableId="7035955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9/2026"/>
    <w:docVar w:name="dvlangue" w:val="HR"/>
    <w:docVar w:name="dvnumam" w:val="0"/>
    <w:docVar w:name="dvpe" w:val="789.086"/>
    <w:docVar w:name="dvrapporteur" w:val="Izvjestiteljica: "/>
    <w:docVar w:name="dvtitre" w:val="Rezolucija Europskog parlamenta od .... 2026. o Prijedlogu odluke Europskog parlamenta i Vijeća o mobilizaciji, na inicijativu Komisije, Europskog fonda za prilagodbu globalizaciji za radnike koji su proglašeni viškom (EGF/2026/000 TA 2026 – Tehnička pomoć)(COM(2026)0360 – C10-0124/2026 – 2026/0126(BUD))"/>
  </w:docVars>
  <w:rsids>
    <w:rsidRoot w:val="0047048E"/>
    <w:rsid w:val="00002272"/>
    <w:rsid w:val="00064002"/>
    <w:rsid w:val="000677B9"/>
    <w:rsid w:val="000831BA"/>
    <w:rsid w:val="000A42CC"/>
    <w:rsid w:val="000E7DD9"/>
    <w:rsid w:val="0010095E"/>
    <w:rsid w:val="00113D15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048E"/>
    <w:rsid w:val="00471C19"/>
    <w:rsid w:val="004867E3"/>
    <w:rsid w:val="00490819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426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979"/>
    <w:rsid w:val="00E03330"/>
    <w:rsid w:val="00E14DB7"/>
    <w:rsid w:val="00E365E1"/>
    <w:rsid w:val="00E820A4"/>
    <w:rsid w:val="00EB006A"/>
    <w:rsid w:val="00EB4772"/>
    <w:rsid w:val="00EC660D"/>
    <w:rsid w:val="00ED169E"/>
    <w:rsid w:val="00ED4235"/>
    <w:rsid w:val="00F04346"/>
    <w:rsid w:val="00F075DC"/>
    <w:rsid w:val="00F149E9"/>
    <w:rsid w:val="00F34341"/>
    <w:rsid w:val="00F4271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04FAD"/>
  <w15:chartTrackingRefBased/>
  <w15:docId w15:val="{9A5144F5-DB2A-48D5-8BDF-71D1E54E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C660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EC660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EC660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C66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C660D"/>
    <w:rPr>
      <w:sz w:val="24"/>
      <w:lang w:val="hr-HR"/>
    </w:rPr>
  </w:style>
  <w:style w:type="paragraph" w:customStyle="1" w:styleId="NormalBold24a">
    <w:name w:val="NormalBold24a"/>
    <w:basedOn w:val="Normal"/>
    <w:rsid w:val="00EC660D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EC660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C660D"/>
    <w:pPr>
      <w:spacing w:before="480" w:after="240"/>
    </w:pPr>
  </w:style>
  <w:style w:type="character" w:styleId="Hyperlink">
    <w:name w:val="Hyperlink"/>
    <w:basedOn w:val="DefaultParagraphFont"/>
    <w:uiPriority w:val="99"/>
    <w:rsid w:val="00EC660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C660D"/>
    <w:rPr>
      <w:sz w:val="24"/>
      <w:lang w:val="hr-HR"/>
    </w:rPr>
  </w:style>
  <w:style w:type="paragraph" w:styleId="Footer">
    <w:name w:val="footer"/>
    <w:basedOn w:val="Normal"/>
    <w:link w:val="FooterChar"/>
    <w:rsid w:val="00DE29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E2979"/>
    <w:rPr>
      <w:sz w:val="24"/>
      <w:lang w:val="hr-HR"/>
    </w:rPr>
  </w:style>
  <w:style w:type="paragraph" w:styleId="Revision">
    <w:name w:val="Revision"/>
    <w:hidden/>
    <w:uiPriority w:val="99"/>
    <w:semiHidden/>
    <w:rsid w:val="00F4271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2093/oj" TargetMode="External"/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6/1139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s://eur-lex.europa.eu/eli/reg/2024/765/oj" TargetMode="External"/><Relationship Id="rId9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1531</Words>
  <Characters>9480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2026-07-07T10:52:00Z</dcterms:created>
  <dcterms:modified xsi:type="dcterms:W3CDTF">2026-07-07T10:52:00Z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A10-0179/2026</vt:lpwstr>
  </property>
  <property fmtid="{D5CDD505-2E9C-101B-9397-08002B2CF9AE}" pid="4" name="&lt;Type&gt;">
    <vt:lpwstr>RR</vt:lpwstr>
  </property>
</Properties>
</file>