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1FA7" w14:paraId="72DCFF8F" w14:textId="77777777" w:rsidTr="0010095E">
        <w:trPr>
          <w:trHeight w:hRule="exact" w:val="1418"/>
        </w:trPr>
        <w:tc>
          <w:tcPr>
            <w:tcW w:w="6804" w:type="dxa"/>
            <w:shd w:val="clear" w:color="auto" w:fill="auto"/>
            <w:vAlign w:val="center"/>
          </w:tcPr>
          <w:p w14:paraId="7C0D92BB" w14:textId="77777777" w:rsidR="00751A4A" w:rsidRPr="00541FA7" w:rsidRDefault="00B41671" w:rsidP="0010095E">
            <w:pPr>
              <w:pStyle w:val="EPName"/>
            </w:pPr>
            <w:r w:rsidRPr="00541FA7">
              <w:t>Europos Parlamentas</w:t>
            </w:r>
          </w:p>
          <w:p w14:paraId="2FC30233" w14:textId="77777777" w:rsidR="00751A4A" w:rsidRPr="00541FA7" w:rsidRDefault="005F1B17" w:rsidP="005F1B17">
            <w:pPr>
              <w:pStyle w:val="EPTerm"/>
              <w:rPr>
                <w:rStyle w:val="HideTWBExt"/>
                <w:noProof w:val="0"/>
                <w:vanish w:val="0"/>
                <w:color w:val="auto"/>
              </w:rPr>
            </w:pPr>
            <w:r w:rsidRPr="00541FA7">
              <w:t>2024</w:t>
            </w:r>
            <w:r w:rsidR="00817416" w:rsidRPr="00541FA7">
              <w:t>-202</w:t>
            </w:r>
            <w:r w:rsidRPr="00541FA7">
              <w:t>9</w:t>
            </w:r>
          </w:p>
        </w:tc>
        <w:tc>
          <w:tcPr>
            <w:tcW w:w="2268" w:type="dxa"/>
            <w:shd w:val="clear" w:color="auto" w:fill="auto"/>
          </w:tcPr>
          <w:p w14:paraId="67383884" w14:textId="77777777" w:rsidR="00751A4A" w:rsidRPr="00541FA7" w:rsidRDefault="00187494" w:rsidP="0010095E">
            <w:pPr>
              <w:pStyle w:val="EPLogo"/>
            </w:pPr>
            <w:r w:rsidRPr="00541FA7">
              <w:rPr>
                <w:noProof/>
                <w:lang w:eastAsia="ja-JP"/>
              </w:rPr>
              <w:drawing>
                <wp:inline distT="0" distB="0" distL="0" distR="0" wp14:anchorId="6485E2D6" wp14:editId="7F5C1F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50876" w14:textId="77777777" w:rsidR="00D058B8" w:rsidRPr="00541FA7" w:rsidRDefault="00D058B8" w:rsidP="004C5D52">
      <w:pPr>
        <w:pStyle w:val="LineTop"/>
      </w:pPr>
    </w:p>
    <w:p w14:paraId="2A6265EB" w14:textId="77777777" w:rsidR="00680577" w:rsidRPr="00541FA7" w:rsidRDefault="00B41671" w:rsidP="00680577">
      <w:pPr>
        <w:pStyle w:val="EPBodyTA1"/>
      </w:pPr>
      <w:r w:rsidRPr="00541FA7">
        <w:t>PRIIMTI TEKSTAI</w:t>
      </w:r>
    </w:p>
    <w:p w14:paraId="1BECB40D" w14:textId="77777777" w:rsidR="00D058B8" w:rsidRPr="00541FA7" w:rsidRDefault="00D058B8" w:rsidP="00D058B8">
      <w:pPr>
        <w:pStyle w:val="LineBottom"/>
      </w:pPr>
    </w:p>
    <w:p w14:paraId="62C41BBB" w14:textId="161C8EA7" w:rsidR="00B41671" w:rsidRPr="00541FA7" w:rsidRDefault="00B41671" w:rsidP="00B41671">
      <w:pPr>
        <w:pStyle w:val="ATHeading1"/>
      </w:pPr>
      <w:bookmarkStart w:id="0" w:name="TANumber"/>
      <w:r w:rsidRPr="00541FA7">
        <w:t>P10_TA(2026)0</w:t>
      </w:r>
      <w:r w:rsidR="003E5006">
        <w:t>243</w:t>
      </w:r>
      <w:bookmarkEnd w:id="0"/>
    </w:p>
    <w:p w14:paraId="1868B9F1" w14:textId="5DD4031D" w:rsidR="00B41671" w:rsidRPr="00541FA7" w:rsidRDefault="00B41671" w:rsidP="00B41671">
      <w:pPr>
        <w:pStyle w:val="ATHeading2"/>
      </w:pPr>
      <w:bookmarkStart w:id="1" w:name="title"/>
      <w:r w:rsidRPr="00541FA7">
        <w:t>Europos prisitaikymo prie globalizacijos padarinių fondo lėšų mobilizavimas: paraiška EGF/2026/000 TA 2026 – Techninė pagalba</w:t>
      </w:r>
      <w:bookmarkEnd w:id="1"/>
      <w:r w:rsidR="008558C9">
        <w:t xml:space="preserve"> </w:t>
      </w:r>
      <w:r w:rsidR="008558C9" w:rsidRPr="00541FA7">
        <w:t>Komisijos iniciatyva</w:t>
      </w:r>
    </w:p>
    <w:p w14:paraId="04B20056" w14:textId="77777777" w:rsidR="00B41671" w:rsidRPr="00541FA7" w:rsidRDefault="00B41671" w:rsidP="00B41671">
      <w:pPr>
        <w:rPr>
          <w:i/>
          <w:vanish/>
        </w:rPr>
      </w:pPr>
      <w:r w:rsidRPr="00541FA7">
        <w:rPr>
          <w:i/>
        </w:rPr>
        <w:fldChar w:fldCharType="begin"/>
      </w:r>
      <w:r w:rsidRPr="00541FA7">
        <w:rPr>
          <w:i/>
        </w:rPr>
        <w:instrText xml:space="preserve"> TC"(</w:instrText>
      </w:r>
      <w:bookmarkStart w:id="2" w:name="DocNumber"/>
      <w:r w:rsidRPr="00541FA7">
        <w:rPr>
          <w:i/>
        </w:rPr>
        <w:instrText>A10-0179/2026</w:instrText>
      </w:r>
      <w:bookmarkEnd w:id="2"/>
      <w:r w:rsidRPr="00541FA7">
        <w:rPr>
          <w:i/>
        </w:rPr>
        <w:instrText xml:space="preserve"> - Pranešėjas: Lucia Yar)"\l3 \n&gt; \* MERGEFORMAT </w:instrText>
      </w:r>
      <w:r w:rsidRPr="00541FA7">
        <w:rPr>
          <w:i/>
        </w:rPr>
        <w:fldChar w:fldCharType="end"/>
      </w:r>
    </w:p>
    <w:p w14:paraId="3BC3960B" w14:textId="77777777" w:rsidR="00B41671" w:rsidRPr="00541FA7" w:rsidRDefault="00B41671" w:rsidP="00B41671">
      <w:pPr>
        <w:rPr>
          <w:vanish/>
        </w:rPr>
      </w:pPr>
      <w:bookmarkStart w:id="3" w:name="Commission"/>
      <w:r w:rsidRPr="00541FA7">
        <w:rPr>
          <w:vanish/>
        </w:rPr>
        <w:t>Biudžeto komitetas</w:t>
      </w:r>
      <w:bookmarkEnd w:id="3"/>
    </w:p>
    <w:p w14:paraId="596003AE" w14:textId="77777777" w:rsidR="00B41671" w:rsidRPr="00541FA7" w:rsidRDefault="00B41671" w:rsidP="00B41671">
      <w:pPr>
        <w:rPr>
          <w:vanish/>
        </w:rPr>
      </w:pPr>
      <w:bookmarkStart w:id="4" w:name="PE"/>
      <w:r w:rsidRPr="00541FA7">
        <w:rPr>
          <w:vanish/>
        </w:rPr>
        <w:t>PE789.086</w:t>
      </w:r>
      <w:bookmarkEnd w:id="4"/>
    </w:p>
    <w:p w14:paraId="537A0253" w14:textId="5ECBE1A5" w:rsidR="00B41671" w:rsidRPr="00541FA7" w:rsidRDefault="00B41671" w:rsidP="00B41671">
      <w:pPr>
        <w:pStyle w:val="ATHeading3"/>
      </w:pPr>
      <w:bookmarkStart w:id="5" w:name="Sujet"/>
      <w:r w:rsidRPr="00541FA7">
        <w:t xml:space="preserve">2026 m. </w:t>
      </w:r>
      <w:r w:rsidR="008121D2">
        <w:t>liepos</w:t>
      </w:r>
      <w:r w:rsidRPr="00541FA7">
        <w:t xml:space="preserve"> </w:t>
      </w:r>
      <w:r w:rsidR="008121D2">
        <w:t>7</w:t>
      </w:r>
      <w:r w:rsidRPr="00541FA7">
        <w:t xml:space="preserve"> d. Europos Parlamento rezoliucija dėl pasiūlymo dėl Europos Parlamento ir Tarybos sprendimo dėl Europos prisitaikymo prie globalizacijos padarinių fondo atleistiems darbuotojams lėšų mobilizavimo Komisijos iniciatyva (EGF/2026/000 TA 2026 – Techninė pagalba)</w:t>
      </w:r>
      <w:bookmarkEnd w:id="5"/>
      <w:r w:rsidRPr="00541FA7">
        <w:t xml:space="preserve"> </w:t>
      </w:r>
      <w:bookmarkStart w:id="6" w:name="References"/>
      <w:r w:rsidRPr="00541FA7">
        <w:t>(COM(2026)0360 – C10-0124/2026 – 2026/0126(BUD))</w:t>
      </w:r>
      <w:bookmarkEnd w:id="6"/>
    </w:p>
    <w:p w14:paraId="4350D015" w14:textId="77777777" w:rsidR="00CB1401" w:rsidRPr="00541FA7" w:rsidRDefault="00CB1401" w:rsidP="00CB1401">
      <w:pPr>
        <w:pStyle w:val="EPComma"/>
        <w:rPr>
          <w:noProof/>
        </w:rPr>
      </w:pPr>
      <w:r w:rsidRPr="00541FA7">
        <w:rPr>
          <w:i/>
        </w:rPr>
        <w:t>Europos Parlamentas</w:t>
      </w:r>
      <w:r w:rsidRPr="00541FA7">
        <w:t>,</w:t>
      </w:r>
    </w:p>
    <w:p w14:paraId="0E4B9F48" w14:textId="77777777" w:rsidR="00CB1401" w:rsidRPr="00541FA7" w:rsidRDefault="00CB1401" w:rsidP="00CB1401">
      <w:pPr>
        <w:pStyle w:val="NormalHanging12a"/>
        <w:rPr>
          <w:noProof/>
        </w:rPr>
      </w:pPr>
      <w:r w:rsidRPr="00541FA7">
        <w:t>–</w:t>
      </w:r>
      <w:r w:rsidRPr="00541FA7">
        <w:tab/>
        <w:t>atsižvelgdamas į Komisijos pasiūlymą Europos Parlamentui ir Tarybai (COM(2026)0360 – C10</w:t>
      </w:r>
      <w:r w:rsidRPr="00541FA7">
        <w:noBreakHyphen/>
        <w:t>0124/2026),</w:t>
      </w:r>
    </w:p>
    <w:p w14:paraId="062A44FB" w14:textId="77777777" w:rsidR="00CB1401" w:rsidRPr="00541FA7" w:rsidRDefault="00CB1401" w:rsidP="00CB1401">
      <w:pPr>
        <w:pStyle w:val="NormalHanging12a"/>
        <w:rPr>
          <w:noProof/>
        </w:rPr>
      </w:pPr>
      <w:bookmarkStart w:id="7" w:name="_Hlk230701067"/>
      <w:r w:rsidRPr="00541FA7">
        <w:t>–</w:t>
      </w:r>
      <w:r w:rsidRPr="00541FA7">
        <w:tab/>
        <w:t>atsižvelgdamas į 2021 m. balandžio 28 d. Europos Parlamento ir Tarybos reglamentą (ES) 2021/691 dėl Europos prisitaikymo prie globalizacijos padarinių fondo atleistiems darbuotojams (EGF), kuriuo panaikinamas Reglamentas (ES) Nr. 1309/2013</w:t>
      </w:r>
      <w:r w:rsidRPr="00541FA7">
        <w:rPr>
          <w:rStyle w:val="FootnoteReference"/>
        </w:rPr>
        <w:footnoteReference w:id="1"/>
      </w:r>
      <w:r w:rsidRPr="00541FA7">
        <w:t xml:space="preserve"> (toliau – EGF reglamentas), su pakeitimais, padarytais Reglamentu (ES) 2026/1139</w:t>
      </w:r>
      <w:r w:rsidRPr="00541FA7">
        <w:rPr>
          <w:rStyle w:val="FootnoteReference"/>
          <w:noProof/>
        </w:rPr>
        <w:footnoteReference w:id="2"/>
      </w:r>
      <w:r w:rsidRPr="00541FA7">
        <w:t>,</w:t>
      </w:r>
    </w:p>
    <w:bookmarkEnd w:id="7"/>
    <w:p w14:paraId="1EA51106" w14:textId="77777777" w:rsidR="00CB1401" w:rsidRPr="00541FA7" w:rsidRDefault="00CB1401" w:rsidP="00CB1401">
      <w:pPr>
        <w:pStyle w:val="NormalHanging12a"/>
        <w:rPr>
          <w:noProof/>
        </w:rPr>
      </w:pPr>
      <w:r w:rsidRPr="00541FA7">
        <w:t>–</w:t>
      </w:r>
      <w:r w:rsidRPr="00541FA7">
        <w:tab/>
      </w:r>
      <w:r w:rsidRPr="00541FA7">
        <w:rPr>
          <w:snapToGrid w:val="0"/>
        </w:rPr>
        <w:t>atsižvelgdamas į 2020 m. gruodžio 17 d. Tarybos reglamentą (ES, Euratomas) 2020/2093, kuriuo nustatoma 2021–2027 m. daugiametė finansinė programa</w:t>
      </w:r>
      <w:r w:rsidRPr="00541FA7">
        <w:rPr>
          <w:rStyle w:val="FootnoteReference"/>
          <w:snapToGrid w:val="0"/>
        </w:rPr>
        <w:footnoteReference w:id="3"/>
      </w:r>
      <w:r w:rsidRPr="00541FA7">
        <w:rPr>
          <w:snapToGrid w:val="0"/>
        </w:rPr>
        <w:t>, su pakeitimais, padarytais Reglamentu (ES, Euratomas) 2024/765</w:t>
      </w:r>
      <w:r w:rsidRPr="00541FA7">
        <w:rPr>
          <w:rStyle w:val="FootnoteReference"/>
          <w:snapToGrid w:val="0"/>
          <w:bdr w:val="none" w:sz="0" w:space="0" w:color="auto" w:frame="1"/>
        </w:rPr>
        <w:footnoteReference w:id="4"/>
      </w:r>
      <w:r w:rsidRPr="00541FA7">
        <w:rPr>
          <w:snapToGrid w:val="0"/>
        </w:rPr>
        <w:t>, ypač į jo 8 straipsnį</w:t>
      </w:r>
      <w:r w:rsidRPr="00541FA7">
        <w:t>,</w:t>
      </w:r>
    </w:p>
    <w:p w14:paraId="3D8AE3BA" w14:textId="77777777" w:rsidR="00CB1401" w:rsidRPr="00541FA7" w:rsidRDefault="00CB1401" w:rsidP="00CB1401">
      <w:pPr>
        <w:pStyle w:val="NormalHanging12a"/>
        <w:rPr>
          <w:noProof/>
        </w:rPr>
      </w:pPr>
      <w:r w:rsidRPr="00541FA7">
        <w:t>–</w:t>
      </w:r>
      <w:r w:rsidRPr="00541FA7">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541FA7">
        <w:rPr>
          <w:rStyle w:val="FootnoteReference"/>
          <w:noProof/>
        </w:rPr>
        <w:footnoteReference w:id="5"/>
      </w:r>
      <w:r w:rsidRPr="00541FA7">
        <w:t>, ypač į jo 9 punktą,</w:t>
      </w:r>
    </w:p>
    <w:p w14:paraId="144F3A87" w14:textId="77777777" w:rsidR="00CB1401" w:rsidRPr="00541FA7" w:rsidRDefault="00CB1401" w:rsidP="00CB1401">
      <w:pPr>
        <w:pStyle w:val="NormalHanging12a"/>
      </w:pPr>
      <w:r w:rsidRPr="00541FA7">
        <w:lastRenderedPageBreak/>
        <w:t>–</w:t>
      </w:r>
      <w:r w:rsidRPr="00541FA7">
        <w:tab/>
        <w:t>atsižvelgdamas į Biudžeto komiteto pranešimą (A10-0179/2026),</w:t>
      </w:r>
    </w:p>
    <w:p w14:paraId="3E850C5C" w14:textId="77777777" w:rsidR="00CB1401" w:rsidRPr="00541FA7" w:rsidRDefault="00CB1401" w:rsidP="00CB1401">
      <w:pPr>
        <w:pStyle w:val="NormalHanging12a"/>
        <w:rPr>
          <w:noProof/>
        </w:rPr>
      </w:pPr>
      <w:r w:rsidRPr="00541FA7">
        <w:t>A.</w:t>
      </w:r>
      <w:r w:rsidRPr="00541FA7">
        <w:tab/>
        <w:t>kadangi Sąjunga, siekdama teikti papildomą paramą darbuotojams, nukentėjusiems dėl esminių struktūrinių pasaulio prekybos sistemos įvykių ir pokyčių, arba restruktūrizuojamos įmonės darbuotojams, kurie greitai bus atleisti, ir padėti jiems vėl integruotis į darbo rinką arba pakeisti darbą, nustatė teisėkūros ir biudžetines priemones; kadangi šią pagalbą sudaro darbuotojams teikiama finansinė parama;</w:t>
      </w:r>
    </w:p>
    <w:p w14:paraId="1137EB8F" w14:textId="77777777" w:rsidR="00CB1401" w:rsidRPr="00541FA7" w:rsidRDefault="00CB1401" w:rsidP="00CB1401">
      <w:pPr>
        <w:pStyle w:val="NormalHanging12a"/>
      </w:pPr>
      <w:r w:rsidRPr="00541FA7">
        <w:t>B.</w:t>
      </w:r>
      <w:r w:rsidRPr="00541FA7">
        <w:tab/>
        <w:t>kadangi EGF finansiniai įnašai pirmiausia turėtų būti skiriami aktyvios darbo rinkos politikos priemonėms ir prie individualių poreikių pritaikytoms paslaugoms, kuriomis siekiama greitai reintegruoti paramos gavėjus į darbo rinką arba padėti jiems pakeisti darbą;</w:t>
      </w:r>
    </w:p>
    <w:p w14:paraId="29548107" w14:textId="77777777" w:rsidR="00CB1401" w:rsidRPr="00541FA7" w:rsidRDefault="00CB1401" w:rsidP="00CB1401">
      <w:pPr>
        <w:pStyle w:val="NormalHanging12a"/>
      </w:pPr>
      <w:r w:rsidRPr="00541FA7">
        <w:t>C.</w:t>
      </w:r>
      <w:r w:rsidRPr="00541FA7">
        <w:tab/>
        <w:t xml:space="preserve">kadangi EGF reglamento 11 straipsnio 1 dalyje numatyta, kad Komisijos iniciatyva techninei pagalbai gali būti skiriama ne daugiau kaip 1,5 proc. didžiausios metinės EGF sumos; </w:t>
      </w:r>
    </w:p>
    <w:p w14:paraId="29E6A63D" w14:textId="77777777" w:rsidR="00CB1401" w:rsidRPr="00541FA7" w:rsidRDefault="00CB1401" w:rsidP="00CB1401">
      <w:pPr>
        <w:pStyle w:val="NormalHanging12a"/>
        <w:rPr>
          <w:color w:val="000000"/>
          <w:bdr w:val="none" w:sz="0" w:space="0" w:color="auto" w:frame="1"/>
        </w:rPr>
      </w:pPr>
      <w:r w:rsidRPr="00541FA7">
        <w:t>D.</w:t>
      </w:r>
      <w:r w:rsidRPr="00541FA7">
        <w:tab/>
      </w:r>
      <w:r w:rsidRPr="00541FA7">
        <w:rPr>
          <w:color w:val="000000"/>
          <w:bdr w:val="none" w:sz="0" w:space="0" w:color="auto" w:frame="1"/>
        </w:rPr>
        <w:t>kadangi techninę pagalbą gali sudaryti techninės ir administracinės EGF įgyvendinimo išlaidos, pvz., pasirengimo, stebėsenos, kontrolės, audito ir vertinimo veikla, taip pat duomenų rinkimas, komunikacijos veikla bei veikla, kuria didinamas EGF kaip fondo arba konkrečių projektų matomumas, ir kitos techninės pagalbos priemonės; kadangi techninė pagalba apima informacijos teikimą valstybėms narėms ir jų konsultavimą EGF klausimais, taip pat specialią informaciją valstybėms narėms, kurios EGF nesinaudojo arba juo naudojosi mažai;</w:t>
      </w:r>
      <w:r w:rsidRPr="00541FA7">
        <w:t xml:space="preserve"> kadangi techninės pagalbos veikla turėtų padėti gerinti EGF veiksmingumą, prieinamumą ir matomumą, ypatingą dėmesį skiriant išmatuojamiems rezultatams, administraciniam supaprastinimui ir į naudotoją orientuotam įgyvendinimui valstybių narių ir paramos gavėjų labui; kadangi kelios valstybės narės vis dar nepasinaudojo EGF, nors jose vyksta restruktūrizavimo ir darbuotojų atleidimo procesai, panašiai kaip ir paramą gavusiose valstybėse narėse; kadangi dėl to būtina tikslinė informuotumo didinimo ir informavimo veikla, kad visoje Sąjungoje būtų užtikrintos vienodos galimybės naudotis EGF teikiamomis galimybėmis;</w:t>
      </w:r>
    </w:p>
    <w:p w14:paraId="10842A96" w14:textId="3FE4537D" w:rsidR="00CB1401" w:rsidRPr="00541FA7" w:rsidRDefault="00CB1401" w:rsidP="00CB1401">
      <w:pPr>
        <w:pStyle w:val="NormalHanging12a"/>
      </w:pPr>
      <w:r w:rsidRPr="00541FA7">
        <w:t>E.</w:t>
      </w:r>
      <w:r w:rsidRPr="00541FA7">
        <w:tab/>
        <w:t>kadangi siūloma 210 000 EUR suma atitinka apytikriai 0,6 proc. didžiausio metinio EGF biudžeto, skirto 2026 m.; kadangi EGF teikia svarbią paramą nuo restruktūrizavimo ir atleidimo nukentėjusiems darbuotojams; kadangi konkurencinga Europos ekonomika, mažesnė administracinė našta ir investicijoms bei inovacijoms palanki verslo aplinka tebėra labai svarbios siekiant išsaugoti kokybiškas darbo vietas ir sumažinti darbuotojų, kuriems reikalinga EGF parama, skaičių;</w:t>
      </w:r>
    </w:p>
    <w:p w14:paraId="3962675A" w14:textId="3563CA30" w:rsidR="00CB1401" w:rsidRPr="00541FA7" w:rsidRDefault="00CB1401" w:rsidP="00CB1401">
      <w:pPr>
        <w:pStyle w:val="NormalHanging12a"/>
      </w:pPr>
      <w:r w:rsidRPr="00541FA7">
        <w:t>1.</w:t>
      </w:r>
      <w:r w:rsidRPr="00541FA7">
        <w:tab/>
      </w:r>
      <w:r w:rsidRPr="00541FA7">
        <w:rPr>
          <w:bdr w:val="none" w:sz="0" w:space="0" w:color="auto" w:frame="1"/>
        </w:rPr>
        <w:t>pritaria 210 000 EUR sumos mobilizavimui ir tam, kad Komisijos siūlomos priemonės būtų finansuojamos kaip techninė pagalba pagal EGF reglamento 11 straipsnio 1 ir 4 dalis ir 12 straipsnio 2, 3 ir 4 dalis;</w:t>
      </w:r>
      <w:r w:rsidRPr="00541FA7">
        <w:t xml:space="preserve"> pabrėžia, kad techninės pagalbos išlaidos turėtų išlikti proporcingos, veiksmingos ir orientuotos į veiklą, kuria akivaizdžiai gerinamos atleistų darbuotojų galimybės gauti paramą ir bendras EGF veiksmingumas;</w:t>
      </w:r>
    </w:p>
    <w:p w14:paraId="0F23BDA4" w14:textId="77777777" w:rsidR="00CB1401" w:rsidRPr="00541FA7" w:rsidRDefault="00CB1401" w:rsidP="00CB1401">
      <w:pPr>
        <w:spacing w:after="240"/>
        <w:ind w:left="567" w:hanging="567"/>
      </w:pPr>
      <w:r w:rsidRPr="00541FA7">
        <w:t>2.</w:t>
      </w:r>
      <w:r w:rsidRPr="00541FA7">
        <w:tab/>
        <w:t xml:space="preserve">atkreipia dėmesį į tai, kad Komisija panaudodama turimą administracinei paramai numatytą biudžetą surengs EGF kontaktinių asmenų ekspertų grupės (du nariai iš kiekvienos valstybės narės) posėdžius ir vieną seminarą, kuriame dalyvaus EGF įgyvendinančios institucijos ir socialiniai partneriai, siekiant skatinti valstybių narių tinklų kūrimą; ragina Komisiją, vadovaujantis atitinkamomis Pagrindų susitarimo dėl Parlamento ir Komisijos santykių nuostatomis, toliau sistemingai kviesti Parlamentą </w:t>
      </w:r>
      <w:r w:rsidRPr="00541FA7">
        <w:lastRenderedPageBreak/>
        <w:t>dalyvauti šiuose posėdžiuose ir seminaruose;</w:t>
      </w:r>
    </w:p>
    <w:p w14:paraId="692EFD2A" w14:textId="77777777" w:rsidR="00CB1401" w:rsidRPr="00541FA7" w:rsidRDefault="00CB1401" w:rsidP="00CB1401">
      <w:pPr>
        <w:pStyle w:val="NormalHanging12a"/>
        <w:rPr>
          <w:bCs/>
          <w:iCs/>
        </w:rPr>
      </w:pPr>
      <w:r w:rsidRPr="00541FA7">
        <w:t>3.</w:t>
      </w:r>
      <w:r w:rsidRPr="00541FA7">
        <w:tab/>
        <w:t xml:space="preserve">pabrėžia, kad reikia toliau didinti bendrą informuotumą apie EGF ir jo matomumą; atkreipia dėmesį į tai, kad šio tikslo galima siekti pristatant EGF įvairiuose Komisijos leidiniuose ir audiovizualinėje veikloje, kaip numatyta EGF reglamento 11 straipsnio 1 dalyje, ir skleidžiant tikslinę informaciją nacionalinėms, regioninėms ir vietos valdžios institucijoms, socialiniams partneriams bei plačiajai visuomenei; </w:t>
      </w:r>
      <w:r w:rsidRPr="00541FA7">
        <w:rPr>
          <w:bdr w:val="none" w:sz="0" w:space="0" w:color="auto" w:frame="1"/>
        </w:rPr>
        <w:t>atsižvelgdamas į tai, palankiai vertina EGF skirtos interneto svetainės priežiūrą ir ragina Komisiją reguliariai ją atnaujinti bei plėsti;</w:t>
      </w:r>
      <w:r w:rsidRPr="00541FA7">
        <w:t xml:space="preserve"> ragina Komisiją vykdant informuotumo didinimo ir komunikacijos veiklą ypatingą dėmesį skirti valstybėms narėms, kurios dar nepasinaudojo EGF arba juo pasinaudojo tik ribotai, įskaitant tas, kuriose vyksta didelio masto restruktūrizavimo ir darbuotojų atleidimo procesai, siekiant pagerinti žinias apie EGF ir sudaryti palankesnes sąlygas gauti EGF paramą;</w:t>
      </w:r>
    </w:p>
    <w:p w14:paraId="4AB32420" w14:textId="50505CDE" w:rsidR="00CB1401" w:rsidRPr="00541FA7" w:rsidRDefault="00CB1401" w:rsidP="00CB1401">
      <w:pPr>
        <w:pStyle w:val="NormalHanging12a"/>
        <w:rPr>
          <w:bCs/>
          <w:iCs/>
        </w:rPr>
      </w:pPr>
      <w:r w:rsidRPr="00541FA7">
        <w:rPr>
          <w:bdr w:val="none" w:sz="0" w:space="0" w:color="auto" w:frame="1"/>
        </w:rPr>
        <w:t>4.</w:t>
      </w:r>
      <w:r w:rsidRPr="00541FA7">
        <w:rPr>
          <w:bdr w:val="none" w:sz="0" w:space="0" w:color="auto" w:frame="1"/>
        </w:rPr>
        <w:tab/>
        <w:t>pabrėžia, kad reikia toliau paprastinti EGF paraiškų teikimo procedūrą; atsižvelgdamas į tai, palankiai vertina elektroninio keitimosi duomenimis sistemos priežiūrą ir Komisijos darbą, susijusį su standartizuotomis EGF paraiškų teikimo procedūromis;</w:t>
      </w:r>
      <w:r w:rsidRPr="00541FA7">
        <w:t xml:space="preserve"> ragina Komisiją toliau mažinti administracinę naštą ir sutrumpinti laiką nuo paraiškos pateikimo iki paramos teikimo paramos gavėjams, kartu užtikrinant visišką skaidrumą ir Europos Parlamento, kaip vienos iš biudžeto valdymo institucijų, vykdomą biudžeto kontrolę;</w:t>
      </w:r>
    </w:p>
    <w:p w14:paraId="557DC0BB" w14:textId="77777777" w:rsidR="00CB1401" w:rsidRPr="00541FA7" w:rsidRDefault="00CB1401" w:rsidP="00CB1401">
      <w:pPr>
        <w:pStyle w:val="NormalHanging12a"/>
        <w:rPr>
          <w:bCs/>
          <w:iCs/>
        </w:rPr>
      </w:pPr>
      <w:r w:rsidRPr="00541FA7">
        <w:t>5.</w:t>
      </w:r>
      <w:r w:rsidRPr="00541FA7">
        <w:tab/>
        <w:t>pabrėžia, jog svarbu užtikrinti, kad darbuotojai, nukentėję dėl masinio atleidimo iš darbo, įmonių uždarymo ir perkėlimo, galėtų rasti darbą ir naujų galimybių; todėl pabrėžia, kad EGF ir toliau turėtų teikti pirmenybę atleistų darbuotojų mokymo ir perkvalifikavimo priemonėms, siūlant mokymosi ir kvalifikacijos galimybes, kurios palengvintų jų reintegraciją į darbo rinką; pabrėžia, kad atliekant EGF poveikio vertinimus daugiausia dėmesio turėtų būti skiriama paramos gavėjų reintegracijos į darbo rinką ir teikiamo mokymo veiksmingumo vertinimui, siekiant nuolat tobulinti ir pritaikyti mokymosi galimybes ir paramos priemones;</w:t>
      </w:r>
    </w:p>
    <w:p w14:paraId="5457AF5B" w14:textId="77777777" w:rsidR="00CB1401" w:rsidRPr="00541FA7" w:rsidRDefault="00CB1401" w:rsidP="00CB1401">
      <w:pPr>
        <w:pStyle w:val="NormalHanging12a"/>
        <w:rPr>
          <w:noProof/>
        </w:rPr>
      </w:pPr>
      <w:r w:rsidRPr="00541FA7">
        <w:t>6.</w:t>
      </w:r>
      <w:r w:rsidRPr="00541FA7">
        <w:tab/>
        <w:t>palankiai vertina veiklą, kuria didinamas valstybių narių, socialinių partnerių ir įmonių informuotumas apie EGF reglamento pakeitimus, pagal kuriuos, be kita ko, numatoma galimybė teikti paramą ir netrukus atleisimiems restruktūrizuojamos įmonės darbuotojams;</w:t>
      </w:r>
    </w:p>
    <w:p w14:paraId="6B863697" w14:textId="36078ACA" w:rsidR="00CB1401" w:rsidRPr="00541FA7" w:rsidRDefault="00CB1401" w:rsidP="00CB1401">
      <w:pPr>
        <w:pStyle w:val="NormalHanging12a"/>
        <w:rPr>
          <w:noProof/>
        </w:rPr>
      </w:pPr>
      <w:r w:rsidRPr="00541FA7">
        <w:t>7.</w:t>
      </w:r>
      <w:r w:rsidRPr="00541FA7">
        <w:tab/>
        <w:t>pabrėžia, kad išlaidos, finansuojamos teikiant techninę pagalbą, turėtų būti griežtai stebimos ir reguliariai vertinamos, siekiant užtikrinti patikimą finansų valdymą, išlaidų efektyvumą ir apčiuopiamą pridėtinę vertę valstybėms narėms ir paramos gavėjams; ragina Komisiją pateikti išsamią informaciją apie techninės pagalbos išteklių naudojimą ir konkrečius rezultatus, pasiektus vykdant finansuojamą veiklą;</w:t>
      </w:r>
    </w:p>
    <w:p w14:paraId="16E934A5" w14:textId="77777777" w:rsidR="00CB1401" w:rsidRPr="00541FA7" w:rsidRDefault="00CB1401" w:rsidP="00CB1401">
      <w:pPr>
        <w:spacing w:after="240"/>
        <w:ind w:left="567" w:hanging="567"/>
      </w:pPr>
      <w:r w:rsidRPr="00541FA7">
        <w:t>8.</w:t>
      </w:r>
      <w:r w:rsidRPr="00541FA7">
        <w:tab/>
        <w:t>pritaria prie šios rezoliucijos pridedamam sprendimui;</w:t>
      </w:r>
    </w:p>
    <w:p w14:paraId="0B95661A" w14:textId="77777777" w:rsidR="00CB1401" w:rsidRPr="00541FA7" w:rsidRDefault="00CB1401" w:rsidP="00CB1401">
      <w:pPr>
        <w:spacing w:after="240"/>
        <w:ind w:left="567" w:hanging="567"/>
        <w:rPr>
          <w:bdr w:val="none" w:sz="0" w:space="0" w:color="auto" w:frame="1"/>
        </w:rPr>
      </w:pPr>
      <w:r w:rsidRPr="00541FA7">
        <w:t>9.</w:t>
      </w:r>
      <w:r w:rsidRPr="00541FA7">
        <w:tab/>
      </w:r>
      <w:r w:rsidRPr="00541FA7">
        <w:rPr>
          <w:bdr w:val="none" w:sz="0" w:space="0" w:color="auto" w:frame="1"/>
        </w:rPr>
        <w:t xml:space="preserve">paveda Pirmininkei pasirašyti šį sprendimą su Tarybos pirmininku ir užtikrinti, kad jis būtų paskelbtas </w:t>
      </w:r>
      <w:r w:rsidRPr="00541FA7">
        <w:rPr>
          <w:i/>
          <w:bdr w:val="none" w:sz="0" w:space="0" w:color="auto" w:frame="1"/>
        </w:rPr>
        <w:t>Europos Sąjungos oficialiajame leidinyje</w:t>
      </w:r>
      <w:r w:rsidRPr="00541FA7">
        <w:rPr>
          <w:bdr w:val="none" w:sz="0" w:space="0" w:color="auto" w:frame="1"/>
        </w:rPr>
        <w:t>;</w:t>
      </w:r>
    </w:p>
    <w:p w14:paraId="7D7AA3D8" w14:textId="77777777" w:rsidR="00CB1401" w:rsidRPr="00541FA7" w:rsidRDefault="00CB1401" w:rsidP="00CB1401">
      <w:pPr>
        <w:pStyle w:val="NormalHanging12a"/>
      </w:pPr>
      <w:r w:rsidRPr="00541FA7">
        <w:t>10.</w:t>
      </w:r>
      <w:r w:rsidRPr="00541FA7">
        <w:tab/>
      </w:r>
      <w:r w:rsidRPr="00541FA7">
        <w:rPr>
          <w:bdr w:val="none" w:sz="0" w:space="0" w:color="auto" w:frame="1"/>
        </w:rPr>
        <w:t>paveda Pirmininkei perduoti šią rezoliuciją ir jos priedą Tarybai ir Komisijai.</w:t>
      </w:r>
    </w:p>
    <w:p w14:paraId="64ECA2B5" w14:textId="77777777" w:rsidR="00CB1401" w:rsidRPr="00541FA7" w:rsidRDefault="00CB1401" w:rsidP="00CB1401">
      <w:pPr>
        <w:rPr>
          <w:noProof/>
        </w:rPr>
      </w:pPr>
    </w:p>
    <w:p w14:paraId="652AE2BA" w14:textId="77777777" w:rsidR="00CB1401" w:rsidRPr="00541FA7" w:rsidRDefault="00CB1401" w:rsidP="00CB1401">
      <w:pPr>
        <w:pStyle w:val="PageHeading"/>
        <w:rPr>
          <w:noProof/>
        </w:rPr>
        <w:sectPr w:rsidR="00CB1401" w:rsidRPr="00541FA7" w:rsidSect="00541FA7">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48E5C4" w14:textId="77777777" w:rsidR="00CB1401" w:rsidRPr="0067587D" w:rsidRDefault="00CB1401" w:rsidP="00CB1401">
      <w:pPr>
        <w:pStyle w:val="PageHeading"/>
        <w:rPr>
          <w:rFonts w:ascii="Times New Roman" w:hAnsi="Times New Roman"/>
        </w:rPr>
      </w:pPr>
      <w:bookmarkStart w:id="8" w:name="_Toc233722579"/>
      <w:r w:rsidRPr="0067587D">
        <w:rPr>
          <w:rFonts w:ascii="Times New Roman" w:hAnsi="Times New Roman"/>
        </w:rPr>
        <w:lastRenderedPageBreak/>
        <w:t>PRIEDAS: EUROPOS PARLAMENTO IR TARYBOS SPRENDIMAS</w:t>
      </w:r>
      <w:bookmarkEnd w:id="8"/>
    </w:p>
    <w:p w14:paraId="3CA37522" w14:textId="77777777" w:rsidR="00CB1401" w:rsidRPr="00001530" w:rsidRDefault="00CB1401" w:rsidP="00CB1401">
      <w:pPr>
        <w:pStyle w:val="NormalBold24a"/>
      </w:pPr>
      <w:r w:rsidRPr="00001530">
        <w:t>dėl Europos prisitaikymo prie globalizacijos padarinių fondo atleistiems darbuotojams lėšų mobilizavimo Komisijos iniciatyva (EGF/2026/000 TA 2026 – Techninė pagalba)</w:t>
      </w:r>
    </w:p>
    <w:p w14:paraId="65D16687" w14:textId="77777777" w:rsidR="00CB1401" w:rsidRPr="00001530" w:rsidRDefault="00CB1401" w:rsidP="00CB1401">
      <w:pPr>
        <w:pStyle w:val="NormalHanging12a"/>
      </w:pPr>
      <w:r w:rsidRPr="00001530">
        <w:t>EUROPOS PARLAMENTAS IR EUROPOS SĄJUNGOS TARYBA,</w:t>
      </w:r>
    </w:p>
    <w:p w14:paraId="2D572655" w14:textId="77777777" w:rsidR="00CB1401" w:rsidRPr="00001530" w:rsidRDefault="00CB1401" w:rsidP="00CB1401">
      <w:pPr>
        <w:pStyle w:val="NormalHanging12a"/>
      </w:pPr>
      <w:r w:rsidRPr="00001530">
        <w:t>atsižvelgdami į Sutartį dėl Europos Sąjungos veikimo,</w:t>
      </w:r>
    </w:p>
    <w:p w14:paraId="036643D4" w14:textId="77777777" w:rsidR="00CB1401" w:rsidRPr="00001530" w:rsidRDefault="00CB1401" w:rsidP="00CB1401">
      <w:pPr>
        <w:pStyle w:val="NormalHanging12a"/>
        <w:ind w:left="0" w:firstLine="0"/>
      </w:pPr>
      <w:r w:rsidRPr="00001530">
        <w:t>atsižvelgdami į 2021 m. balandžio 28 d. Europos Parlamento ir Tarybos reglamentą (ES) 2021/691 dėl Europos prisitaikymo prie globalizacijos padarinių fondo atleistiems darbuotojams (EGF), kuriuo panaikinamas Reglamentas (ES) Nr. 1309/2013</w:t>
      </w:r>
      <w:r w:rsidRPr="00001530">
        <w:rPr>
          <w:b/>
          <w:bCs/>
          <w:vertAlign w:val="superscript"/>
        </w:rPr>
        <w:footnoteReference w:id="6"/>
      </w:r>
      <w:r w:rsidRPr="00001530">
        <w:t>, ypač į jo 15 straipsnio 1 dalies pirmą pastraipą,</w:t>
      </w:r>
    </w:p>
    <w:p w14:paraId="0544D14B" w14:textId="77777777" w:rsidR="00CB1401" w:rsidRPr="00001530" w:rsidRDefault="00CB1401" w:rsidP="00CB1401">
      <w:pPr>
        <w:pStyle w:val="NormalHanging12a"/>
        <w:ind w:left="0" w:firstLine="0"/>
      </w:pPr>
      <w:r w:rsidRPr="00001530">
        <w:t>atsižvelgdami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001530">
        <w:rPr>
          <w:b/>
          <w:bCs/>
          <w:vertAlign w:val="superscript"/>
        </w:rPr>
        <w:footnoteReference w:id="7"/>
      </w:r>
      <w:r w:rsidRPr="00001530">
        <w:t>, ypač į jo 9 punktą,</w:t>
      </w:r>
    </w:p>
    <w:p w14:paraId="3C1DE358" w14:textId="77777777" w:rsidR="00CB1401" w:rsidRPr="00001530" w:rsidRDefault="00CB1401" w:rsidP="003469A9">
      <w:pPr>
        <w:pStyle w:val="NormalHanging12a"/>
        <w:ind w:left="0" w:firstLine="0"/>
      </w:pPr>
      <w:r w:rsidRPr="00001530">
        <w:t>atsižvelgdami į Europos Komisijos pasiūlymą,</w:t>
      </w:r>
    </w:p>
    <w:p w14:paraId="61A76A2D" w14:textId="77777777" w:rsidR="00CB1401" w:rsidRPr="00001530" w:rsidRDefault="00CB1401" w:rsidP="0067587D">
      <w:pPr>
        <w:pStyle w:val="NormalHanging12a"/>
      </w:pPr>
      <w:r w:rsidRPr="00001530">
        <w:t>kadangi:</w:t>
      </w:r>
    </w:p>
    <w:p w14:paraId="6EA13DED" w14:textId="77777777" w:rsidR="00CB1401" w:rsidRPr="00001530" w:rsidRDefault="00CB1401" w:rsidP="0067587D">
      <w:pPr>
        <w:pStyle w:val="NormalHanging12a"/>
      </w:pPr>
      <w:r w:rsidRPr="00001530">
        <w:t>(1)</w:t>
      </w:r>
      <w:r w:rsidRPr="00001530">
        <w:tab/>
        <w:t>Europos prisitaikymo prie globalizacijos padarinių fondo atleistiems darbuotojams (EGF) tikslas – rodyti solidarumą ir skatinti deramą ir tvarų užimtumą Sąjungoje, teikiant paramą atleistiems darbuotojams ir savarankiškai dirbantiems asmenims, kurių veikla nutrūko didelio masto restruktūrizavimo atveju, ir padedant jiems kuo greičiau grįžti prie deramo ir tvaraus užimtumo;</w:t>
      </w:r>
    </w:p>
    <w:p w14:paraId="3AD1976C" w14:textId="77777777" w:rsidR="00CB1401" w:rsidRPr="00001530" w:rsidRDefault="00CB1401" w:rsidP="0067587D">
      <w:pPr>
        <w:pStyle w:val="NormalHanging12a"/>
      </w:pPr>
      <w:r w:rsidRPr="00001530">
        <w:t>(2)</w:t>
      </w:r>
      <w:r w:rsidRPr="00001530">
        <w:tab/>
        <w:t>EGF didžiausia metinė suma negali viršyti 30 mln. EUR (2018 m. kainomis), kaip nustatyta Tarybos reglamento (ES, Euratomas) 2020/2093</w:t>
      </w:r>
      <w:r w:rsidRPr="00001530">
        <w:rPr>
          <w:b/>
          <w:bCs/>
          <w:vertAlign w:val="superscript"/>
        </w:rPr>
        <w:footnoteReference w:id="8"/>
      </w:r>
      <w:r w:rsidRPr="00001530">
        <w:t xml:space="preserve"> su pakeitimais, padarytais Tarybos reglamentu (ES, Euratomas) 2024/765</w:t>
      </w:r>
      <w:r w:rsidRPr="00001530">
        <w:rPr>
          <w:b/>
          <w:bCs/>
          <w:vertAlign w:val="superscript"/>
        </w:rPr>
        <w:footnoteReference w:id="9"/>
      </w:r>
      <w:r w:rsidRPr="00001530">
        <w:t>, 8 straipsnyje ir Reglamento (ES) 2021/691 16 straipsnyje;</w:t>
      </w:r>
    </w:p>
    <w:p w14:paraId="15AADA7C" w14:textId="77777777" w:rsidR="00CB1401" w:rsidRPr="00001530" w:rsidRDefault="00CB1401" w:rsidP="0067587D">
      <w:pPr>
        <w:pStyle w:val="NormalHanging12a"/>
      </w:pPr>
      <w:r w:rsidRPr="00001530">
        <w:t>(3)</w:t>
      </w:r>
      <w:r w:rsidRPr="00001530">
        <w:tab/>
        <w:t>Reglamente (ES) 2021/691 nustatyta, kad Komisijos iniciatyva kiekvienais metais techninei pagalbai gali būti naudojama ne daugiau kaip 1,5 % didžiausios metinės EGF sumos;</w:t>
      </w:r>
    </w:p>
    <w:p w14:paraId="568C8F20" w14:textId="77777777" w:rsidR="00CB1401" w:rsidRPr="00001530" w:rsidRDefault="00CB1401" w:rsidP="0067587D">
      <w:pPr>
        <w:pStyle w:val="NormalHanging12a"/>
      </w:pPr>
      <w:r w:rsidRPr="00001530">
        <w:t>(4)</w:t>
      </w:r>
      <w:r w:rsidRPr="00001530">
        <w:tab/>
        <w:t xml:space="preserve">ta parama yra būtina, kad būtų įvykdytos pareigos, susijusios su Reglamento (ES) 2021/691 11 straipsnyje numatytu EGF įgyvendinimu, visų pirma susijusios su </w:t>
      </w:r>
      <w:r w:rsidRPr="00001530">
        <w:lastRenderedPageBreak/>
        <w:t>stebėsena ir duomenų rinkimu, taip pat komunikacijos ir EGF matomumo didinimo veikla;</w:t>
      </w:r>
    </w:p>
    <w:p w14:paraId="695BB4C9" w14:textId="77777777" w:rsidR="00CB1401" w:rsidRPr="00001530" w:rsidRDefault="00CB1401" w:rsidP="0067587D">
      <w:pPr>
        <w:pStyle w:val="NormalHanging12a"/>
      </w:pPr>
      <w:r w:rsidRPr="00001530">
        <w:t>(5)</w:t>
      </w:r>
      <w:r w:rsidRPr="00001530">
        <w:tab/>
        <w:t>todėl EGF lėšos turėtų būti mobilizuotos, kad Komisijos iniciatyva būtų suteikta 210 000 EUR techninė pagalba,</w:t>
      </w:r>
    </w:p>
    <w:p w14:paraId="161077FB" w14:textId="53DBC916" w:rsidR="00CB1401" w:rsidRPr="00001530" w:rsidRDefault="00CB1401" w:rsidP="0067587D">
      <w:pPr>
        <w:spacing w:before="120" w:after="120"/>
      </w:pPr>
      <w:r w:rsidRPr="00001530">
        <w:t>PRIĖMĖ ŠĮ SRENDIMĄ:</w:t>
      </w:r>
    </w:p>
    <w:p w14:paraId="10D79AA6" w14:textId="77777777" w:rsidR="00CB1401" w:rsidRPr="00001530" w:rsidRDefault="00CB1401" w:rsidP="0067587D">
      <w:pPr>
        <w:spacing w:before="120" w:after="120"/>
        <w:jc w:val="center"/>
        <w:rPr>
          <w:i/>
          <w:iCs/>
        </w:rPr>
      </w:pPr>
      <w:r w:rsidRPr="00001530">
        <w:rPr>
          <w:i/>
        </w:rPr>
        <w:t>1 straipsnis</w:t>
      </w:r>
    </w:p>
    <w:p w14:paraId="3A548A34" w14:textId="77777777" w:rsidR="00CB1401" w:rsidRPr="00001530" w:rsidRDefault="00CB1401" w:rsidP="0067587D">
      <w:pPr>
        <w:spacing w:before="120" w:after="120"/>
        <w:jc w:val="center"/>
        <w:rPr>
          <w:i/>
          <w:iCs/>
        </w:rPr>
      </w:pPr>
    </w:p>
    <w:p w14:paraId="2B68A675" w14:textId="31BE4223" w:rsidR="00CB1401" w:rsidRDefault="00CB1401" w:rsidP="0067587D">
      <w:pPr>
        <w:spacing w:before="120" w:after="120"/>
      </w:pPr>
      <w:r w:rsidRPr="00001530">
        <w:t>2026 finansinių metų Sąjungos bendrajame biudžete Europos prisitaikymo prie globalizacijos padarinių fondo atleistiems darbuotojams lėšos mobilizuojamos siekiant skirti 210 000 EUR įsipareigojimų ir mokėjimų asignavimų sumą.</w:t>
      </w:r>
    </w:p>
    <w:p w14:paraId="6B99F758" w14:textId="77777777" w:rsidR="004E345C" w:rsidRPr="00001530" w:rsidRDefault="004E345C" w:rsidP="0067587D">
      <w:pPr>
        <w:spacing w:before="120" w:after="120"/>
      </w:pPr>
    </w:p>
    <w:p w14:paraId="68C69478" w14:textId="77777777" w:rsidR="00CB1401" w:rsidRPr="00001530" w:rsidRDefault="00CB1401" w:rsidP="0067587D">
      <w:pPr>
        <w:spacing w:before="120" w:after="120"/>
        <w:jc w:val="center"/>
        <w:rPr>
          <w:i/>
          <w:iCs/>
        </w:rPr>
      </w:pPr>
      <w:r w:rsidRPr="00001530">
        <w:rPr>
          <w:i/>
        </w:rPr>
        <w:t>2 straipsnis</w:t>
      </w:r>
    </w:p>
    <w:p w14:paraId="253AA1C0" w14:textId="77777777" w:rsidR="00CB1401" w:rsidRPr="00001530" w:rsidRDefault="00CB1401" w:rsidP="0067587D">
      <w:pPr>
        <w:spacing w:before="120" w:after="120"/>
      </w:pPr>
    </w:p>
    <w:p w14:paraId="4976E1E4" w14:textId="6AFBF6D4" w:rsidR="00CB1401" w:rsidRPr="00001530" w:rsidRDefault="00CB1401" w:rsidP="0067587D">
      <w:pPr>
        <w:spacing w:before="120" w:after="120"/>
      </w:pPr>
      <w:r w:rsidRPr="00001530">
        <w:t xml:space="preserve">Šis sprendimas įsigalioja jo paskelbimo </w:t>
      </w:r>
      <w:r w:rsidRPr="00001530">
        <w:rPr>
          <w:i/>
          <w:iCs/>
        </w:rPr>
        <w:t>Europos Sąjungos oficialiajame leidinyje</w:t>
      </w:r>
      <w:r w:rsidRPr="00001530">
        <w:t xml:space="preserve"> dieną. </w:t>
      </w:r>
    </w:p>
    <w:p w14:paraId="70C4B946" w14:textId="77777777" w:rsidR="00CB1401" w:rsidRPr="00001530" w:rsidRDefault="00CB1401" w:rsidP="0067587D">
      <w:pPr>
        <w:spacing w:before="120" w:after="120"/>
      </w:pPr>
    </w:p>
    <w:p w14:paraId="3A128788" w14:textId="2B9EE8D2" w:rsidR="00CB1401" w:rsidRPr="00001530" w:rsidRDefault="00CB1401" w:rsidP="00CB1401">
      <w:r w:rsidRPr="00001530">
        <w:t xml:space="preserve">Priimta </w:t>
      </w:r>
    </w:p>
    <w:p w14:paraId="73E644F8" w14:textId="0A569D5B" w:rsidR="00CB1401" w:rsidRPr="00001530" w:rsidRDefault="00CB1401" w:rsidP="0067587D">
      <w:pPr>
        <w:tabs>
          <w:tab w:val="left" w:pos="4253"/>
        </w:tabs>
        <w:spacing w:before="720" w:line="360" w:lineRule="auto"/>
        <w:rPr>
          <w:i/>
        </w:rPr>
      </w:pPr>
      <w:r w:rsidRPr="00001530">
        <w:rPr>
          <w:i/>
        </w:rPr>
        <w:t>Europos Parlamento vardu</w:t>
      </w:r>
      <w:r w:rsidRPr="00001530">
        <w:rPr>
          <w:i/>
        </w:rPr>
        <w:tab/>
        <w:t>Tarybos vardu</w:t>
      </w:r>
    </w:p>
    <w:p w14:paraId="71954330" w14:textId="0D10B716" w:rsidR="00E365E1" w:rsidRPr="00001530" w:rsidRDefault="00CB1401" w:rsidP="0067587D">
      <w:pPr>
        <w:tabs>
          <w:tab w:val="left" w:pos="4253"/>
        </w:tabs>
      </w:pPr>
      <w:r w:rsidRPr="00001530">
        <w:rPr>
          <w:i/>
        </w:rPr>
        <w:t>Pirmininkė</w:t>
      </w:r>
      <w:r w:rsidRPr="00001530">
        <w:rPr>
          <w:i/>
        </w:rPr>
        <w:tab/>
        <w:t>Pirmininkas</w:t>
      </w:r>
    </w:p>
    <w:sectPr w:rsidR="00E365E1" w:rsidRPr="00001530" w:rsidSect="00541FA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A589E" w14:textId="77777777" w:rsidR="00B41671" w:rsidRPr="00541FA7" w:rsidRDefault="00B41671">
      <w:r w:rsidRPr="00541FA7">
        <w:separator/>
      </w:r>
    </w:p>
  </w:endnote>
  <w:endnote w:type="continuationSeparator" w:id="0">
    <w:p w14:paraId="3387FE24" w14:textId="77777777" w:rsidR="00B41671" w:rsidRPr="00541FA7" w:rsidRDefault="00B41671">
      <w:r w:rsidRPr="00541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966B" w14:textId="77777777" w:rsidR="00CB1401" w:rsidRPr="00541FA7" w:rsidRDefault="00CB1401" w:rsidP="00EA4962">
    <w:pPr>
      <w:pStyle w:val="EPFooter"/>
    </w:pPr>
    <w:r w:rsidRPr="00541FA7">
      <w:t>PE</w:t>
    </w:r>
    <w:r w:rsidRPr="00541FA7">
      <w:rPr>
        <w:rStyle w:val="HideTWBExt"/>
      </w:rPr>
      <w:t>&lt;NoPE&gt;</w:t>
    </w:r>
    <w:r w:rsidRPr="00541FA7">
      <w:t>789.086</w:t>
    </w:r>
    <w:r w:rsidRPr="00541FA7">
      <w:rPr>
        <w:rStyle w:val="HideTWBExt"/>
      </w:rPr>
      <w:t>&lt;/NoPE&gt;&lt;Version&gt;</w:t>
    </w:r>
    <w:r w:rsidRPr="00541FA7">
      <w:t>v02-00</w:t>
    </w:r>
    <w:r w:rsidRPr="00541FA7">
      <w:rPr>
        <w:rStyle w:val="HideTWBExt"/>
      </w:rPr>
      <w:t>&lt;/Version&gt;</w:t>
    </w:r>
    <w:r w:rsidRPr="00541FA7">
      <w:tab/>
    </w:r>
    <w:r w:rsidRPr="00541FA7">
      <w:fldChar w:fldCharType="begin"/>
    </w:r>
    <w:r w:rsidRPr="00541FA7">
      <w:instrText xml:space="preserve"> PAGE  \* MERGEFORMAT </w:instrText>
    </w:r>
    <w:r w:rsidRPr="00541FA7">
      <w:fldChar w:fldCharType="separate"/>
    </w:r>
    <w:r w:rsidRPr="00541FA7">
      <w:rPr>
        <w:noProof/>
      </w:rPr>
      <w:t>10</w:t>
    </w:r>
    <w:r w:rsidRPr="00541FA7">
      <w:fldChar w:fldCharType="end"/>
    </w:r>
    <w:r w:rsidRPr="00541FA7">
      <w:t>/</w:t>
    </w:r>
    <w:fldSimple w:instr=" NUMPAGES  \* MERGEFORMAT ">
      <w:r w:rsidRPr="00541FA7">
        <w:rPr>
          <w:noProof/>
        </w:rPr>
        <w:t>15</w:t>
      </w:r>
    </w:fldSimple>
    <w:r w:rsidRPr="00541FA7">
      <w:tab/>
    </w:r>
    <w:r w:rsidRPr="00541FA7">
      <w:rPr>
        <w:rStyle w:val="HideTWBExt"/>
      </w:rPr>
      <w:t>&lt;PathFdR&gt;</w:t>
    </w:r>
    <w:r w:rsidRPr="00541FA7">
      <w:t>RR\1346613LT.docx</w:t>
    </w:r>
    <w:r w:rsidRPr="00541FA7">
      <w:rPr>
        <w:rStyle w:val="HideTWBExt"/>
      </w:rPr>
      <w:t>&lt;/PathFdR&gt;</w:t>
    </w:r>
  </w:p>
  <w:p w14:paraId="5DE07769" w14:textId="77777777" w:rsidR="00CB1401" w:rsidRPr="00541FA7" w:rsidRDefault="00CB1401" w:rsidP="00EA4962">
    <w:pPr>
      <w:pStyle w:val="EPFooter2"/>
    </w:pPr>
    <w:r w:rsidRPr="00541FA7">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23C98" w14:textId="72645E85" w:rsidR="00CB1401" w:rsidRPr="008121D2" w:rsidRDefault="00CB1401" w:rsidP="006758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423E" w14:textId="77777777" w:rsidR="00CB1401" w:rsidRPr="00541FA7" w:rsidRDefault="00CB1401" w:rsidP="00EA4962">
    <w:pPr>
      <w:pStyle w:val="EPFooter"/>
    </w:pPr>
    <w:r w:rsidRPr="00541FA7">
      <w:rPr>
        <w:rStyle w:val="HideTWBExt"/>
      </w:rPr>
      <w:t>&lt;PathFdR&gt;</w:t>
    </w:r>
    <w:r w:rsidRPr="00541FA7">
      <w:t>RR\1346613LT.docx</w:t>
    </w:r>
    <w:r w:rsidRPr="00541FA7">
      <w:rPr>
        <w:rStyle w:val="HideTWBExt"/>
      </w:rPr>
      <w:t>&lt;/PathFdR&gt;</w:t>
    </w:r>
    <w:r w:rsidRPr="00541FA7">
      <w:tab/>
    </w:r>
    <w:r w:rsidRPr="00541FA7">
      <w:tab/>
      <w:t>PE</w:t>
    </w:r>
    <w:r w:rsidRPr="00541FA7">
      <w:rPr>
        <w:rStyle w:val="HideTWBExt"/>
      </w:rPr>
      <w:t>&lt;NoPE&gt;</w:t>
    </w:r>
    <w:r w:rsidRPr="00541FA7">
      <w:t>789.086</w:t>
    </w:r>
    <w:r w:rsidRPr="00541FA7">
      <w:rPr>
        <w:rStyle w:val="HideTWBExt"/>
      </w:rPr>
      <w:t>&lt;/NoPE&gt;&lt;Version&gt;</w:t>
    </w:r>
    <w:r w:rsidRPr="00541FA7">
      <w:t>v02-00</w:t>
    </w:r>
    <w:r w:rsidRPr="00541FA7">
      <w:rPr>
        <w:rStyle w:val="HideTWBExt"/>
      </w:rPr>
      <w:t>&lt;/Version&gt;</w:t>
    </w:r>
  </w:p>
  <w:p w14:paraId="4F9BFAFF" w14:textId="77777777" w:rsidR="00CB1401" w:rsidRPr="00541FA7" w:rsidRDefault="00CB1401" w:rsidP="00EA4962">
    <w:pPr>
      <w:pStyle w:val="EPFooter2"/>
    </w:pPr>
    <w:r w:rsidRPr="00541FA7">
      <w:t>LT</w:t>
    </w:r>
    <w:r w:rsidRPr="00541FA7">
      <w:tab/>
    </w:r>
    <w:r w:rsidRPr="00541FA7">
      <w:rPr>
        <w:b w:val="0"/>
        <w:i/>
        <w:color w:val="C0C0C0"/>
        <w:sz w:val="22"/>
      </w:rPr>
      <w:t>Suvienijusi įvairovę</w:t>
    </w:r>
    <w:r w:rsidRPr="00541FA7">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6885B" w14:textId="77777777" w:rsidR="00064002" w:rsidRPr="00541FA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E020" w14:textId="77777777" w:rsidR="00064002" w:rsidRPr="00541FA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67D1" w14:textId="77777777" w:rsidR="00064002" w:rsidRPr="00541F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06678" w14:textId="77777777" w:rsidR="00B41671" w:rsidRPr="00541FA7" w:rsidRDefault="00B41671">
      <w:r w:rsidRPr="00541FA7">
        <w:separator/>
      </w:r>
    </w:p>
  </w:footnote>
  <w:footnote w:type="continuationSeparator" w:id="0">
    <w:p w14:paraId="70B38889" w14:textId="77777777" w:rsidR="00B41671" w:rsidRPr="00541FA7" w:rsidRDefault="00B41671">
      <w:r w:rsidRPr="00541FA7">
        <w:continuationSeparator/>
      </w:r>
    </w:p>
  </w:footnote>
  <w:footnote w:id="1">
    <w:p w14:paraId="328F1DC0" w14:textId="63F70719" w:rsidR="00CB1401" w:rsidRPr="00541FA7" w:rsidRDefault="00CB1401" w:rsidP="00541FA7">
      <w:pPr>
        <w:pStyle w:val="FootnoteText"/>
        <w:ind w:left="567" w:hanging="567"/>
        <w:rPr>
          <w:sz w:val="24"/>
          <w:lang w:val="lt-LT"/>
        </w:rPr>
      </w:pPr>
      <w:r w:rsidRPr="00541FA7">
        <w:rPr>
          <w:rStyle w:val="FootnoteReference"/>
          <w:sz w:val="24"/>
          <w:lang w:val="lt-LT"/>
        </w:rPr>
        <w:footnoteRef/>
      </w:r>
      <w:r w:rsidR="00541FA7" w:rsidRPr="00541FA7">
        <w:rPr>
          <w:sz w:val="24"/>
          <w:lang w:val="lt-LT"/>
        </w:rPr>
        <w:t xml:space="preserve"> </w:t>
      </w:r>
      <w:r w:rsidR="00541FA7" w:rsidRPr="00541FA7">
        <w:rPr>
          <w:sz w:val="24"/>
          <w:lang w:val="lt-LT"/>
        </w:rPr>
        <w:tab/>
      </w:r>
      <w:r w:rsidRPr="00541FA7">
        <w:rPr>
          <w:sz w:val="24"/>
          <w:lang w:val="lt-LT"/>
        </w:rPr>
        <w:t xml:space="preserve">OL L 153, 2021 5 3, p. 48, ELI: </w:t>
      </w:r>
      <w:hyperlink r:id="rId1" w:history="1">
        <w:r w:rsidRPr="00541FA7">
          <w:rPr>
            <w:rStyle w:val="Hyperlink"/>
            <w:color w:val="0070C0"/>
            <w:sz w:val="24"/>
            <w:lang w:val="lt-LT"/>
          </w:rPr>
          <w:t>http://data.europa.eu/eli/reg/2021/691/oj</w:t>
        </w:r>
      </w:hyperlink>
      <w:r w:rsidRPr="00541FA7">
        <w:rPr>
          <w:color w:val="0070C0"/>
          <w:sz w:val="24"/>
          <w:lang w:val="lt-LT"/>
        </w:rPr>
        <w:t>.</w:t>
      </w:r>
    </w:p>
  </w:footnote>
  <w:footnote w:id="2">
    <w:p w14:paraId="3775201F" w14:textId="0236893D" w:rsidR="00CB1401" w:rsidRPr="00541FA7" w:rsidRDefault="00CB1401" w:rsidP="00541FA7">
      <w:pPr>
        <w:pStyle w:val="FootnoteText"/>
        <w:ind w:left="567" w:hanging="567"/>
        <w:rPr>
          <w:sz w:val="24"/>
          <w:lang w:val="lt-LT"/>
        </w:rPr>
      </w:pPr>
      <w:r w:rsidRPr="00541FA7">
        <w:rPr>
          <w:rStyle w:val="FootnoteReference"/>
          <w:sz w:val="24"/>
          <w:lang w:val="lt-LT"/>
        </w:rPr>
        <w:footnoteRef/>
      </w:r>
      <w:r w:rsidR="00541FA7" w:rsidRPr="00541FA7">
        <w:rPr>
          <w:sz w:val="24"/>
          <w:lang w:val="lt-LT"/>
        </w:rPr>
        <w:t xml:space="preserve"> </w:t>
      </w:r>
      <w:r w:rsidR="00541FA7" w:rsidRPr="00541FA7">
        <w:rPr>
          <w:sz w:val="24"/>
          <w:lang w:val="lt-LT"/>
        </w:rPr>
        <w:tab/>
      </w:r>
      <w:r w:rsidRPr="00541FA7">
        <w:rPr>
          <w:sz w:val="24"/>
          <w:lang w:val="lt-LT"/>
        </w:rPr>
        <w:t>OL L, 2026/1139, 2026 5 20, ELI: </w:t>
      </w:r>
      <w:hyperlink r:id="rId2" w:tgtFrame="_blank" w:tooltip="Prieiga prie šio dokumento suteikiama per ELI sistemoje jam suteiktą URI." w:history="1">
        <w:r w:rsidRPr="00541FA7">
          <w:rPr>
            <w:rStyle w:val="Hyperlink"/>
            <w:color w:val="0070C0"/>
            <w:sz w:val="24"/>
            <w:lang w:val="lt-LT"/>
          </w:rPr>
          <w:t>http://data.europa.eu/eli/reg/2026/1139/oj</w:t>
        </w:r>
      </w:hyperlink>
      <w:r w:rsidRPr="00541FA7">
        <w:rPr>
          <w:color w:val="0070C0"/>
          <w:sz w:val="24"/>
          <w:lang w:val="lt-LT"/>
        </w:rPr>
        <w:t>.</w:t>
      </w:r>
    </w:p>
  </w:footnote>
  <w:footnote w:id="3">
    <w:p w14:paraId="235E2925" w14:textId="67FA7F1E" w:rsidR="00CB1401" w:rsidRPr="00541FA7" w:rsidRDefault="00CB1401" w:rsidP="00541FA7">
      <w:pPr>
        <w:ind w:left="567" w:hanging="567"/>
      </w:pPr>
      <w:r w:rsidRPr="00541FA7">
        <w:rPr>
          <w:rStyle w:val="FootnoteReference"/>
        </w:rPr>
        <w:footnoteRef/>
      </w:r>
      <w:r w:rsidR="00541FA7" w:rsidRPr="00541FA7">
        <w:t xml:space="preserve"> </w:t>
      </w:r>
      <w:r w:rsidR="00541FA7" w:rsidRPr="00541FA7">
        <w:tab/>
      </w:r>
      <w:r w:rsidRPr="00541FA7">
        <w:t xml:space="preserve">OL L 433 I, 2020 12 22, p. 11, ELI: </w:t>
      </w:r>
      <w:hyperlink r:id="rId3" w:history="1">
        <w:r w:rsidRPr="00541FA7">
          <w:rPr>
            <w:rStyle w:val="Hyperlink"/>
            <w:color w:val="0070C0"/>
          </w:rPr>
          <w:t>http://data.europa.eu/eli/reg/2020/2093/oj</w:t>
        </w:r>
      </w:hyperlink>
      <w:r w:rsidRPr="00541FA7">
        <w:rPr>
          <w:color w:val="0070C0"/>
        </w:rPr>
        <w:t>.</w:t>
      </w:r>
    </w:p>
  </w:footnote>
  <w:footnote w:id="4">
    <w:p w14:paraId="6E5D28C9" w14:textId="5CA26410" w:rsidR="00CB1401" w:rsidRPr="00541FA7" w:rsidRDefault="00CB1401" w:rsidP="00541FA7">
      <w:pPr>
        <w:ind w:left="567" w:hanging="567"/>
      </w:pPr>
      <w:r w:rsidRPr="00541FA7">
        <w:rPr>
          <w:rStyle w:val="FootnoteReference"/>
        </w:rPr>
        <w:footnoteRef/>
      </w:r>
      <w:r w:rsidR="00541FA7" w:rsidRPr="00541FA7">
        <w:t xml:space="preserve"> </w:t>
      </w:r>
      <w:r w:rsidR="00541FA7" w:rsidRPr="00541FA7">
        <w:tab/>
      </w:r>
      <w:r w:rsidRPr="00541FA7">
        <w:t xml:space="preserve">OL L, 2024/765, 2024 2 29, ELI: </w:t>
      </w:r>
      <w:hyperlink r:id="rId4" w:history="1">
        <w:r w:rsidRPr="00541FA7">
          <w:rPr>
            <w:rStyle w:val="Hyperlink"/>
          </w:rPr>
          <w:t>https://eur-lex.europa.eu/eli/reg/2024/765/oj</w:t>
        </w:r>
      </w:hyperlink>
      <w:r w:rsidRPr="00541FA7">
        <w:t>.</w:t>
      </w:r>
    </w:p>
  </w:footnote>
  <w:footnote w:id="5">
    <w:p w14:paraId="06F297A4" w14:textId="6E446080" w:rsidR="00CB1401" w:rsidRPr="00541FA7" w:rsidRDefault="00CB1401" w:rsidP="00541FA7">
      <w:pPr>
        <w:pStyle w:val="FootnoteText"/>
        <w:ind w:left="567" w:hanging="567"/>
        <w:rPr>
          <w:sz w:val="24"/>
          <w:lang w:val="lt-LT"/>
        </w:rPr>
      </w:pPr>
      <w:r w:rsidRPr="00541FA7">
        <w:rPr>
          <w:rStyle w:val="FootnoteReference"/>
          <w:sz w:val="24"/>
          <w:lang w:val="lt-LT"/>
        </w:rPr>
        <w:footnoteRef/>
      </w:r>
      <w:r w:rsidR="00541FA7" w:rsidRPr="00541FA7">
        <w:rPr>
          <w:sz w:val="24"/>
          <w:lang w:val="lt-LT"/>
        </w:rPr>
        <w:t xml:space="preserve"> </w:t>
      </w:r>
      <w:r w:rsidR="00541FA7" w:rsidRPr="00541FA7">
        <w:rPr>
          <w:sz w:val="24"/>
          <w:lang w:val="lt-LT"/>
        </w:rPr>
        <w:tab/>
      </w:r>
      <w:r w:rsidRPr="00541FA7">
        <w:rPr>
          <w:sz w:val="24"/>
          <w:lang w:val="lt-LT"/>
        </w:rPr>
        <w:t xml:space="preserve">OL L 433 I, 2020 12 22, p. 28, ELI: </w:t>
      </w:r>
      <w:hyperlink r:id="rId5" w:history="1">
        <w:r w:rsidRPr="00541FA7">
          <w:rPr>
            <w:rStyle w:val="Hyperlink"/>
            <w:sz w:val="24"/>
            <w:lang w:val="lt-LT"/>
          </w:rPr>
          <w:t>http://data.europa.eu/eli/agree_interinstit/2020/1222/oj</w:t>
        </w:r>
      </w:hyperlink>
      <w:r w:rsidRPr="00541FA7">
        <w:rPr>
          <w:sz w:val="24"/>
          <w:lang w:val="lt-LT"/>
        </w:rPr>
        <w:t>.</w:t>
      </w:r>
    </w:p>
  </w:footnote>
  <w:footnote w:id="6">
    <w:p w14:paraId="23B0225B" w14:textId="6AF9C409" w:rsidR="00CB1401" w:rsidRPr="00541FA7" w:rsidRDefault="00CB1401" w:rsidP="00541FA7">
      <w:pPr>
        <w:pStyle w:val="FootnoteText"/>
        <w:ind w:left="567" w:hanging="567"/>
        <w:rPr>
          <w:sz w:val="24"/>
          <w:lang w:val="lt-LT"/>
        </w:rPr>
      </w:pPr>
      <w:r w:rsidRPr="00541FA7">
        <w:rPr>
          <w:rStyle w:val="FootnoteReference"/>
          <w:sz w:val="24"/>
          <w:lang w:val="lt-LT"/>
        </w:rPr>
        <w:footnoteRef/>
      </w:r>
      <w:r w:rsidR="00541FA7" w:rsidRPr="00541FA7">
        <w:rPr>
          <w:sz w:val="24"/>
          <w:lang w:val="lt-LT"/>
        </w:rPr>
        <w:t xml:space="preserve"> </w:t>
      </w:r>
      <w:r w:rsidR="00541FA7" w:rsidRPr="00541FA7">
        <w:rPr>
          <w:sz w:val="24"/>
          <w:lang w:val="lt-LT"/>
        </w:rPr>
        <w:tab/>
      </w:r>
      <w:r w:rsidRPr="00541FA7">
        <w:rPr>
          <w:sz w:val="24"/>
          <w:lang w:val="lt-LT"/>
        </w:rPr>
        <w:t xml:space="preserve">OL L 153, 2021 5 3, p. 48, ELI: </w:t>
      </w:r>
      <w:hyperlink r:id="rId6" w:tooltip="Prieiga prie šio dokumento suteikiama per ELI sistemoje jam suteiktą URI." w:history="1">
        <w:r w:rsidRPr="00541FA7">
          <w:rPr>
            <w:rStyle w:val="Hyperlink"/>
            <w:sz w:val="24"/>
            <w:lang w:val="lt-LT"/>
          </w:rPr>
          <w:t>http://data.europa.eu/eli/reg/2021/691/oj</w:t>
        </w:r>
      </w:hyperlink>
      <w:r w:rsidRPr="00541FA7">
        <w:rPr>
          <w:sz w:val="24"/>
          <w:lang w:val="lt-LT"/>
        </w:rPr>
        <w:t>.</w:t>
      </w:r>
    </w:p>
  </w:footnote>
  <w:footnote w:id="7">
    <w:p w14:paraId="3722C43E" w14:textId="2D3DF09A" w:rsidR="00CB1401" w:rsidRPr="00541FA7" w:rsidRDefault="00CB1401" w:rsidP="00541FA7">
      <w:pPr>
        <w:pStyle w:val="FootnoteText"/>
        <w:ind w:left="567" w:hanging="567"/>
        <w:rPr>
          <w:sz w:val="24"/>
          <w:lang w:val="lt-LT"/>
        </w:rPr>
      </w:pPr>
      <w:r w:rsidRPr="00541FA7">
        <w:rPr>
          <w:rStyle w:val="FootnoteReference"/>
          <w:sz w:val="24"/>
          <w:lang w:val="lt-LT"/>
        </w:rPr>
        <w:footnoteRef/>
      </w:r>
      <w:r w:rsidR="00541FA7" w:rsidRPr="00541FA7">
        <w:rPr>
          <w:sz w:val="24"/>
          <w:lang w:val="lt-LT"/>
        </w:rPr>
        <w:t xml:space="preserve"> </w:t>
      </w:r>
      <w:r w:rsidR="00541FA7" w:rsidRPr="00541FA7">
        <w:rPr>
          <w:sz w:val="24"/>
          <w:lang w:val="lt-LT"/>
        </w:rPr>
        <w:tab/>
      </w:r>
      <w:r w:rsidRPr="00541FA7">
        <w:rPr>
          <w:sz w:val="24"/>
          <w:lang w:val="lt-LT"/>
        </w:rPr>
        <w:t xml:space="preserve">OL L 433 I, 2020 12 22, p. 28, ELI: </w:t>
      </w:r>
      <w:hyperlink r:id="rId7" w:tooltip="Prieiga prie šio dokumento suteikiama per ELI sistemoje jam suteiktą URI." w:history="1">
        <w:r w:rsidRPr="00541FA7">
          <w:rPr>
            <w:rStyle w:val="Hyperlink"/>
            <w:sz w:val="24"/>
            <w:lang w:val="lt-LT"/>
          </w:rPr>
          <w:t>http://data.europa.eu/eli/agree_interinstit/2020/1222/oj</w:t>
        </w:r>
      </w:hyperlink>
      <w:r w:rsidRPr="00541FA7">
        <w:rPr>
          <w:sz w:val="24"/>
          <w:lang w:val="lt-LT"/>
        </w:rPr>
        <w:t>.</w:t>
      </w:r>
    </w:p>
  </w:footnote>
  <w:footnote w:id="8">
    <w:p w14:paraId="4BCF476E" w14:textId="1CD59295" w:rsidR="00CB1401" w:rsidRPr="00541FA7" w:rsidRDefault="00CB1401" w:rsidP="00541FA7">
      <w:pPr>
        <w:pStyle w:val="FootnoteText"/>
        <w:ind w:left="567" w:hanging="567"/>
        <w:rPr>
          <w:sz w:val="24"/>
          <w:lang w:val="lt-LT"/>
        </w:rPr>
      </w:pPr>
      <w:r w:rsidRPr="00541FA7">
        <w:rPr>
          <w:rStyle w:val="FootnoteReference"/>
          <w:sz w:val="24"/>
          <w:lang w:val="lt-LT"/>
        </w:rPr>
        <w:footnoteRef/>
      </w:r>
      <w:r w:rsidR="00541FA7" w:rsidRPr="00541FA7">
        <w:rPr>
          <w:sz w:val="24"/>
          <w:lang w:val="lt-LT"/>
        </w:rPr>
        <w:t xml:space="preserve"> </w:t>
      </w:r>
      <w:r w:rsidR="00541FA7" w:rsidRPr="00541FA7">
        <w:rPr>
          <w:sz w:val="24"/>
          <w:lang w:val="lt-LT"/>
        </w:rPr>
        <w:tab/>
      </w:r>
      <w:r w:rsidRPr="00541FA7">
        <w:rPr>
          <w:sz w:val="24"/>
          <w:lang w:val="lt-LT"/>
        </w:rPr>
        <w:t xml:space="preserve">2020 m. gruodžio 17 d. Tarybos reglamentas (ES, Euratomas) 2020/2093, kuriuo nustatoma 2021–2027 m. daugiametė finansinė programa, (OL L 433 I, 2020 12 22, p. 11, ELI: </w:t>
      </w:r>
      <w:hyperlink r:id="rId8" w:tooltip="Prieiga prie šio dokumento suteikiama per ELI sistemoje jam suteiktą URI." w:history="1">
        <w:r w:rsidRPr="00541FA7">
          <w:rPr>
            <w:rStyle w:val="Hyperlink"/>
            <w:sz w:val="24"/>
            <w:lang w:val="lt-LT"/>
          </w:rPr>
          <w:t>http://data.europa.eu/eli/reg/2020/2093/oj</w:t>
        </w:r>
      </w:hyperlink>
      <w:r w:rsidRPr="00541FA7">
        <w:rPr>
          <w:sz w:val="24"/>
          <w:lang w:val="lt-LT"/>
        </w:rPr>
        <w:t>).</w:t>
      </w:r>
    </w:p>
  </w:footnote>
  <w:footnote w:id="9">
    <w:p w14:paraId="69F416AF" w14:textId="68D713AD" w:rsidR="00CB1401" w:rsidRPr="00541FA7" w:rsidRDefault="00CB1401" w:rsidP="00541FA7">
      <w:pPr>
        <w:pStyle w:val="FootnoteText"/>
        <w:ind w:left="567" w:hanging="567"/>
        <w:rPr>
          <w:sz w:val="24"/>
          <w:lang w:val="lt-LT"/>
        </w:rPr>
      </w:pPr>
      <w:r w:rsidRPr="00541FA7">
        <w:rPr>
          <w:rStyle w:val="FootnoteReference"/>
          <w:sz w:val="24"/>
          <w:lang w:val="lt-LT"/>
        </w:rPr>
        <w:footnoteRef/>
      </w:r>
      <w:r w:rsidR="00541FA7" w:rsidRPr="00541FA7">
        <w:rPr>
          <w:sz w:val="24"/>
          <w:lang w:val="lt-LT"/>
        </w:rPr>
        <w:t xml:space="preserve"> </w:t>
      </w:r>
      <w:r w:rsidR="00541FA7" w:rsidRPr="00541FA7">
        <w:rPr>
          <w:sz w:val="24"/>
          <w:lang w:val="lt-LT"/>
        </w:rPr>
        <w:tab/>
      </w:r>
      <w:r w:rsidRPr="00541FA7">
        <w:rPr>
          <w:sz w:val="24"/>
          <w:lang w:val="lt-LT"/>
        </w:rPr>
        <w:t>2024 m. vasario 29 d. Tarybos reglamentas (ES, Euratomas) 2024/765, kuriuo iš dalies keičiamas Reglamentas (ES, Euratomas) 2020/2093, kuriuo nustatoma 2021–2027 m. daugiametė finansinė programa, (OL L, 2024/765, 2024 2 29, ELI: </w:t>
      </w:r>
      <w:hyperlink r:id="rId9" w:history="1">
        <w:r w:rsidRPr="00541FA7">
          <w:rPr>
            <w:rStyle w:val="Hyperlink"/>
            <w:sz w:val="24"/>
            <w:lang w:val="lt-LT"/>
          </w:rPr>
          <w:t>http://data.europa.eu/eli/reg/2024/765/oj</w:t>
        </w:r>
      </w:hyperlink>
      <w:r w:rsidRPr="00541FA7">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BFD6" w14:textId="77777777" w:rsidR="00064002" w:rsidRPr="00541F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3CA5" w14:textId="77777777" w:rsidR="00064002" w:rsidRPr="00541F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E1DC" w14:textId="77777777" w:rsidR="00064002" w:rsidRPr="00541F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5247287">
    <w:abstractNumId w:val="9"/>
  </w:num>
  <w:num w:numId="2" w16cid:durableId="206914409">
    <w:abstractNumId w:val="9"/>
  </w:num>
  <w:num w:numId="3" w16cid:durableId="2078703522">
    <w:abstractNumId w:val="7"/>
  </w:num>
  <w:num w:numId="4" w16cid:durableId="1072240505">
    <w:abstractNumId w:val="7"/>
  </w:num>
  <w:num w:numId="5" w16cid:durableId="474446980">
    <w:abstractNumId w:val="6"/>
  </w:num>
  <w:num w:numId="6" w16cid:durableId="631179356">
    <w:abstractNumId w:val="6"/>
  </w:num>
  <w:num w:numId="7" w16cid:durableId="1849514848">
    <w:abstractNumId w:val="5"/>
  </w:num>
  <w:num w:numId="8" w16cid:durableId="553779746">
    <w:abstractNumId w:val="5"/>
  </w:num>
  <w:num w:numId="9" w16cid:durableId="1684668488">
    <w:abstractNumId w:val="4"/>
  </w:num>
  <w:num w:numId="10" w16cid:durableId="1316227839">
    <w:abstractNumId w:val="4"/>
  </w:num>
  <w:num w:numId="11" w16cid:durableId="107899204">
    <w:abstractNumId w:val="8"/>
  </w:num>
  <w:num w:numId="12" w16cid:durableId="1358383453">
    <w:abstractNumId w:val="8"/>
  </w:num>
  <w:num w:numId="13" w16cid:durableId="223370031">
    <w:abstractNumId w:val="3"/>
  </w:num>
  <w:num w:numId="14" w16cid:durableId="595216934">
    <w:abstractNumId w:val="3"/>
  </w:num>
  <w:num w:numId="15" w16cid:durableId="1606691164">
    <w:abstractNumId w:val="2"/>
  </w:num>
  <w:num w:numId="16" w16cid:durableId="1345865066">
    <w:abstractNumId w:val="2"/>
  </w:num>
  <w:num w:numId="17" w16cid:durableId="1805073290">
    <w:abstractNumId w:val="1"/>
  </w:num>
  <w:num w:numId="18" w16cid:durableId="986932449">
    <w:abstractNumId w:val="1"/>
  </w:num>
  <w:num w:numId="19" w16cid:durableId="1367635601">
    <w:abstractNumId w:val="0"/>
  </w:num>
  <w:num w:numId="20" w16cid:durableId="755059876">
    <w:abstractNumId w:val="0"/>
  </w:num>
  <w:num w:numId="21" w16cid:durableId="1964650723">
    <w:abstractNumId w:val="9"/>
  </w:num>
  <w:num w:numId="22" w16cid:durableId="946037084">
    <w:abstractNumId w:val="7"/>
  </w:num>
  <w:num w:numId="23" w16cid:durableId="64379644">
    <w:abstractNumId w:val="6"/>
  </w:num>
  <w:num w:numId="24" w16cid:durableId="1993555547">
    <w:abstractNumId w:val="5"/>
  </w:num>
  <w:num w:numId="25" w16cid:durableId="59132613">
    <w:abstractNumId w:val="4"/>
  </w:num>
  <w:num w:numId="26" w16cid:durableId="1140076281">
    <w:abstractNumId w:val="8"/>
  </w:num>
  <w:num w:numId="27" w16cid:durableId="1057125821">
    <w:abstractNumId w:val="3"/>
  </w:num>
  <w:num w:numId="28" w16cid:durableId="1381635267">
    <w:abstractNumId w:val="2"/>
  </w:num>
  <w:num w:numId="29" w16cid:durableId="1123423033">
    <w:abstractNumId w:val="1"/>
  </w:num>
  <w:num w:numId="30" w16cid:durableId="1793405561">
    <w:abstractNumId w:val="0"/>
  </w:num>
  <w:num w:numId="31" w16cid:durableId="623274283">
    <w:abstractNumId w:val="9"/>
  </w:num>
  <w:num w:numId="32" w16cid:durableId="1415586963">
    <w:abstractNumId w:val="7"/>
  </w:num>
  <w:num w:numId="33" w16cid:durableId="1480420275">
    <w:abstractNumId w:val="6"/>
  </w:num>
  <w:num w:numId="34" w16cid:durableId="1566719689">
    <w:abstractNumId w:val="5"/>
  </w:num>
  <w:num w:numId="35" w16cid:durableId="1190677291">
    <w:abstractNumId w:val="4"/>
  </w:num>
  <w:num w:numId="36" w16cid:durableId="1094859154">
    <w:abstractNumId w:val="8"/>
  </w:num>
  <w:num w:numId="37" w16cid:durableId="1878078495">
    <w:abstractNumId w:val="3"/>
  </w:num>
  <w:num w:numId="38" w16cid:durableId="1014381577">
    <w:abstractNumId w:val="2"/>
  </w:num>
  <w:num w:numId="39" w16cid:durableId="2121532668">
    <w:abstractNumId w:val="1"/>
  </w:num>
  <w:num w:numId="40" w16cid:durableId="1671448939">
    <w:abstractNumId w:val="0"/>
  </w:num>
  <w:num w:numId="41" w16cid:durableId="1513832837">
    <w:abstractNumId w:val="10"/>
  </w:num>
  <w:num w:numId="42" w16cid:durableId="351339233">
    <w:abstractNumId w:val="10"/>
  </w:num>
  <w:num w:numId="43" w16cid:durableId="987129235">
    <w:abstractNumId w:val="10"/>
  </w:num>
  <w:num w:numId="44" w16cid:durableId="12254096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LT"/>
    <w:docVar w:name="dvnumam" w:val="0"/>
    <w:docVar w:name="dvpe" w:val="789.086"/>
    <w:docVar w:name="dvrapporteur" w:val="Pranešėjas: "/>
    <w:docVar w:name="dvtitre" w:val="2026 m. ... ... d. Europos Parlamento rezoliucija dėl pasiūlymo dėl Europos Parlamento ir Tarybos sprendimo dėl Europos prisitaikymo prie globalizacijos padarinių fondo atleistiems darbuotojams lėšų mobilizavimo Komisijos iniciatyva (EGF/2026/000 TA 2026 – Techninė pagalba)(COM(2026)0360 – C10-0124/2026 – 2026/0126(BUD))"/>
  </w:docVars>
  <w:rsids>
    <w:rsidRoot w:val="00B41671"/>
    <w:rsid w:val="0000153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69A9"/>
    <w:rsid w:val="00361C00"/>
    <w:rsid w:val="00392908"/>
    <w:rsid w:val="00395FA1"/>
    <w:rsid w:val="003E15D4"/>
    <w:rsid w:val="003E5006"/>
    <w:rsid w:val="00411CCE"/>
    <w:rsid w:val="00414A29"/>
    <w:rsid w:val="0041666E"/>
    <w:rsid w:val="00421060"/>
    <w:rsid w:val="00471C19"/>
    <w:rsid w:val="004867E3"/>
    <w:rsid w:val="00494A28"/>
    <w:rsid w:val="004C0004"/>
    <w:rsid w:val="004C5D52"/>
    <w:rsid w:val="004D4A26"/>
    <w:rsid w:val="004E345C"/>
    <w:rsid w:val="0050519A"/>
    <w:rsid w:val="005072A1"/>
    <w:rsid w:val="00514517"/>
    <w:rsid w:val="00541FA7"/>
    <w:rsid w:val="00545827"/>
    <w:rsid w:val="00560270"/>
    <w:rsid w:val="005C2568"/>
    <w:rsid w:val="005F1B17"/>
    <w:rsid w:val="006037C0"/>
    <w:rsid w:val="006631B6"/>
    <w:rsid w:val="0067587D"/>
    <w:rsid w:val="00680577"/>
    <w:rsid w:val="006A54F6"/>
    <w:rsid w:val="006F74FA"/>
    <w:rsid w:val="00731ADD"/>
    <w:rsid w:val="00734777"/>
    <w:rsid w:val="00747932"/>
    <w:rsid w:val="00751A4A"/>
    <w:rsid w:val="00756632"/>
    <w:rsid w:val="00762C74"/>
    <w:rsid w:val="00786EC0"/>
    <w:rsid w:val="007D1690"/>
    <w:rsid w:val="007E22AD"/>
    <w:rsid w:val="008121D2"/>
    <w:rsid w:val="00817416"/>
    <w:rsid w:val="00842779"/>
    <w:rsid w:val="008558C9"/>
    <w:rsid w:val="00865F67"/>
    <w:rsid w:val="00881A7B"/>
    <w:rsid w:val="008840E5"/>
    <w:rsid w:val="00887B3E"/>
    <w:rsid w:val="008C2AC6"/>
    <w:rsid w:val="008D7CDA"/>
    <w:rsid w:val="009274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671"/>
    <w:rsid w:val="00B558F0"/>
    <w:rsid w:val="00BD48FE"/>
    <w:rsid w:val="00BD7BD8"/>
    <w:rsid w:val="00BE6ADC"/>
    <w:rsid w:val="00C05BFE"/>
    <w:rsid w:val="00C23CD4"/>
    <w:rsid w:val="00C61C0C"/>
    <w:rsid w:val="00C941CB"/>
    <w:rsid w:val="00CB1401"/>
    <w:rsid w:val="00CC2357"/>
    <w:rsid w:val="00CF071A"/>
    <w:rsid w:val="00D058B8"/>
    <w:rsid w:val="00D56C11"/>
    <w:rsid w:val="00D834A0"/>
    <w:rsid w:val="00D872DF"/>
    <w:rsid w:val="00D91E21"/>
    <w:rsid w:val="00DA7FCD"/>
    <w:rsid w:val="00E365E1"/>
    <w:rsid w:val="00E7404D"/>
    <w:rsid w:val="00E820A4"/>
    <w:rsid w:val="00EB006A"/>
    <w:rsid w:val="00EB4772"/>
    <w:rsid w:val="00ED169E"/>
    <w:rsid w:val="00ED4235"/>
    <w:rsid w:val="00F04346"/>
    <w:rsid w:val="00F075DC"/>
    <w:rsid w:val="00F149E9"/>
    <w:rsid w:val="00F5134D"/>
    <w:rsid w:val="00F74202"/>
    <w:rsid w:val="00F87713"/>
    <w:rsid w:val="00F9034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59938"/>
  <w15:chartTrackingRefBased/>
  <w15:docId w15:val="{E2AB7A35-FEE9-40FA-9503-36375258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140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B1401"/>
    <w:pPr>
      <w:keepNext/>
      <w:spacing w:after="480"/>
      <w:jc w:val="center"/>
    </w:pPr>
    <w:rPr>
      <w:rFonts w:ascii="Arial" w:hAnsi="Arial" w:cs="Arial"/>
      <w:b/>
    </w:rPr>
  </w:style>
  <w:style w:type="paragraph" w:customStyle="1" w:styleId="NormalHanging12a">
    <w:name w:val="NormalHanging12a"/>
    <w:basedOn w:val="Normal"/>
    <w:link w:val="NormalHanging12aChar"/>
    <w:rsid w:val="00CB1401"/>
    <w:pPr>
      <w:spacing w:after="240"/>
      <w:ind w:left="567" w:hanging="567"/>
    </w:pPr>
  </w:style>
  <w:style w:type="paragraph" w:styleId="Header">
    <w:name w:val="header"/>
    <w:basedOn w:val="Normal"/>
    <w:link w:val="HeaderChar"/>
    <w:rsid w:val="00CB1401"/>
    <w:pPr>
      <w:tabs>
        <w:tab w:val="center" w:pos="4513"/>
        <w:tab w:val="right" w:pos="9026"/>
      </w:tabs>
    </w:pPr>
  </w:style>
  <w:style w:type="character" w:customStyle="1" w:styleId="HeaderChar">
    <w:name w:val="Header Char"/>
    <w:basedOn w:val="DefaultParagraphFont"/>
    <w:link w:val="Header"/>
    <w:rsid w:val="00CB1401"/>
    <w:rPr>
      <w:sz w:val="24"/>
      <w:lang w:val="lt-LT"/>
    </w:rPr>
  </w:style>
  <w:style w:type="paragraph" w:customStyle="1" w:styleId="NormalBold24a">
    <w:name w:val="NormalBold24a"/>
    <w:basedOn w:val="Normal"/>
    <w:rsid w:val="00CB1401"/>
    <w:pPr>
      <w:spacing w:after="480"/>
    </w:pPr>
    <w:rPr>
      <w:b/>
      <w:bCs/>
    </w:rPr>
  </w:style>
  <w:style w:type="paragraph" w:customStyle="1" w:styleId="EPFooter">
    <w:name w:val="EPFooter"/>
    <w:basedOn w:val="Normal"/>
    <w:rsid w:val="00CB1401"/>
    <w:pPr>
      <w:tabs>
        <w:tab w:val="center" w:pos="4535"/>
        <w:tab w:val="right" w:pos="9071"/>
      </w:tabs>
      <w:spacing w:before="240" w:after="240"/>
    </w:pPr>
    <w:rPr>
      <w:color w:val="010000"/>
      <w:sz w:val="22"/>
    </w:rPr>
  </w:style>
  <w:style w:type="paragraph" w:customStyle="1" w:styleId="EPComma">
    <w:name w:val="EPComma"/>
    <w:basedOn w:val="Normal"/>
    <w:rsid w:val="00CB1401"/>
    <w:pPr>
      <w:spacing w:before="480" w:after="240"/>
    </w:pPr>
  </w:style>
  <w:style w:type="character" w:styleId="Hyperlink">
    <w:name w:val="Hyperlink"/>
    <w:basedOn w:val="DefaultParagraphFont"/>
    <w:uiPriority w:val="99"/>
    <w:rsid w:val="00CB1401"/>
    <w:rPr>
      <w:color w:val="0563C1" w:themeColor="hyperlink"/>
      <w:u w:val="single"/>
    </w:rPr>
  </w:style>
  <w:style w:type="character" w:customStyle="1" w:styleId="NormalHanging12aChar">
    <w:name w:val="NormalHanging12a Char"/>
    <w:basedOn w:val="DefaultParagraphFont"/>
    <w:link w:val="NormalHanging12a"/>
    <w:locked/>
    <w:rsid w:val="00CB1401"/>
    <w:rPr>
      <w:sz w:val="24"/>
      <w:lang w:val="lt-LT"/>
    </w:rPr>
  </w:style>
  <w:style w:type="paragraph" w:styleId="Revision">
    <w:name w:val="Revision"/>
    <w:hidden/>
    <w:uiPriority w:val="99"/>
    <w:semiHidden/>
    <w:rsid w:val="00F9034C"/>
    <w:rPr>
      <w:sz w:val="24"/>
      <w:lang w:val="lt-LT"/>
    </w:rPr>
  </w:style>
  <w:style w:type="character" w:styleId="FollowedHyperlink">
    <w:name w:val="FollowedHyperlink"/>
    <w:basedOn w:val="DefaultParagraphFont"/>
    <w:rsid w:val="008121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9492</Characters>
  <Application>Microsoft Office Word</Application>
  <DocSecurity>0</DocSecurity>
  <Lines>79</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Europos prisitaikymo prie globalizacijos padarinių fondo lėšų mobilizavimas Komi</vt:lpstr>
      <vt:lpstr>        2026 m. ... ... d. Europos Parlamento rezoliucija dėl pasiūlymo dėl Europos Parl</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2026-07-07T11:35:00Z</dcterms:created>
  <dcterms:modified xsi:type="dcterms:W3CDTF">2026-07-07T11:35:00Z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A10-0179/2026</vt:lpwstr>
  </property>
  <property fmtid="{D5CDD505-2E9C-101B-9397-08002B2CF9AE}" pid="4" name="&lt;Type&gt;">
    <vt:lpwstr>RR</vt:lpwstr>
  </property>
</Properties>
</file>