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4E63" w14:paraId="013E8CFC" w14:textId="77777777" w:rsidTr="0010095E">
        <w:trPr>
          <w:trHeight w:hRule="exact" w:val="1418"/>
        </w:trPr>
        <w:tc>
          <w:tcPr>
            <w:tcW w:w="6804" w:type="dxa"/>
            <w:shd w:val="clear" w:color="auto" w:fill="auto"/>
            <w:vAlign w:val="center"/>
          </w:tcPr>
          <w:p w14:paraId="35BB01EF" w14:textId="77777777" w:rsidR="00751A4A" w:rsidRPr="00534E63" w:rsidRDefault="00A719C8" w:rsidP="0010095E">
            <w:pPr>
              <w:pStyle w:val="EPName"/>
            </w:pPr>
            <w:r w:rsidRPr="00534E63">
              <w:t>Eiropas Parlaments</w:t>
            </w:r>
          </w:p>
          <w:p w14:paraId="6245FD19" w14:textId="77777777" w:rsidR="00751A4A" w:rsidRPr="00534E63" w:rsidRDefault="005F1B17" w:rsidP="005F1B17">
            <w:pPr>
              <w:pStyle w:val="EPTerm"/>
              <w:rPr>
                <w:rStyle w:val="HideTWBExt"/>
                <w:noProof w:val="0"/>
                <w:vanish w:val="0"/>
                <w:color w:val="auto"/>
              </w:rPr>
            </w:pPr>
            <w:r w:rsidRPr="00534E63">
              <w:t>2024</w:t>
            </w:r>
            <w:r w:rsidR="00817416" w:rsidRPr="00534E63">
              <w:t>-202</w:t>
            </w:r>
            <w:r w:rsidRPr="00534E63">
              <w:t>9</w:t>
            </w:r>
          </w:p>
        </w:tc>
        <w:tc>
          <w:tcPr>
            <w:tcW w:w="2268" w:type="dxa"/>
            <w:shd w:val="clear" w:color="auto" w:fill="auto"/>
          </w:tcPr>
          <w:p w14:paraId="320B9421" w14:textId="77777777" w:rsidR="00751A4A" w:rsidRPr="00534E63" w:rsidRDefault="00187494" w:rsidP="0010095E">
            <w:pPr>
              <w:pStyle w:val="EPLogo"/>
            </w:pPr>
            <w:r w:rsidRPr="00534E63">
              <w:rPr>
                <w:noProof/>
                <w:lang w:eastAsia="ja-JP"/>
              </w:rPr>
              <w:drawing>
                <wp:inline distT="0" distB="0" distL="0" distR="0" wp14:anchorId="0FBB6126" wp14:editId="228AA3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B34E9A" w14:textId="77777777" w:rsidR="00D058B8" w:rsidRPr="00534E63" w:rsidRDefault="00D058B8" w:rsidP="004C5D52">
      <w:pPr>
        <w:pStyle w:val="LineTop"/>
      </w:pPr>
    </w:p>
    <w:p w14:paraId="14DB467C" w14:textId="77777777" w:rsidR="00680577" w:rsidRPr="00534E63" w:rsidRDefault="00A719C8" w:rsidP="00680577">
      <w:pPr>
        <w:pStyle w:val="EPBodyTA1"/>
      </w:pPr>
      <w:r w:rsidRPr="00534E63">
        <w:t>PIEŅEMTIE TEKSTI</w:t>
      </w:r>
    </w:p>
    <w:p w14:paraId="3B2BCE80" w14:textId="77777777" w:rsidR="00D058B8" w:rsidRPr="00534E63" w:rsidRDefault="00D058B8" w:rsidP="00D058B8">
      <w:pPr>
        <w:pStyle w:val="LineBottom"/>
      </w:pPr>
    </w:p>
    <w:p w14:paraId="1A9DDAF8" w14:textId="7FAD5907" w:rsidR="00A719C8" w:rsidRPr="00534E63" w:rsidRDefault="00A719C8" w:rsidP="00A719C8">
      <w:pPr>
        <w:pStyle w:val="ATHeading1"/>
      </w:pPr>
      <w:bookmarkStart w:id="0" w:name="TANumber"/>
      <w:r w:rsidRPr="00534E63">
        <w:t>P10_TA(2026)0</w:t>
      </w:r>
      <w:bookmarkEnd w:id="0"/>
      <w:r w:rsidR="00534E63" w:rsidRPr="00534E63">
        <w:t>243</w:t>
      </w:r>
    </w:p>
    <w:p w14:paraId="34E62719" w14:textId="3DB3A9E9" w:rsidR="00A719C8" w:rsidRPr="00534E63" w:rsidRDefault="00CC1221" w:rsidP="00CC1221">
      <w:pPr>
        <w:pStyle w:val="ATHeading2"/>
      </w:pPr>
      <w:r w:rsidRPr="00534E63">
        <w:t>Eiropas Globalizācijas pielāgošanās fonda darbu zaudējušiem darba ņēmējiem izmantošana – pieteikums EGF/2026/000 TA 2026- Tehniskā palīdzība pēc Komisijas iniciatīvas</w:t>
      </w:r>
    </w:p>
    <w:p w14:paraId="7C76BD19" w14:textId="77777777" w:rsidR="00A719C8" w:rsidRPr="00534E63" w:rsidRDefault="00A719C8" w:rsidP="00A719C8">
      <w:pPr>
        <w:rPr>
          <w:i/>
          <w:vanish/>
        </w:rPr>
      </w:pPr>
      <w:r w:rsidRPr="00534E63">
        <w:rPr>
          <w:i/>
        </w:rPr>
        <w:fldChar w:fldCharType="begin"/>
      </w:r>
      <w:r w:rsidRPr="00534E63">
        <w:rPr>
          <w:i/>
        </w:rPr>
        <w:instrText xml:space="preserve"> TC"(</w:instrText>
      </w:r>
      <w:bookmarkStart w:id="1" w:name="DocNumber"/>
      <w:r w:rsidRPr="00534E63">
        <w:rPr>
          <w:i/>
        </w:rPr>
        <w:instrText>A10-0179/2026</w:instrText>
      </w:r>
      <w:bookmarkEnd w:id="1"/>
      <w:r w:rsidRPr="00534E63">
        <w:rPr>
          <w:i/>
        </w:rPr>
        <w:instrText xml:space="preserve"> - Referente: Lucia Yar)"\l3 \n&gt; \* MERGEFORMAT </w:instrText>
      </w:r>
      <w:r w:rsidRPr="00534E63">
        <w:rPr>
          <w:i/>
        </w:rPr>
        <w:fldChar w:fldCharType="end"/>
      </w:r>
    </w:p>
    <w:p w14:paraId="7241722C" w14:textId="77777777" w:rsidR="00A719C8" w:rsidRPr="00534E63" w:rsidRDefault="00A719C8" w:rsidP="00A719C8">
      <w:pPr>
        <w:rPr>
          <w:vanish/>
        </w:rPr>
      </w:pPr>
      <w:bookmarkStart w:id="2" w:name="Commission"/>
      <w:r w:rsidRPr="00534E63">
        <w:rPr>
          <w:vanish/>
        </w:rPr>
        <w:t>Budžeta komiteja</w:t>
      </w:r>
      <w:bookmarkEnd w:id="2"/>
    </w:p>
    <w:p w14:paraId="53C5F932" w14:textId="77777777" w:rsidR="00A719C8" w:rsidRPr="00534E63" w:rsidRDefault="00A719C8" w:rsidP="00A719C8">
      <w:pPr>
        <w:rPr>
          <w:vanish/>
        </w:rPr>
      </w:pPr>
      <w:bookmarkStart w:id="3" w:name="PE"/>
      <w:r w:rsidRPr="00534E63">
        <w:rPr>
          <w:vanish/>
        </w:rPr>
        <w:t>PE789.086</w:t>
      </w:r>
      <w:bookmarkEnd w:id="3"/>
    </w:p>
    <w:p w14:paraId="6CF5CCB3" w14:textId="72DA7651" w:rsidR="00A719C8" w:rsidRPr="00534E63" w:rsidRDefault="00A719C8" w:rsidP="00A719C8">
      <w:pPr>
        <w:pStyle w:val="ATHeading3"/>
      </w:pPr>
      <w:bookmarkStart w:id="4" w:name="Sujet"/>
      <w:r w:rsidRPr="00534E63">
        <w:t xml:space="preserve">Eiropas Parlamenta 2026. gada </w:t>
      </w:r>
      <w:r w:rsidR="00CC1221" w:rsidRPr="00534E63">
        <w:t>7</w:t>
      </w:r>
      <w:r w:rsidRPr="00534E63">
        <w:t xml:space="preserve">. </w:t>
      </w:r>
      <w:r w:rsidR="00CC1221" w:rsidRPr="00534E63">
        <w:t>jūlija</w:t>
      </w:r>
      <w:r w:rsidRPr="00534E63">
        <w:t xml:space="preserve"> rezolūcija par priekšlikumu Eiropas Parlamenta un Padomes lēmumam par Eiropas Globalizācijas pielāgošanās fonda darbu zaudējušiem darba ņēmējiem izmantošanu pēc Komisijas iniciatīvas (EGF/2026/000 TA 2026 - tehniskā palīdzība)</w:t>
      </w:r>
      <w:bookmarkEnd w:id="4"/>
      <w:r w:rsidRPr="00534E63">
        <w:t xml:space="preserve"> </w:t>
      </w:r>
      <w:bookmarkStart w:id="5" w:name="References"/>
      <w:r w:rsidRPr="00534E63">
        <w:t>(COM(2026)0360 – C10-0124/2026 – 2026/0126(BUD))</w:t>
      </w:r>
      <w:bookmarkEnd w:id="5"/>
    </w:p>
    <w:p w14:paraId="73874497" w14:textId="77777777" w:rsidR="00001353" w:rsidRPr="00534E63" w:rsidRDefault="00001353" w:rsidP="00001353">
      <w:pPr>
        <w:pStyle w:val="EPComma"/>
        <w:rPr>
          <w:noProof/>
        </w:rPr>
      </w:pPr>
      <w:r w:rsidRPr="00534E63">
        <w:rPr>
          <w:i/>
        </w:rPr>
        <w:t>Eiropas Parlaments</w:t>
      </w:r>
      <w:r w:rsidRPr="00534E63">
        <w:t>,</w:t>
      </w:r>
    </w:p>
    <w:p w14:paraId="275F3D62" w14:textId="77777777" w:rsidR="00001353" w:rsidRPr="00534E63" w:rsidRDefault="00001353" w:rsidP="00001353">
      <w:pPr>
        <w:pStyle w:val="NormalHanging12a"/>
        <w:rPr>
          <w:noProof/>
        </w:rPr>
      </w:pPr>
      <w:r w:rsidRPr="00534E63">
        <w:t>–</w:t>
      </w:r>
      <w:r w:rsidRPr="00534E63">
        <w:tab/>
        <w:t>ņemot vērā Komisijas priekšlikumu Eiropas Parlamentam un Padomei (COM(2026)0360 – C10</w:t>
      </w:r>
      <w:r w:rsidRPr="00534E63">
        <w:noBreakHyphen/>
        <w:t>0124/2026),</w:t>
      </w:r>
    </w:p>
    <w:p w14:paraId="0BC29B11" w14:textId="77777777" w:rsidR="00001353" w:rsidRPr="00534E63" w:rsidRDefault="00001353" w:rsidP="00001353">
      <w:pPr>
        <w:pStyle w:val="NormalHanging12a"/>
        <w:rPr>
          <w:noProof/>
        </w:rPr>
      </w:pPr>
      <w:bookmarkStart w:id="6" w:name="_Hlk230701067"/>
      <w:r w:rsidRPr="00534E63">
        <w:t>–</w:t>
      </w:r>
      <w:r w:rsidRPr="00534E63">
        <w:tab/>
        <w:t>ņemot vērā Eiropas Parlamenta un Padomes 2021. gada 28. aprīļa Regulu (ES) 2021/691 par Eiropas Globalizācijas pielāgošanās fondu darbu zaudējušiem darba ņēmējiem (EGF) un ar ko atceļ Regulu (ES) Nr. 1309/2013</w:t>
      </w:r>
      <w:r w:rsidRPr="00534E63">
        <w:rPr>
          <w:rStyle w:val="FootnoteReference"/>
        </w:rPr>
        <w:footnoteReference w:id="1"/>
      </w:r>
      <w:r w:rsidRPr="00534E63">
        <w:t xml:space="preserve"> (“EGF regula”), kurā grozījumi izdarīti ar Regulu (ES) 2026/1139</w:t>
      </w:r>
      <w:r w:rsidRPr="00534E63">
        <w:rPr>
          <w:rStyle w:val="FootnoteReference"/>
          <w:noProof/>
        </w:rPr>
        <w:footnoteReference w:id="2"/>
      </w:r>
      <w:r w:rsidRPr="00534E63">
        <w:t>,</w:t>
      </w:r>
    </w:p>
    <w:bookmarkEnd w:id="6"/>
    <w:p w14:paraId="43C39313" w14:textId="77777777" w:rsidR="00001353" w:rsidRPr="00534E63" w:rsidRDefault="00001353" w:rsidP="00001353">
      <w:pPr>
        <w:pStyle w:val="NormalHanging12a"/>
        <w:rPr>
          <w:noProof/>
        </w:rPr>
      </w:pPr>
      <w:r w:rsidRPr="00534E63">
        <w:t>–</w:t>
      </w:r>
      <w:r w:rsidRPr="00534E63">
        <w:tab/>
      </w:r>
      <w:r w:rsidRPr="00534E63">
        <w:rPr>
          <w:snapToGrid w:val="0"/>
        </w:rPr>
        <w:t xml:space="preserve">ņemot vērā Padomes 2020. gada 17. decembra Regulu (ES, </w:t>
      </w:r>
      <w:r w:rsidRPr="00534E63">
        <w:rPr>
          <w:i/>
          <w:iCs/>
          <w:snapToGrid w:val="0"/>
        </w:rPr>
        <w:t>Euratom</w:t>
      </w:r>
      <w:r w:rsidRPr="00534E63">
        <w:rPr>
          <w:snapToGrid w:val="0"/>
        </w:rPr>
        <w:t>) 2020/2093, ar ko nosaka daudzgadu finanšu shēmu 2021.–2027. gadam</w:t>
      </w:r>
      <w:r w:rsidRPr="00534E63">
        <w:rPr>
          <w:rStyle w:val="FootnoteReference"/>
          <w:snapToGrid w:val="0"/>
        </w:rPr>
        <w:footnoteReference w:id="3"/>
      </w:r>
      <w:r w:rsidRPr="00534E63">
        <w:rPr>
          <w:snapToGrid w:val="0"/>
        </w:rPr>
        <w:t xml:space="preserve">, kurā grozījumi izdarīti ar Regulu (ES, </w:t>
      </w:r>
      <w:r w:rsidRPr="00534E63">
        <w:rPr>
          <w:i/>
          <w:iCs/>
          <w:snapToGrid w:val="0"/>
        </w:rPr>
        <w:t>Euratom</w:t>
      </w:r>
      <w:r w:rsidRPr="00534E63">
        <w:rPr>
          <w:snapToGrid w:val="0"/>
        </w:rPr>
        <w:t>) 2024/765</w:t>
      </w:r>
      <w:r w:rsidRPr="00534E63">
        <w:rPr>
          <w:rStyle w:val="FootnoteReference"/>
          <w:snapToGrid w:val="0"/>
          <w:bdr w:val="none" w:sz="0" w:space="0" w:color="auto" w:frame="1"/>
        </w:rPr>
        <w:footnoteReference w:id="4"/>
      </w:r>
      <w:r w:rsidRPr="00534E63">
        <w:rPr>
          <w:snapToGrid w:val="0"/>
        </w:rPr>
        <w:t>, un jo īpaši tās 8. pantu</w:t>
      </w:r>
      <w:r w:rsidRPr="00534E63">
        <w:t>,</w:t>
      </w:r>
    </w:p>
    <w:p w14:paraId="40EE06B6" w14:textId="77777777" w:rsidR="00001353" w:rsidRPr="00534E63" w:rsidRDefault="00001353" w:rsidP="00001353">
      <w:pPr>
        <w:pStyle w:val="NormalHanging12a"/>
        <w:rPr>
          <w:noProof/>
        </w:rPr>
      </w:pPr>
      <w:r w:rsidRPr="00534E63">
        <w:t>–</w:t>
      </w:r>
      <w:r w:rsidRPr="00534E63">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534E63">
        <w:rPr>
          <w:rStyle w:val="FootnoteReference"/>
          <w:noProof/>
        </w:rPr>
        <w:footnoteReference w:id="5"/>
      </w:r>
      <w:r w:rsidRPr="00534E63">
        <w:t>, un jo īpaši tā 9. punktu,</w:t>
      </w:r>
    </w:p>
    <w:p w14:paraId="0684408C" w14:textId="77777777" w:rsidR="00001353" w:rsidRPr="00534E63" w:rsidRDefault="00001353" w:rsidP="00001353">
      <w:pPr>
        <w:pStyle w:val="NormalHanging12a"/>
      </w:pPr>
      <w:r w:rsidRPr="00534E63">
        <w:lastRenderedPageBreak/>
        <w:t>–</w:t>
      </w:r>
      <w:r w:rsidRPr="00534E63">
        <w:tab/>
        <w:t>ņemot vērā Budžeta komitejas ziņojumu (A10-0179/2026),</w:t>
      </w:r>
    </w:p>
    <w:p w14:paraId="1AACF8D4" w14:textId="77777777" w:rsidR="00001353" w:rsidRPr="00534E63" w:rsidRDefault="00001353" w:rsidP="00001353">
      <w:pPr>
        <w:pStyle w:val="NormalHanging12a"/>
        <w:rPr>
          <w:noProof/>
        </w:rPr>
      </w:pPr>
      <w:r w:rsidRPr="00534E63">
        <w:t>A.</w:t>
      </w:r>
      <w:r w:rsidRPr="00534E63">
        <w:tab/>
        <w:t xml:space="preserve">tā kā Savienība ir izveidojusi likumdošanas un budžeta instrumentus, lai sniegtu papildu atbalstu darba ņēmējiem, kurus nelabvēlīgi </w:t>
      </w:r>
      <w:proofErr w:type="spellStart"/>
      <w:r w:rsidRPr="00534E63">
        <w:t>skāruši</w:t>
      </w:r>
      <w:proofErr w:type="spellEnd"/>
      <w:r w:rsidRPr="00534E63">
        <w:t xml:space="preserve"> būtiski strukturāli notikumi un pārmaiņas pasaules tirdzniecības struktūrā vai kurus </w:t>
      </w:r>
      <w:proofErr w:type="spellStart"/>
      <w:r w:rsidRPr="00534E63">
        <w:t>skārusi</w:t>
      </w:r>
      <w:proofErr w:type="spellEnd"/>
      <w:r w:rsidRPr="00534E63">
        <w:t xml:space="preserve"> nenovēršama atlaišana uzņēmumā, kurā notiek pārstrukturēšana, un lai palīdzētu viņiem no jauna iekļauties darba tirgū vai īstenot profesionālo pāreju; tā kā šī palīdzība tiek nodrošināta, sniedzot finansiālu atbalstu darba ņēmējiem;</w:t>
      </w:r>
    </w:p>
    <w:p w14:paraId="78D298CE" w14:textId="77777777" w:rsidR="00001353" w:rsidRPr="00534E63" w:rsidRDefault="00001353" w:rsidP="00001353">
      <w:pPr>
        <w:pStyle w:val="NormalHanging12a"/>
      </w:pPr>
      <w:r w:rsidRPr="00534E63">
        <w:t>B.</w:t>
      </w:r>
      <w:r w:rsidRPr="00534E63">
        <w:tab/>
        <w:t>tā kā EGF finansiālajam ieguldījumam galvenokārt vajadzētu būt vērstam uz aktīviem darba tirgus politikas pasākumiem un individualizētiem pakalpojumiem, kuru mērķis ir panākt, lai atbalsta saņēmēji ātri atgrieztos darba tirgū, vai atbalstīt viņu pāreju no viena darba uz citu;</w:t>
      </w:r>
    </w:p>
    <w:p w14:paraId="423D1517" w14:textId="77777777" w:rsidR="00001353" w:rsidRPr="00534E63" w:rsidRDefault="00001353" w:rsidP="00001353">
      <w:pPr>
        <w:pStyle w:val="NormalHanging12a"/>
      </w:pPr>
      <w:r w:rsidRPr="00534E63">
        <w:t>C.</w:t>
      </w:r>
      <w:r w:rsidRPr="00534E63">
        <w:tab/>
        <w:t xml:space="preserve">tā kā EGF regulas 11. panta 1. punktā ir noteikts, ka pēc Komisijas iniciatīvas tehniskajai palīdzībai var izmantot līdz 1,5 % no EGF gada maksimālās summas; </w:t>
      </w:r>
    </w:p>
    <w:p w14:paraId="3C5EEFBE" w14:textId="77777777" w:rsidR="00001353" w:rsidRPr="00534E63" w:rsidRDefault="00001353" w:rsidP="00001353">
      <w:pPr>
        <w:pStyle w:val="NormalHanging12a"/>
        <w:rPr>
          <w:color w:val="000000"/>
          <w:bdr w:val="none" w:sz="0" w:space="0" w:color="auto" w:frame="1"/>
        </w:rPr>
      </w:pPr>
      <w:r w:rsidRPr="00534E63">
        <w:t>D.</w:t>
      </w:r>
      <w:r w:rsidRPr="00534E63">
        <w:tab/>
      </w:r>
      <w:r w:rsidRPr="00534E63">
        <w:rPr>
          <w:color w:val="000000"/>
          <w:bdr w:val="none" w:sz="0" w:space="0" w:color="auto" w:frame="1"/>
        </w:rPr>
        <w:t>tā kā tehniskā palīdzība var sastāvēt no tehniskiem un administratīviem izdevumiem, kas saistīti ar EGF īstenošanu, piemēram, sagatavošanas, uzraudzības, kontroles, revīzijas un novērtēšanas darbībām, kā arī datu vākšanas, komunikācijas darbībām un darbībām, kas uzlabo EGF kā fonda atpazīstamību vai tā atpazīstamību attiecībā uz konkrētiem projektiem un citiem tehniskās palīdzības pasākumiem; tā kā tehniskā palīdzība ietver informācijas un norādījumu sniegšanu dalībvalstīm un sociālajiem partneriem par EGF, kā arī mērķtiecīgu saziņu ar dalībvalstīm, kurās EGF atbalsts nav izmantots vai ticis tikai nedaudz izmantots;</w:t>
      </w:r>
      <w:r w:rsidRPr="00534E63">
        <w:t xml:space="preserve"> tā kā tehniskās palīdzības darbībām būtu jāpalīdz uzlabot EGF efektivitāti, pieejamību un </w:t>
      </w:r>
      <w:proofErr w:type="spellStart"/>
      <w:r w:rsidRPr="00534E63">
        <w:t>pamanāmību</w:t>
      </w:r>
      <w:proofErr w:type="spellEnd"/>
      <w:r w:rsidRPr="00534E63">
        <w:t>, īpašu uzmanību pievēršot izmērāmiem rezultātiem, administratīvajai vienkāršošanai un uz lietotājiem orientētai īstenošanai, kas nāktu par labu dalībvalstīm un atbalsta saņēmējiem; tā kā vairākas dalībvalstis joprojām nav izmantojušas EGF, neraugoties uz to, ka tās saskaras ar pārstrukturēšanas procesiem un strādājošo skaita samazināšanu, kas ir salīdzināma ar procesiem dalībvalstīs, kuras atbalstu saņēmušas; tā kā tādēļ ir vajadzīgi mērķtiecīgi izpratnes veicināšanas un informēšanas pasākumi, lai nodrošinātu vienlīdzīgu piekļuvi EGF piedāvātajām iespējām visā Savienībā;</w:t>
      </w:r>
    </w:p>
    <w:p w14:paraId="21202471" w14:textId="77777777" w:rsidR="00001353" w:rsidRPr="00534E63" w:rsidRDefault="00001353" w:rsidP="00001353">
      <w:pPr>
        <w:pStyle w:val="NormalHanging12a"/>
      </w:pPr>
      <w:r w:rsidRPr="00534E63">
        <w:t>E.</w:t>
      </w:r>
      <w:r w:rsidRPr="00534E63">
        <w:tab/>
        <w:t xml:space="preserve">tā kā ierosinātā summa — 210 000 EUR — atbilst aptuveni 0,60 % no maksimālā gada budžeta, kas EGF pieejams 2026. gadā;  tā kā EGF sniedz būtisku atbalstu darba ņēmējiem, kurus </w:t>
      </w:r>
      <w:proofErr w:type="spellStart"/>
      <w:r w:rsidRPr="00534E63">
        <w:t>skārusi</w:t>
      </w:r>
      <w:proofErr w:type="spellEnd"/>
      <w:r w:rsidRPr="00534E63">
        <w:t xml:space="preserve"> pārstrukturēšana un atlaišana; tā kā konkurētspējīga Eiropas ekonomika, mazāks administratīvais slogs un investīcijām un inovācijai labvēlīga uzņēmējdarbības vide joprojām ir būtiska, lai saglabātu kvalitatīvas darbvietas un samazinātu to darba ņēmēju skaitu, kuriem nepieciešams atbalsts no EGF,</w:t>
      </w:r>
    </w:p>
    <w:p w14:paraId="6922C369" w14:textId="77777777" w:rsidR="00001353" w:rsidRPr="00534E63" w:rsidRDefault="00001353" w:rsidP="00001353">
      <w:pPr>
        <w:pStyle w:val="NormalHanging12a"/>
      </w:pPr>
      <w:r w:rsidRPr="00534E63">
        <w:t>1.</w:t>
      </w:r>
      <w:r w:rsidRPr="00534E63">
        <w:tab/>
      </w:r>
      <w:r w:rsidRPr="00534E63">
        <w:rPr>
          <w:bdr w:val="none" w:sz="0" w:space="0" w:color="auto" w:frame="1"/>
        </w:rPr>
        <w:t>piekrīt 210 000 EUR izmantošanai un Komisijas ierosināto pasākumu finansēšanai tehniskās palīdzības veidā saskaņā ar EGF regulas 11. panta 1. un 4. punktu, kā arī 12. panta 2., 3. un 4. punktu;</w:t>
      </w:r>
      <w:r w:rsidRPr="00534E63">
        <w:t xml:space="preserve">  uzsver, ka tehniskās palīdzības izdevumiem arī turpmāk vajadzētu būt samērīgiem, efektīviem un vērstiem uz darbībām, kas acīmredzami uzlabo darbu zaudējušo darba ņēmēju piekļuvi atbalstam un EGF vispārējo efektivitāti;</w:t>
      </w:r>
    </w:p>
    <w:p w14:paraId="75AF9478" w14:textId="77777777" w:rsidR="00001353" w:rsidRPr="00534E63" w:rsidRDefault="00001353" w:rsidP="00001353">
      <w:pPr>
        <w:spacing w:after="240"/>
        <w:ind w:left="567" w:hanging="567"/>
      </w:pPr>
      <w:r w:rsidRPr="00534E63">
        <w:t>2.</w:t>
      </w:r>
      <w:r w:rsidRPr="00534E63">
        <w:tab/>
        <w:t xml:space="preserve">ņem vērā, ka Komisija izmantos administratīvajam atbalstam pieejamo budžetu, lai nolūkā veicināt tīklu veidošanu starp dalībvalstīm rīkotu EGF kontaktpersonu ekspertu grupas (divi locekļi no katras dalībvalsts) sanāksmes un vienu semināru ar EGF īstenošanas struktūru un sociālo partneru līdzdalību; prasa Komisijai arī turpmāk sistemātiski aicināt Parlamentu uz šādām sanāksmēm un semināriem saskaņā ar </w:t>
      </w:r>
      <w:r w:rsidRPr="00534E63">
        <w:lastRenderedPageBreak/>
        <w:t xml:space="preserve">attiecīgajiem noteikumiem </w:t>
      </w:r>
      <w:proofErr w:type="spellStart"/>
      <w:r w:rsidRPr="00534E63">
        <w:t>Pamatnolīgumā</w:t>
      </w:r>
      <w:proofErr w:type="spellEnd"/>
      <w:r w:rsidRPr="00534E63">
        <w:t xml:space="preserve"> par Parlamenta un Komisijas attiecībām;</w:t>
      </w:r>
    </w:p>
    <w:p w14:paraId="6BDFAD10" w14:textId="77777777" w:rsidR="00001353" w:rsidRPr="00534E63" w:rsidRDefault="00001353" w:rsidP="00001353">
      <w:pPr>
        <w:pStyle w:val="NormalHanging12a"/>
        <w:rPr>
          <w:bCs/>
          <w:iCs/>
        </w:rPr>
      </w:pPr>
      <w:r w:rsidRPr="00534E63">
        <w:t>3.</w:t>
      </w:r>
      <w:r w:rsidRPr="00534E63">
        <w:tab/>
        <w:t xml:space="preserve">uzsver, ka vēl vairāk jāstiprina vispārējā informētība par EGF un tā atpazīstamība; norāda, ka šo mērķi var sasniegt, iekļaujot informāciju par EGF dažādās Komisijas publikācijās un audiovizuālajos pasākumos, kā paredzēts EGF regulas 11. panta 1. punktā, un izplatot mērķtiecīgu informāciju valsts, reģionālajām un vietējām iestādēm, sociālajiem partneriem un plašākai sabiedrībai; </w:t>
      </w:r>
      <w:r w:rsidRPr="00534E63">
        <w:rPr>
          <w:bdr w:val="none" w:sz="0" w:space="0" w:color="auto" w:frame="1"/>
        </w:rPr>
        <w:t>šajā sakarībā atzinīgi vērtē EGF paredzētās tīmekļa vietnes uzturēšanu un aicina Komisiju to regulāri atjaunināt un papildināt;</w:t>
      </w:r>
      <w:r w:rsidRPr="00534E63">
        <w:t xml:space="preserve"> aicina Komisiju savos izpratnes veicināšanas un komunikācijas pasākumos nolūkā uzlabot zināšanas par EGF un atvieglot piekļuvi EGF atbalstam īpašu uzmanību pievērst dalībvalstīm, kuras vēl nav izmantojušas EGF vai ir to izmantojušas tikai nedaudz, tostarp tām, kuras saskaras ar būtiskiem pārstrukturēšanas procesiem un darbinieku atlaišanu;</w:t>
      </w:r>
    </w:p>
    <w:p w14:paraId="7EFF272F" w14:textId="77777777" w:rsidR="00001353" w:rsidRPr="00534E63" w:rsidRDefault="00001353" w:rsidP="00001353">
      <w:pPr>
        <w:pStyle w:val="NormalHanging12a"/>
        <w:rPr>
          <w:bCs/>
          <w:iCs/>
        </w:rPr>
      </w:pPr>
      <w:r w:rsidRPr="00534E63">
        <w:rPr>
          <w:bdr w:val="none" w:sz="0" w:space="0" w:color="auto" w:frame="1"/>
        </w:rPr>
        <w:t>4.</w:t>
      </w:r>
      <w:r w:rsidRPr="00534E63">
        <w:rPr>
          <w:bdr w:val="none" w:sz="0" w:space="0" w:color="auto" w:frame="1"/>
        </w:rPr>
        <w:tab/>
        <w:t>uzsver, ka ir vēl vairāk jāvienkāršo EGF pieteikšanās procedūra; šajā sakarībā atzinīgi vērtē elektroniskās datu apmaiņas sistēmas uzturēšanu un Komisijas veikto darbu saistībā ar EGF pieteikumu standartizētām procedūrām;</w:t>
      </w:r>
      <w:r w:rsidRPr="00534E63">
        <w:t xml:space="preserve">  aicina Komisiju turpināt samazināt administratīvo slogu un saīsināt laiku no pieteikuma iesniegšanas līdz atbalsta sniegšanai saņēmējiem, vienlaikus nodrošinot pilnīgu </w:t>
      </w:r>
      <w:proofErr w:type="spellStart"/>
      <w:r w:rsidRPr="00534E63">
        <w:t>pārredzamību</w:t>
      </w:r>
      <w:proofErr w:type="spellEnd"/>
      <w:r w:rsidRPr="00534E63">
        <w:t xml:space="preserve"> un budžeta kontroli attiecībā uz Eiropas Parlamentu kā vienu no budžeta lēmējinstitūcijām;</w:t>
      </w:r>
    </w:p>
    <w:p w14:paraId="1D8F3754" w14:textId="77777777" w:rsidR="00001353" w:rsidRPr="00534E63" w:rsidRDefault="00001353" w:rsidP="00001353">
      <w:pPr>
        <w:pStyle w:val="NormalHanging12a"/>
        <w:rPr>
          <w:bCs/>
          <w:iCs/>
        </w:rPr>
      </w:pPr>
      <w:r w:rsidRPr="00534E63">
        <w:t>5.</w:t>
      </w:r>
      <w:r w:rsidRPr="00534E63">
        <w:tab/>
        <w:t xml:space="preserve">uzsver, ka ir svarīgi nodrošināt, lai darba ņēmēji, kurus </w:t>
      </w:r>
      <w:proofErr w:type="spellStart"/>
      <w:r w:rsidRPr="00534E63">
        <w:t>skārusi</w:t>
      </w:r>
      <w:proofErr w:type="spellEnd"/>
      <w:r w:rsidRPr="00534E63">
        <w:t xml:space="preserve"> masveida atlaišana, uzņēmumu slēgšana un pārvietošana, varētu atrast darbu un jaunas iespējas; tādēļ uzsver, ka EGF arī turpmāk par prioritāti būtu jānosaka darbu zaudējušo darba ņēmēju apmācības un </w:t>
      </w:r>
      <w:proofErr w:type="spellStart"/>
      <w:r w:rsidRPr="00534E63">
        <w:t>pārkvalifikācijas</w:t>
      </w:r>
      <w:proofErr w:type="spellEnd"/>
      <w:r w:rsidRPr="00534E63">
        <w:t xml:space="preserve"> pasākumi, piedāvājot apmācības iespējas un kvalifikācijas, kas atvieglo viņu reintegrāciju darba tirgū; uzsver, ka EGF ietekmes novērtējumos galvenā uzmanība būtu jāpievērš atbalsta saņēmēju reintegrācijai darba tirgū un sniegtās apmācības efektivitātei, lai laika gaitā pastāvīgi uzlabotu un pielāgotu apmācības iespējas un atbalsta pasākumus;</w:t>
      </w:r>
    </w:p>
    <w:p w14:paraId="1A4A51BB" w14:textId="77777777" w:rsidR="00001353" w:rsidRPr="00534E63" w:rsidRDefault="00001353" w:rsidP="00001353">
      <w:pPr>
        <w:pStyle w:val="NormalHanging12a"/>
        <w:rPr>
          <w:noProof/>
        </w:rPr>
      </w:pPr>
      <w:r w:rsidRPr="00534E63">
        <w:t>6.</w:t>
      </w:r>
      <w:r w:rsidRPr="00534E63">
        <w:tab/>
        <w:t xml:space="preserve">atzinīgi vērtē pasākumus, kas palielina dalībvalstu, sociālo partneru un uzņēmumu informētību par EGF regulas izmaiņām, kuras ietver iespēju sniegt atbalstu arī darba ņēmējiem, kurus </w:t>
      </w:r>
      <w:proofErr w:type="spellStart"/>
      <w:r w:rsidRPr="00534E63">
        <w:t>skārusi</w:t>
      </w:r>
      <w:proofErr w:type="spellEnd"/>
      <w:r w:rsidRPr="00534E63">
        <w:t xml:space="preserve"> nenovēršama atlaišana uzņēmumā, kurā notiek pārstrukturēšana;</w:t>
      </w:r>
    </w:p>
    <w:p w14:paraId="302E3FF6" w14:textId="77777777" w:rsidR="00001353" w:rsidRPr="00534E63" w:rsidRDefault="00001353" w:rsidP="00001353">
      <w:pPr>
        <w:pStyle w:val="NormalHanging12a"/>
        <w:rPr>
          <w:bdr w:val="none" w:sz="0" w:space="0" w:color="auto" w:frame="1"/>
        </w:rPr>
      </w:pPr>
      <w:r w:rsidRPr="00534E63">
        <w:t>7.</w:t>
      </w:r>
      <w:r w:rsidRPr="00534E63">
        <w:tab/>
        <w:t>uzsver, ka tehniskās palīdzības ietvaros finansētie izdevumi būtu stingri jāuzrauga un regulāri jāizvērtē, lai nodrošinātu pareizu finanšu pārvaldību, izmaksu lietderību un reālu pievienoto vērtību dalībvalstīm un saņēmējiem; aicina Komisiju sniegt detalizētu informāciju par tehniskās palīdzības resursu izmantošanu un par konkrētiem rezultātiem, kas sasniegti ar finansētajām darbībām;</w:t>
      </w:r>
    </w:p>
    <w:p w14:paraId="558E4708" w14:textId="77777777" w:rsidR="00001353" w:rsidRPr="00534E63" w:rsidRDefault="00001353" w:rsidP="00001353">
      <w:pPr>
        <w:spacing w:after="240"/>
        <w:ind w:left="567" w:hanging="567"/>
      </w:pPr>
      <w:r w:rsidRPr="00534E63">
        <w:t>8.</w:t>
      </w:r>
      <w:r w:rsidRPr="00534E63">
        <w:tab/>
        <w:t>apstiprina šai rezolūcijai pievienoto lēmumu;</w:t>
      </w:r>
    </w:p>
    <w:p w14:paraId="4E47D8F2" w14:textId="77777777" w:rsidR="00001353" w:rsidRPr="00534E63" w:rsidRDefault="00001353" w:rsidP="00001353">
      <w:pPr>
        <w:spacing w:after="240"/>
        <w:ind w:left="567" w:hanging="567"/>
        <w:rPr>
          <w:bdr w:val="none" w:sz="0" w:space="0" w:color="auto" w:frame="1"/>
        </w:rPr>
      </w:pPr>
      <w:r w:rsidRPr="00534E63">
        <w:t>9.</w:t>
      </w:r>
      <w:r w:rsidRPr="00534E63">
        <w:tab/>
      </w:r>
      <w:r w:rsidRPr="00534E63">
        <w:rPr>
          <w:bdr w:val="none" w:sz="0" w:space="0" w:color="auto" w:frame="1"/>
        </w:rPr>
        <w:t xml:space="preserve">uzdod priekšsēdētājai parakstīt šo lēmumu kopā ar Padomes priekšsēdētāju un nodrošināt tā publicēšanu </w:t>
      </w:r>
      <w:r w:rsidRPr="00534E63">
        <w:rPr>
          <w:i/>
          <w:bdr w:val="none" w:sz="0" w:space="0" w:color="auto" w:frame="1"/>
        </w:rPr>
        <w:t>Eiropas Savienības Oficiālajā Vēstnesī</w:t>
      </w:r>
      <w:r w:rsidRPr="00534E63">
        <w:rPr>
          <w:bdr w:val="none" w:sz="0" w:space="0" w:color="auto" w:frame="1"/>
        </w:rPr>
        <w:t>;</w:t>
      </w:r>
    </w:p>
    <w:p w14:paraId="355A89FE" w14:textId="1819EC2F" w:rsidR="00001353" w:rsidRPr="00534E63" w:rsidRDefault="00001353" w:rsidP="00001353">
      <w:pPr>
        <w:pStyle w:val="NormalHanging12a"/>
      </w:pPr>
      <w:r w:rsidRPr="00534E63">
        <w:t>10.</w:t>
      </w:r>
      <w:r w:rsidRPr="00534E63">
        <w:tab/>
      </w:r>
      <w:r w:rsidRPr="00534E63">
        <w:rPr>
          <w:bdr w:val="none" w:sz="0" w:space="0" w:color="auto" w:frame="1"/>
        </w:rPr>
        <w:t xml:space="preserve">uzdod priekšsēdētājai šo rezolūciju, </w:t>
      </w:r>
      <w:r w:rsidR="008D5F2A" w:rsidRPr="00534E63">
        <w:rPr>
          <w:bdr w:val="none" w:sz="0" w:space="0" w:color="auto" w:frame="1"/>
        </w:rPr>
        <w:t>tostarp</w:t>
      </w:r>
      <w:r w:rsidRPr="00534E63">
        <w:rPr>
          <w:bdr w:val="none" w:sz="0" w:space="0" w:color="auto" w:frame="1"/>
        </w:rPr>
        <w:t xml:space="preserve"> tās pielikumu</w:t>
      </w:r>
      <w:r w:rsidR="008D5F2A" w:rsidRPr="00534E63">
        <w:rPr>
          <w:bdr w:val="none" w:sz="0" w:space="0" w:color="auto" w:frame="1"/>
        </w:rPr>
        <w:t>,</w:t>
      </w:r>
      <w:r w:rsidRPr="00534E63">
        <w:rPr>
          <w:bdr w:val="none" w:sz="0" w:space="0" w:color="auto" w:frame="1"/>
        </w:rPr>
        <w:t xml:space="preserve"> nosūtīt Padomei un Komisijai.</w:t>
      </w:r>
    </w:p>
    <w:p w14:paraId="6D6C9316" w14:textId="77777777" w:rsidR="00001353" w:rsidRPr="00534E63" w:rsidRDefault="00001353" w:rsidP="00001353">
      <w:pPr>
        <w:rPr>
          <w:noProof/>
        </w:rPr>
      </w:pPr>
    </w:p>
    <w:p w14:paraId="7953AD92" w14:textId="77777777" w:rsidR="00001353" w:rsidRPr="00534E63" w:rsidRDefault="00001353" w:rsidP="00001353">
      <w:pPr>
        <w:pStyle w:val="PageHeading"/>
        <w:rPr>
          <w:noProof/>
        </w:rPr>
        <w:sectPr w:rsidR="00001353" w:rsidRPr="00534E63" w:rsidSect="000F6E1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A36C08A" w14:textId="77777777" w:rsidR="00001353" w:rsidRPr="00534E63" w:rsidRDefault="00001353" w:rsidP="00001353">
      <w:pPr>
        <w:pStyle w:val="PageHeading"/>
        <w:rPr>
          <w:noProof/>
        </w:rPr>
      </w:pPr>
      <w:bookmarkStart w:id="7" w:name="_Toc233795415"/>
      <w:r w:rsidRPr="00534E63">
        <w:lastRenderedPageBreak/>
        <w:t>PIELIKUMS. EIROPAS PARLAMENTA UN PADOMES LĒMUMS</w:t>
      </w:r>
      <w:bookmarkEnd w:id="7"/>
    </w:p>
    <w:p w14:paraId="41852368" w14:textId="77777777" w:rsidR="00001353" w:rsidRPr="00534E63" w:rsidRDefault="00001353" w:rsidP="00001353">
      <w:pPr>
        <w:pStyle w:val="NormalBold24a"/>
      </w:pPr>
      <w:r w:rsidRPr="00534E63">
        <w:t>par Eiropas Globalizācijas pielāgošanās fonda darbu zaudējušiem darba ņēmējiem izmantošanu pēc Komisijas iniciatīvas (EGF/2026/000 TA 2026 – tehniskā palīdzība)</w:t>
      </w:r>
    </w:p>
    <w:p w14:paraId="2BAC2C3E" w14:textId="77777777" w:rsidR="00001353" w:rsidRPr="00534E63" w:rsidRDefault="00001353" w:rsidP="00001353">
      <w:pPr>
        <w:pStyle w:val="NormalHanging12a"/>
      </w:pPr>
      <w:r w:rsidRPr="00534E63">
        <w:t>EIROPAS PARLAMENTS UN EIROPAS SAVIENĪBAS PADOME,</w:t>
      </w:r>
    </w:p>
    <w:p w14:paraId="072A09BD" w14:textId="77777777" w:rsidR="00001353" w:rsidRPr="00534E63" w:rsidRDefault="00001353" w:rsidP="00001353">
      <w:pPr>
        <w:tabs>
          <w:tab w:val="left" w:pos="567"/>
          <w:tab w:val="left" w:pos="1134"/>
        </w:tabs>
        <w:spacing w:after="240"/>
      </w:pPr>
      <w:r w:rsidRPr="00534E63">
        <w:t>ņemot vērā Līgumu par Eiropas Savienības darbību,</w:t>
      </w:r>
    </w:p>
    <w:p w14:paraId="72C44883" w14:textId="77777777" w:rsidR="00001353" w:rsidRPr="00534E63" w:rsidRDefault="00001353" w:rsidP="00001353">
      <w:pPr>
        <w:tabs>
          <w:tab w:val="left" w:pos="567"/>
          <w:tab w:val="left" w:pos="1134"/>
        </w:tabs>
        <w:spacing w:after="240"/>
      </w:pPr>
      <w:r w:rsidRPr="00534E63">
        <w:t>ņemot vērā Eiropas Parlamenta un Padomes Regulu (ES) 2021/691 (2021. gada 28. aprīlis) par Eiropas Globalizācijas pielāgošanās fondu darbu zaudējušiem darba ņēmējiem (EGF) un ar ko atceļ Regulu (ES) Nr. 1309/2013</w:t>
      </w:r>
      <w:r w:rsidRPr="00534E63">
        <w:rPr>
          <w:b/>
          <w:bCs/>
          <w:vertAlign w:val="superscript"/>
        </w:rPr>
        <w:footnoteReference w:id="6"/>
      </w:r>
      <w:r w:rsidRPr="00534E63">
        <w:t>, un jo īpaši tās 15. panta 1. punkta pirmo daļu,</w:t>
      </w:r>
    </w:p>
    <w:p w14:paraId="6F1EB3E9" w14:textId="77777777" w:rsidR="00001353" w:rsidRPr="00534E63" w:rsidRDefault="00001353" w:rsidP="00001353">
      <w:pPr>
        <w:tabs>
          <w:tab w:val="left" w:pos="567"/>
          <w:tab w:val="left" w:pos="1134"/>
        </w:tabs>
        <w:spacing w:after="240"/>
      </w:pPr>
      <w:r w:rsidRPr="00534E63">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534E63">
        <w:rPr>
          <w:b/>
          <w:bCs/>
          <w:vertAlign w:val="superscript"/>
        </w:rPr>
        <w:footnoteReference w:id="7"/>
      </w:r>
      <w:r w:rsidRPr="00534E63">
        <w:t>, un jo īpaši tā 9. punktu,</w:t>
      </w:r>
    </w:p>
    <w:p w14:paraId="07E8E843" w14:textId="77777777" w:rsidR="00001353" w:rsidRPr="00534E63" w:rsidRDefault="00001353" w:rsidP="00001353">
      <w:pPr>
        <w:pStyle w:val="NormalHanging12a"/>
      </w:pPr>
      <w:r w:rsidRPr="00534E63">
        <w:t>ņemot vērā Eiropas Komisijas priekšlikumu,</w:t>
      </w:r>
    </w:p>
    <w:p w14:paraId="0D22F423" w14:textId="77777777" w:rsidR="00001353" w:rsidRPr="00534E63" w:rsidRDefault="00001353" w:rsidP="00001353">
      <w:pPr>
        <w:tabs>
          <w:tab w:val="left" w:pos="567"/>
          <w:tab w:val="left" w:pos="1134"/>
        </w:tabs>
        <w:spacing w:after="240"/>
        <w:ind w:left="567" w:hanging="567"/>
        <w:rPr>
          <w:noProof/>
        </w:rPr>
      </w:pPr>
      <w:r w:rsidRPr="00534E63">
        <w:t>tā kā:</w:t>
      </w:r>
    </w:p>
    <w:p w14:paraId="10FC931F" w14:textId="2E655B5A" w:rsidR="00001353" w:rsidRPr="00534E63" w:rsidRDefault="00001353" w:rsidP="00001353">
      <w:pPr>
        <w:pStyle w:val="ManualConsidrant"/>
        <w:tabs>
          <w:tab w:val="left" w:pos="567"/>
          <w:tab w:val="left" w:pos="1134"/>
        </w:tabs>
        <w:spacing w:before="0" w:after="240" w:line="240" w:lineRule="auto"/>
        <w:ind w:left="567" w:hanging="567"/>
        <w:rPr>
          <w:noProof/>
        </w:rPr>
      </w:pPr>
      <w:r w:rsidRPr="00534E63">
        <w:t>(1)</w:t>
      </w:r>
      <w:r w:rsidRPr="00534E63">
        <w:tab/>
      </w:r>
      <w:r w:rsidR="0013794A" w:rsidRPr="00534E63">
        <w:t xml:space="preserve">Eiropas Globalizācijas pielāgošanās fonda darbu zaudējušiem darba ņēmējiem (EGF) mērķis ir apliecināt solidaritāti un veicināt ilgtspējīgu pienācīgas kvalitātes nodarbinātību Savienībā, sniedzot atbalstu atlaistajiem darba ņēmējiem un </w:t>
      </w:r>
      <w:proofErr w:type="spellStart"/>
      <w:r w:rsidR="0013794A" w:rsidRPr="00534E63">
        <w:t>pašnodarbinātām</w:t>
      </w:r>
      <w:proofErr w:type="spellEnd"/>
      <w:r w:rsidR="0013794A" w:rsidRPr="00534E63">
        <w:t xml:space="preserve"> personām, kuru darbība ir beigusies nozīmīgas pārstrukturizācijas rezultātā, un palīdzot viņiem pēc iespējas ātrāk atgriezties ilgtspējīgā pienācīgas kvalitātes nodarbinātībā</w:t>
      </w:r>
      <w:r w:rsidRPr="00534E63">
        <w:t>.</w:t>
      </w:r>
    </w:p>
    <w:p w14:paraId="44A4CCC6" w14:textId="77777777" w:rsidR="00001353" w:rsidRPr="00534E63" w:rsidRDefault="00001353" w:rsidP="00001353">
      <w:pPr>
        <w:pStyle w:val="ManualConsidrant"/>
        <w:spacing w:before="0" w:after="240" w:line="240" w:lineRule="auto"/>
        <w:ind w:left="567" w:hanging="567"/>
      </w:pPr>
      <w:r w:rsidRPr="00534E63">
        <w:t>(2)</w:t>
      </w:r>
      <w:r w:rsidRPr="00534E63">
        <w:tab/>
        <w:t xml:space="preserve">EGF nepārsniedz maksimālo gada apjomu 30 miljonus EUR (2018. gada cenās), kā noteikts 8. pantā Padomes Regulā (ES, </w:t>
      </w:r>
      <w:r w:rsidRPr="00534E63">
        <w:rPr>
          <w:i/>
        </w:rPr>
        <w:t>Euratom</w:t>
      </w:r>
      <w:r w:rsidRPr="00534E63">
        <w:t>) 2020/2093</w:t>
      </w:r>
      <w:r w:rsidRPr="00534E63">
        <w:rPr>
          <w:b/>
          <w:bCs/>
          <w:vertAlign w:val="superscript"/>
        </w:rPr>
        <w:footnoteReference w:id="8"/>
      </w:r>
      <w:r w:rsidRPr="00534E63">
        <w:t xml:space="preserve">, kurā grozījumi izdarīti ar Padomes Regulu (ES, </w:t>
      </w:r>
      <w:r w:rsidRPr="00534E63">
        <w:rPr>
          <w:i/>
        </w:rPr>
        <w:t>Euratom</w:t>
      </w:r>
      <w:r w:rsidRPr="00534E63">
        <w:t>) 2024/765</w:t>
      </w:r>
      <w:r w:rsidRPr="00534E63">
        <w:rPr>
          <w:b/>
          <w:bCs/>
          <w:vertAlign w:val="superscript"/>
        </w:rPr>
        <w:footnoteReference w:id="9"/>
      </w:r>
      <w:r w:rsidRPr="00534E63">
        <w:t>, un Regulas (ES) 2021/691 16. pantā.</w:t>
      </w:r>
    </w:p>
    <w:p w14:paraId="0150B0D5" w14:textId="77777777" w:rsidR="00001353" w:rsidRPr="00534E63" w:rsidRDefault="00001353" w:rsidP="00001353">
      <w:pPr>
        <w:pStyle w:val="ManualConsidrant"/>
        <w:spacing w:before="0" w:after="240" w:line="240" w:lineRule="auto"/>
        <w:ind w:left="567" w:hanging="567"/>
      </w:pPr>
      <w:r w:rsidRPr="00534E63">
        <w:t>(3)</w:t>
      </w:r>
      <w:r w:rsidRPr="00534E63">
        <w:tab/>
        <w:t>Regulā (ES) 2021/691 paredzēts, ka katru gadu ne vairāk kā 1,5 % no maksimālās, ikgadējās no EGF pieejamās summas pēc Komisijas iniciatīvas var izmantot tehniskajai palīdzībai.</w:t>
      </w:r>
    </w:p>
    <w:p w14:paraId="0F9C9A3F" w14:textId="016E49F7" w:rsidR="00001353" w:rsidRPr="00534E63" w:rsidRDefault="00001353" w:rsidP="00001353">
      <w:pPr>
        <w:pStyle w:val="ManualConsidrant"/>
        <w:spacing w:before="0" w:after="240" w:line="240" w:lineRule="auto"/>
        <w:ind w:left="567" w:hanging="567"/>
        <w:rPr>
          <w:noProof/>
        </w:rPr>
      </w:pPr>
      <w:r w:rsidRPr="00534E63">
        <w:t>(4)</w:t>
      </w:r>
      <w:r w:rsidRPr="00534E63">
        <w:tab/>
      </w:r>
      <w:r w:rsidR="0013794A" w:rsidRPr="00534E63">
        <w:t xml:space="preserve">Šī palīdzība ir nepieciešama, lai izpildītu pienākumus, kas saistīti ar EGF īstenošanu, kā noteikts Regulas (ES) 2021/691 11. pantā, jo īpaši attiecībā uz pārraudzības un datu </w:t>
      </w:r>
      <w:r w:rsidR="0013794A" w:rsidRPr="00534E63">
        <w:lastRenderedPageBreak/>
        <w:t>vākšanas, kā arī komunikācijas darbībām un tām darbībām, kas uzlabo EGF atpazīstamību</w:t>
      </w:r>
      <w:r w:rsidRPr="00534E63">
        <w:t>.</w:t>
      </w:r>
    </w:p>
    <w:p w14:paraId="05D62594" w14:textId="77777777" w:rsidR="00001353" w:rsidRPr="00534E63" w:rsidRDefault="00001353" w:rsidP="00534E63">
      <w:pPr>
        <w:pStyle w:val="NormalHanging12a"/>
      </w:pPr>
      <w:r w:rsidRPr="00534E63">
        <w:t>(5)</w:t>
      </w:r>
      <w:r w:rsidRPr="00534E63">
        <w:tab/>
        <w:t>Tādēļ EGF būtu jāizmanto, lai pēc Komisijas iniciatīvas nodrošinātu finansiālu ieguldījumu 210 000 EUR apmērā tehniskajai palīdzībai,</w:t>
      </w:r>
    </w:p>
    <w:p w14:paraId="036C50B6" w14:textId="77777777" w:rsidR="00001353" w:rsidRPr="00534E63" w:rsidRDefault="00001353" w:rsidP="00001353">
      <w:r w:rsidRPr="00534E63">
        <w:t>IR PIEŅĒMUŠI ŠO LĒMUMU:</w:t>
      </w:r>
    </w:p>
    <w:p w14:paraId="6D60F8D8" w14:textId="77777777" w:rsidR="00001353" w:rsidRPr="00534E63" w:rsidRDefault="00001353" w:rsidP="00001353"/>
    <w:p w14:paraId="3C376ACC" w14:textId="77777777" w:rsidR="00001353" w:rsidRPr="00534E63" w:rsidRDefault="00001353" w:rsidP="00001353">
      <w:pPr>
        <w:jc w:val="center"/>
        <w:rPr>
          <w:i/>
          <w:iCs/>
        </w:rPr>
      </w:pPr>
      <w:r w:rsidRPr="00534E63">
        <w:rPr>
          <w:i/>
        </w:rPr>
        <w:t>1. pants</w:t>
      </w:r>
    </w:p>
    <w:p w14:paraId="3508DAC5" w14:textId="77777777" w:rsidR="00001353" w:rsidRPr="00534E63" w:rsidRDefault="00001353" w:rsidP="00001353">
      <w:pPr>
        <w:jc w:val="center"/>
        <w:rPr>
          <w:i/>
          <w:iCs/>
        </w:rPr>
      </w:pPr>
    </w:p>
    <w:p w14:paraId="2FBD760F" w14:textId="7F183A08" w:rsidR="00001353" w:rsidRPr="00534E63" w:rsidRDefault="0013794A" w:rsidP="00001353">
      <w:r w:rsidRPr="00534E63">
        <w:t>Savienības 2026. finanšu gada vispārējā budžetā izmanto Eiropas Globalizācijas pielāgošanās fondu darbu zaudējušiem darba ņēmējiem, lai piešķirtu 210 000 EUR saistību un maksājumu apropriācijās</w:t>
      </w:r>
      <w:r w:rsidR="00001353" w:rsidRPr="00534E63">
        <w:t>.</w:t>
      </w:r>
    </w:p>
    <w:p w14:paraId="1266E3A9" w14:textId="77777777" w:rsidR="00001353" w:rsidRPr="00534E63" w:rsidRDefault="00001353" w:rsidP="00001353"/>
    <w:p w14:paraId="10388571" w14:textId="77777777" w:rsidR="00001353" w:rsidRPr="00534E63" w:rsidRDefault="00001353" w:rsidP="00001353">
      <w:pPr>
        <w:jc w:val="center"/>
        <w:rPr>
          <w:i/>
          <w:iCs/>
        </w:rPr>
      </w:pPr>
      <w:r w:rsidRPr="00534E63">
        <w:rPr>
          <w:i/>
        </w:rPr>
        <w:t>2. pants</w:t>
      </w:r>
    </w:p>
    <w:p w14:paraId="6363F89F" w14:textId="77777777" w:rsidR="00001353" w:rsidRPr="00534E63" w:rsidRDefault="00001353" w:rsidP="00001353"/>
    <w:p w14:paraId="0D45CAED" w14:textId="77777777" w:rsidR="00001353" w:rsidRPr="00534E63" w:rsidRDefault="00001353" w:rsidP="00001353">
      <w:r w:rsidRPr="00534E63">
        <w:t xml:space="preserve">Šis lēmums stājas spēkā dienā, kad to publicē </w:t>
      </w:r>
      <w:r w:rsidRPr="00534E63">
        <w:rPr>
          <w:i/>
        </w:rPr>
        <w:t>Eiropas Savienības Oficiālajā Vēstnesī</w:t>
      </w:r>
      <w:r w:rsidRPr="00534E63">
        <w:t>.</w:t>
      </w:r>
    </w:p>
    <w:p w14:paraId="49868D6F" w14:textId="77777777" w:rsidR="00001353" w:rsidRPr="00534E63" w:rsidRDefault="00001353" w:rsidP="00001353"/>
    <w:p w14:paraId="49ECC306" w14:textId="77777777" w:rsidR="00001353" w:rsidRPr="00534E63" w:rsidRDefault="00001353" w:rsidP="00001353"/>
    <w:p w14:paraId="1B02A602" w14:textId="5F7732AD" w:rsidR="00001353" w:rsidRPr="00534E63" w:rsidRDefault="0013794A" w:rsidP="00001353">
      <w:r w:rsidRPr="00534E63">
        <w:t>…</w:t>
      </w:r>
      <w:r w:rsidR="00001353" w:rsidRPr="00534E63">
        <w:t>,</w:t>
      </w:r>
    </w:p>
    <w:p w14:paraId="4FA7529F" w14:textId="77777777" w:rsidR="00001353" w:rsidRPr="00534E63" w:rsidRDefault="00001353" w:rsidP="00001353"/>
    <w:p w14:paraId="61198AEE" w14:textId="77777777" w:rsidR="00001353" w:rsidRPr="00534E63" w:rsidRDefault="00001353" w:rsidP="00001353">
      <w:pPr>
        <w:rPr>
          <w:i/>
          <w:iCs/>
        </w:rPr>
      </w:pPr>
      <w:r w:rsidRPr="00534E63">
        <w:rPr>
          <w:i/>
        </w:rPr>
        <w:t>Eiropas Parlamenta vārdā –</w:t>
      </w:r>
      <w:r w:rsidRPr="00534E63">
        <w:rPr>
          <w:i/>
        </w:rPr>
        <w:tab/>
      </w:r>
      <w:r w:rsidRPr="00534E63">
        <w:rPr>
          <w:i/>
        </w:rPr>
        <w:tab/>
      </w:r>
      <w:r w:rsidRPr="00534E63">
        <w:rPr>
          <w:i/>
        </w:rPr>
        <w:tab/>
        <w:t>Padomes vārdā –</w:t>
      </w:r>
    </w:p>
    <w:p w14:paraId="2BF3BF41" w14:textId="4D847B65" w:rsidR="000F6E14" w:rsidRPr="00534E63" w:rsidRDefault="00001353" w:rsidP="000F6E14">
      <w:r w:rsidRPr="00534E63">
        <w:rPr>
          <w:i/>
        </w:rPr>
        <w:t>priekšsēdētāja</w:t>
      </w:r>
      <w:r w:rsidRPr="00534E63">
        <w:rPr>
          <w:i/>
        </w:rPr>
        <w:tab/>
      </w:r>
      <w:r w:rsidRPr="00534E63">
        <w:rPr>
          <w:i/>
        </w:rPr>
        <w:tab/>
      </w:r>
      <w:r w:rsidRPr="00534E63">
        <w:rPr>
          <w:i/>
        </w:rPr>
        <w:tab/>
      </w:r>
      <w:r w:rsidRPr="00534E63">
        <w:rPr>
          <w:i/>
        </w:rPr>
        <w:tab/>
      </w:r>
      <w:r w:rsidRPr="00534E63">
        <w:rPr>
          <w:i/>
        </w:rPr>
        <w:tab/>
        <w:t>priekšsēdētājs</w:t>
      </w:r>
      <w:r w:rsidR="0013794A" w:rsidRPr="00534E63">
        <w:rPr>
          <w:i/>
        </w:rPr>
        <w:t xml:space="preserve"> / priekšsēdētāja</w:t>
      </w:r>
    </w:p>
    <w:p w14:paraId="75CA838C" w14:textId="5E81C316" w:rsidR="00E365E1" w:rsidRPr="00534E63" w:rsidRDefault="00E365E1" w:rsidP="00A719C8"/>
    <w:sectPr w:rsidR="00E365E1" w:rsidRPr="00534E63" w:rsidSect="000F6E1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023E8" w14:textId="77777777" w:rsidR="00A719C8" w:rsidRPr="000F6E14" w:rsidRDefault="00A719C8">
      <w:r w:rsidRPr="000F6E14">
        <w:separator/>
      </w:r>
    </w:p>
  </w:endnote>
  <w:endnote w:type="continuationSeparator" w:id="0">
    <w:p w14:paraId="615AD644" w14:textId="77777777" w:rsidR="00A719C8" w:rsidRPr="000F6E14" w:rsidRDefault="00A719C8">
      <w:r w:rsidRPr="000F6E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20C2" w14:textId="77777777" w:rsidR="00001353" w:rsidRPr="000F6E14" w:rsidRDefault="00001353" w:rsidP="00DF779A">
    <w:pPr>
      <w:pStyle w:val="EPFooter"/>
    </w:pPr>
    <w:r w:rsidRPr="000F6E14">
      <w:t>PE</w:t>
    </w:r>
    <w:r w:rsidRPr="000F6E14">
      <w:rPr>
        <w:rStyle w:val="HideTWBExt"/>
      </w:rPr>
      <w:t>&lt;NoPE&gt;</w:t>
    </w:r>
    <w:r w:rsidRPr="000F6E14">
      <w:t>789.086</w:t>
    </w:r>
    <w:r w:rsidRPr="000F6E14">
      <w:rPr>
        <w:rStyle w:val="HideTWBExt"/>
      </w:rPr>
      <w:t>&lt;/NoPE&gt;&lt;Version&gt;</w:t>
    </w:r>
    <w:r w:rsidRPr="000F6E14">
      <w:t>v02-00</w:t>
    </w:r>
    <w:r w:rsidRPr="000F6E14">
      <w:rPr>
        <w:rStyle w:val="HideTWBExt"/>
      </w:rPr>
      <w:t>&lt;/Version&gt;</w:t>
    </w:r>
    <w:r w:rsidRPr="000F6E14">
      <w:tab/>
    </w:r>
    <w:r w:rsidRPr="000F6E14">
      <w:fldChar w:fldCharType="begin"/>
    </w:r>
    <w:r w:rsidRPr="000F6E14">
      <w:instrText xml:space="preserve"> PAGE  \* MERGEFORMAT </w:instrText>
    </w:r>
    <w:r w:rsidRPr="000F6E14">
      <w:fldChar w:fldCharType="separate"/>
    </w:r>
    <w:r w:rsidRPr="000F6E14">
      <w:rPr>
        <w:noProof/>
      </w:rPr>
      <w:t>4</w:t>
    </w:r>
    <w:r w:rsidRPr="000F6E14">
      <w:fldChar w:fldCharType="end"/>
    </w:r>
    <w:r w:rsidRPr="000F6E14">
      <w:t>/</w:t>
    </w:r>
    <w:fldSimple w:instr=" NUMPAGES  \* MERGEFORMAT ">
      <w:r w:rsidRPr="000F6E14">
        <w:rPr>
          <w:noProof/>
        </w:rPr>
        <w:t>13</w:t>
      </w:r>
    </w:fldSimple>
    <w:r w:rsidRPr="000F6E14">
      <w:tab/>
    </w:r>
    <w:r w:rsidRPr="000F6E14">
      <w:rPr>
        <w:rStyle w:val="HideTWBExt"/>
      </w:rPr>
      <w:t>&lt;PathFdR&gt;</w:t>
    </w:r>
    <w:r w:rsidRPr="000F6E14">
      <w:t>RR\1346613LV.docx</w:t>
    </w:r>
    <w:r w:rsidRPr="000F6E14">
      <w:rPr>
        <w:rStyle w:val="HideTWBExt"/>
      </w:rPr>
      <w:t>&lt;/PathFdR&gt;</w:t>
    </w:r>
  </w:p>
  <w:p w14:paraId="59D9906F" w14:textId="77777777" w:rsidR="00001353" w:rsidRPr="000F6E14" w:rsidRDefault="00001353" w:rsidP="00DF779A">
    <w:pPr>
      <w:pStyle w:val="EPFooter2"/>
    </w:pPr>
    <w:r w:rsidRPr="000F6E14">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02607" w14:textId="77777777" w:rsidR="00001353" w:rsidRPr="000F6E14" w:rsidRDefault="00001353" w:rsidP="00DF779A">
    <w:pPr>
      <w:pStyle w:val="EPFooter"/>
    </w:pPr>
    <w:r w:rsidRPr="000F6E14">
      <w:rPr>
        <w:rStyle w:val="HideTWBExt"/>
      </w:rPr>
      <w:t>&lt;PathFdR&gt;</w:t>
    </w:r>
    <w:r w:rsidRPr="000F6E14">
      <w:t>RR\1346613LV.docx</w:t>
    </w:r>
    <w:r w:rsidRPr="000F6E14">
      <w:rPr>
        <w:rStyle w:val="HideTWBExt"/>
      </w:rPr>
      <w:t>&lt;/PathFdR&gt;</w:t>
    </w:r>
    <w:r w:rsidRPr="000F6E14">
      <w:tab/>
    </w:r>
    <w:r w:rsidRPr="000F6E14">
      <w:tab/>
      <w:t>PE</w:t>
    </w:r>
    <w:r w:rsidRPr="000F6E14">
      <w:rPr>
        <w:rStyle w:val="HideTWBExt"/>
      </w:rPr>
      <w:t>&lt;NoPE&gt;</w:t>
    </w:r>
    <w:r w:rsidRPr="000F6E14">
      <w:t>789.086</w:t>
    </w:r>
    <w:r w:rsidRPr="000F6E14">
      <w:rPr>
        <w:rStyle w:val="HideTWBExt"/>
      </w:rPr>
      <w:t>&lt;/NoPE&gt;&lt;Version&gt;</w:t>
    </w:r>
    <w:r w:rsidRPr="000F6E14">
      <w:t>v02-00</w:t>
    </w:r>
    <w:r w:rsidRPr="000F6E14">
      <w:rPr>
        <w:rStyle w:val="HideTWBExt"/>
      </w:rPr>
      <w:t>&lt;/Version&gt;</w:t>
    </w:r>
  </w:p>
  <w:p w14:paraId="57FF919D" w14:textId="77777777" w:rsidR="00001353" w:rsidRPr="000F6E14" w:rsidRDefault="00001353" w:rsidP="00DF779A">
    <w:pPr>
      <w:pStyle w:val="EPFooter2"/>
    </w:pPr>
    <w:r w:rsidRPr="000F6E14">
      <w:t>LV</w:t>
    </w:r>
    <w:r w:rsidRPr="000F6E14">
      <w:tab/>
    </w:r>
    <w:r w:rsidRPr="000F6E14">
      <w:rPr>
        <w:b w:val="0"/>
        <w:i/>
        <w:color w:val="C0C0C0"/>
        <w:sz w:val="22"/>
      </w:rPr>
      <w:t>Vienoti daudzveidībā</w:t>
    </w:r>
    <w:r w:rsidRPr="000F6E14">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6C56B" w14:textId="77777777" w:rsidR="00064002" w:rsidRPr="000F6E1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2D579" w14:textId="77777777" w:rsidR="00064002" w:rsidRPr="000F6E1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DF7A7" w14:textId="77777777" w:rsidR="00064002" w:rsidRPr="000F6E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2278C" w14:textId="77777777" w:rsidR="00A719C8" w:rsidRPr="000F6E14" w:rsidRDefault="00A719C8">
      <w:r w:rsidRPr="000F6E14">
        <w:separator/>
      </w:r>
    </w:p>
  </w:footnote>
  <w:footnote w:type="continuationSeparator" w:id="0">
    <w:p w14:paraId="387C10C1" w14:textId="77777777" w:rsidR="00A719C8" w:rsidRPr="000F6E14" w:rsidRDefault="00A719C8">
      <w:r w:rsidRPr="000F6E14">
        <w:continuationSeparator/>
      </w:r>
    </w:p>
  </w:footnote>
  <w:footnote w:id="1">
    <w:p w14:paraId="0396F6A1" w14:textId="0513CD84" w:rsidR="00001353" w:rsidRPr="000F6E14" w:rsidRDefault="00001353" w:rsidP="000F6E14">
      <w:pPr>
        <w:pStyle w:val="FootnoteText"/>
        <w:ind w:left="567" w:hanging="567"/>
        <w:rPr>
          <w:sz w:val="24"/>
          <w:lang w:val="lv-LV"/>
        </w:rPr>
      </w:pPr>
      <w:r w:rsidRPr="000F6E14">
        <w:rPr>
          <w:rStyle w:val="FootnoteReference"/>
          <w:sz w:val="24"/>
          <w:lang w:val="lv-LV"/>
        </w:rPr>
        <w:footnoteRef/>
      </w:r>
      <w:r w:rsidR="000F6E14" w:rsidRPr="000F6E14">
        <w:rPr>
          <w:sz w:val="24"/>
          <w:lang w:val="lv-LV"/>
        </w:rPr>
        <w:t xml:space="preserve"> </w:t>
      </w:r>
      <w:r w:rsidR="000F6E14" w:rsidRPr="000F6E14">
        <w:rPr>
          <w:sz w:val="24"/>
          <w:lang w:val="lv-LV"/>
        </w:rPr>
        <w:tab/>
      </w:r>
      <w:r w:rsidRPr="000F6E14">
        <w:rPr>
          <w:sz w:val="24"/>
          <w:lang w:val="lv-LV"/>
        </w:rPr>
        <w:t xml:space="preserve">OV L 153, 3.5.2021., 48. lpp., ELI: </w:t>
      </w:r>
      <w:hyperlink r:id="rId1" w:history="1">
        <w:r w:rsidRPr="000F6E14">
          <w:rPr>
            <w:rStyle w:val="Hyperlink"/>
            <w:color w:val="0070C0"/>
            <w:sz w:val="24"/>
            <w:lang w:val="lv-LV"/>
          </w:rPr>
          <w:t>http://data.europa.eu/eli/reg/2021/691/oj</w:t>
        </w:r>
      </w:hyperlink>
      <w:r w:rsidRPr="000F6E14">
        <w:rPr>
          <w:color w:val="0070C0"/>
          <w:sz w:val="24"/>
          <w:lang w:val="lv-LV"/>
        </w:rPr>
        <w:t>.</w:t>
      </w:r>
    </w:p>
  </w:footnote>
  <w:footnote w:id="2">
    <w:p w14:paraId="51803470" w14:textId="55F4414C" w:rsidR="00001353" w:rsidRPr="000F6E14" w:rsidRDefault="00001353" w:rsidP="000F6E14">
      <w:pPr>
        <w:pStyle w:val="FootnoteText"/>
        <w:ind w:left="567" w:hanging="567"/>
        <w:rPr>
          <w:sz w:val="24"/>
          <w:lang w:val="lv-LV"/>
        </w:rPr>
      </w:pPr>
      <w:r w:rsidRPr="000F6E14">
        <w:rPr>
          <w:rStyle w:val="FootnoteReference"/>
          <w:sz w:val="24"/>
          <w:lang w:val="lv-LV"/>
        </w:rPr>
        <w:footnoteRef/>
      </w:r>
      <w:r w:rsidR="000F6E14" w:rsidRPr="000F6E14">
        <w:rPr>
          <w:sz w:val="24"/>
          <w:lang w:val="lv-LV"/>
        </w:rPr>
        <w:t xml:space="preserve"> </w:t>
      </w:r>
      <w:r w:rsidR="000F6E14" w:rsidRPr="000F6E14">
        <w:rPr>
          <w:sz w:val="24"/>
          <w:lang w:val="lv-LV"/>
        </w:rPr>
        <w:tab/>
      </w:r>
      <w:r w:rsidRPr="000F6E14">
        <w:rPr>
          <w:sz w:val="24"/>
          <w:lang w:val="lv-LV"/>
        </w:rPr>
        <w:t>OV L, 2026/1139, 20.5.2026., ELI: </w:t>
      </w:r>
      <w:hyperlink r:id="rId2" w:tgtFrame="_blank" w:tooltip="Nodrošina piekļuvi šim dokumentam pēc tā ELI URI." w:history="1">
        <w:r w:rsidRPr="000F6E14">
          <w:rPr>
            <w:rStyle w:val="Hyperlink"/>
            <w:color w:val="0070C0"/>
            <w:sz w:val="24"/>
            <w:lang w:val="lv-LV"/>
          </w:rPr>
          <w:t>http://data.europa.eu/eli/reg/2026/1139/oj</w:t>
        </w:r>
      </w:hyperlink>
      <w:r w:rsidRPr="000F6E14">
        <w:rPr>
          <w:color w:val="0070C0"/>
          <w:sz w:val="24"/>
          <w:lang w:val="lv-LV"/>
        </w:rPr>
        <w:t>.</w:t>
      </w:r>
    </w:p>
  </w:footnote>
  <w:footnote w:id="3">
    <w:p w14:paraId="3E687E23" w14:textId="5DB548D1" w:rsidR="00001353" w:rsidRPr="000F6E14" w:rsidRDefault="00001353" w:rsidP="000F6E14">
      <w:pPr>
        <w:ind w:left="567" w:hanging="567"/>
      </w:pPr>
      <w:r w:rsidRPr="000F6E14">
        <w:rPr>
          <w:rStyle w:val="FootnoteReference"/>
        </w:rPr>
        <w:footnoteRef/>
      </w:r>
      <w:r w:rsidR="000F6E14" w:rsidRPr="000F6E14">
        <w:t xml:space="preserve"> </w:t>
      </w:r>
      <w:r w:rsidR="000F6E14" w:rsidRPr="000F6E14">
        <w:tab/>
      </w:r>
      <w:r w:rsidRPr="000F6E14">
        <w:t xml:space="preserve">OV L 433 I, 22.12.2020., 11. lpp., ELI: </w:t>
      </w:r>
      <w:hyperlink r:id="rId3" w:history="1">
        <w:r w:rsidRPr="000F6E14">
          <w:rPr>
            <w:rStyle w:val="Hyperlink"/>
            <w:color w:val="0070C0"/>
          </w:rPr>
          <w:t>http://data.europa.eu/eli/reg/2020/2093/oj</w:t>
        </w:r>
      </w:hyperlink>
      <w:r w:rsidRPr="000F6E14">
        <w:rPr>
          <w:color w:val="0070C0"/>
        </w:rPr>
        <w:t>.</w:t>
      </w:r>
    </w:p>
  </w:footnote>
  <w:footnote w:id="4">
    <w:p w14:paraId="49BBC933" w14:textId="2B2C2B55" w:rsidR="00001353" w:rsidRPr="000F6E14" w:rsidRDefault="00001353" w:rsidP="000F6E14">
      <w:pPr>
        <w:ind w:left="567" w:hanging="567"/>
      </w:pPr>
      <w:r w:rsidRPr="000F6E14">
        <w:rPr>
          <w:rStyle w:val="FootnoteReference"/>
        </w:rPr>
        <w:footnoteRef/>
      </w:r>
      <w:r w:rsidR="000F6E14" w:rsidRPr="000F6E14">
        <w:t xml:space="preserve"> </w:t>
      </w:r>
      <w:r w:rsidR="000F6E14" w:rsidRPr="000F6E14">
        <w:tab/>
      </w:r>
      <w:r w:rsidRPr="000F6E14">
        <w:t xml:space="preserve">OV L, 2024/765, 29.2.2024., ELI: </w:t>
      </w:r>
      <w:hyperlink r:id="rId4" w:history="1">
        <w:r w:rsidRPr="000F6E14">
          <w:rPr>
            <w:rStyle w:val="Hyperlink"/>
          </w:rPr>
          <w:t>https://eur-lex.europa.eu/eli/reg/2024/765/oj</w:t>
        </w:r>
      </w:hyperlink>
      <w:r w:rsidRPr="000F6E14">
        <w:t>.</w:t>
      </w:r>
    </w:p>
  </w:footnote>
  <w:footnote w:id="5">
    <w:p w14:paraId="4422841E" w14:textId="53A96219" w:rsidR="00001353" w:rsidRPr="000F6E14" w:rsidRDefault="00001353" w:rsidP="000F6E14">
      <w:pPr>
        <w:pStyle w:val="FootnoteText"/>
        <w:ind w:left="567" w:hanging="567"/>
        <w:rPr>
          <w:sz w:val="24"/>
          <w:lang w:val="lv-LV"/>
        </w:rPr>
      </w:pPr>
      <w:r w:rsidRPr="000F6E14">
        <w:rPr>
          <w:rStyle w:val="FootnoteReference"/>
          <w:sz w:val="24"/>
          <w:lang w:val="lv-LV"/>
        </w:rPr>
        <w:footnoteRef/>
      </w:r>
      <w:r w:rsidR="000F6E14" w:rsidRPr="000F6E14">
        <w:rPr>
          <w:sz w:val="24"/>
          <w:lang w:val="lv-LV"/>
        </w:rPr>
        <w:t xml:space="preserve"> </w:t>
      </w:r>
      <w:r w:rsidR="000F6E14" w:rsidRPr="000F6E14">
        <w:rPr>
          <w:sz w:val="24"/>
          <w:lang w:val="lv-LV"/>
        </w:rPr>
        <w:tab/>
      </w:r>
      <w:r w:rsidRPr="000F6E14">
        <w:rPr>
          <w:sz w:val="24"/>
          <w:lang w:val="lv-LV"/>
        </w:rPr>
        <w:t>OV L 433 I, 22.12.2020., 28. </w:t>
      </w:r>
      <w:r w:rsidRPr="000F6E14">
        <w:rPr>
          <w:sz w:val="24"/>
          <w:lang w:val="lv-LV"/>
        </w:rPr>
        <w:t xml:space="preserve">lpp., ELI: </w:t>
      </w:r>
      <w:hyperlink r:id="rId5" w:history="1">
        <w:r w:rsidRPr="000F6E14">
          <w:rPr>
            <w:rStyle w:val="Hyperlink"/>
            <w:sz w:val="24"/>
            <w:lang w:val="lv-LV"/>
          </w:rPr>
          <w:t>http://data.europa.eu/eli/agree_interinstit/2020/1222/oj</w:t>
        </w:r>
      </w:hyperlink>
      <w:r w:rsidRPr="000F6E14">
        <w:rPr>
          <w:sz w:val="24"/>
          <w:lang w:val="lv-LV"/>
        </w:rPr>
        <w:t>.</w:t>
      </w:r>
    </w:p>
  </w:footnote>
  <w:footnote w:id="6">
    <w:p w14:paraId="7B333D86" w14:textId="408FCB62" w:rsidR="00001353" w:rsidRPr="000F6E14" w:rsidRDefault="00001353" w:rsidP="000F6E14">
      <w:pPr>
        <w:pStyle w:val="FootnoteText"/>
        <w:ind w:left="567" w:hanging="567"/>
        <w:rPr>
          <w:sz w:val="24"/>
          <w:lang w:val="lv-LV"/>
        </w:rPr>
      </w:pPr>
      <w:r w:rsidRPr="000F6E14">
        <w:rPr>
          <w:rStyle w:val="FootnoteReference"/>
          <w:sz w:val="24"/>
          <w:lang w:val="lv-LV"/>
        </w:rPr>
        <w:footnoteRef/>
      </w:r>
      <w:r w:rsidR="000F6E14" w:rsidRPr="000F6E14">
        <w:rPr>
          <w:sz w:val="24"/>
          <w:lang w:val="lv-LV"/>
        </w:rPr>
        <w:t xml:space="preserve"> </w:t>
      </w:r>
      <w:r w:rsidR="000F6E14" w:rsidRPr="000F6E14">
        <w:rPr>
          <w:sz w:val="24"/>
          <w:lang w:val="lv-LV"/>
        </w:rPr>
        <w:tab/>
      </w:r>
      <w:r w:rsidRPr="000F6E14">
        <w:rPr>
          <w:sz w:val="24"/>
          <w:lang w:val="lv-LV"/>
        </w:rPr>
        <w:t>OV L 153, 3.5.2021., 48. </w:t>
      </w:r>
      <w:r w:rsidRPr="000F6E14">
        <w:rPr>
          <w:sz w:val="24"/>
          <w:lang w:val="lv-LV"/>
        </w:rPr>
        <w:t>lpp., ELI: </w:t>
      </w:r>
      <w:hyperlink r:id="rId6" w:tooltip="Nodrošina piekļuvi šim dokumentam pēc tā ELI URI." w:history="1">
        <w:r w:rsidRPr="000F6E14">
          <w:rPr>
            <w:rStyle w:val="Hyperlink"/>
            <w:sz w:val="24"/>
            <w:lang w:val="lv-LV"/>
          </w:rPr>
          <w:t>http://data.europa.eu/eli/reg/2021/691/oj</w:t>
        </w:r>
      </w:hyperlink>
      <w:r w:rsidRPr="000F6E14">
        <w:rPr>
          <w:sz w:val="24"/>
          <w:lang w:val="lv-LV"/>
        </w:rPr>
        <w:t>.</w:t>
      </w:r>
    </w:p>
  </w:footnote>
  <w:footnote w:id="7">
    <w:p w14:paraId="77CC3A95" w14:textId="58C40E06" w:rsidR="00001353" w:rsidRPr="000F6E14" w:rsidRDefault="00001353" w:rsidP="000F6E14">
      <w:pPr>
        <w:pStyle w:val="FootnoteText"/>
        <w:ind w:left="567" w:hanging="567"/>
        <w:rPr>
          <w:sz w:val="24"/>
          <w:lang w:val="lv-LV"/>
        </w:rPr>
      </w:pPr>
      <w:r w:rsidRPr="000F6E14">
        <w:rPr>
          <w:rStyle w:val="FootnoteReference"/>
          <w:sz w:val="24"/>
          <w:lang w:val="lv-LV"/>
        </w:rPr>
        <w:footnoteRef/>
      </w:r>
      <w:r w:rsidR="000F6E14" w:rsidRPr="000F6E14">
        <w:rPr>
          <w:sz w:val="24"/>
          <w:lang w:val="lv-LV"/>
        </w:rPr>
        <w:t xml:space="preserve"> </w:t>
      </w:r>
      <w:r w:rsidR="000F6E14" w:rsidRPr="000F6E14">
        <w:rPr>
          <w:sz w:val="24"/>
          <w:lang w:val="lv-LV"/>
        </w:rPr>
        <w:tab/>
      </w:r>
      <w:r w:rsidRPr="000F6E14">
        <w:rPr>
          <w:sz w:val="24"/>
          <w:lang w:val="lv-LV"/>
        </w:rPr>
        <w:t>OV L 433 I, 22.12.2020., 28. </w:t>
      </w:r>
      <w:r w:rsidRPr="000F6E14">
        <w:rPr>
          <w:sz w:val="24"/>
          <w:lang w:val="lv-LV"/>
        </w:rPr>
        <w:t xml:space="preserve">lpp., ELI: </w:t>
      </w:r>
      <w:hyperlink r:id="rId7" w:tooltip="Nodrošina piekļuvi šim dokumentam pēc tā ELI URI." w:history="1">
        <w:r w:rsidRPr="000F6E14">
          <w:rPr>
            <w:rStyle w:val="Hyperlink"/>
            <w:sz w:val="24"/>
            <w:lang w:val="lv-LV"/>
          </w:rPr>
          <w:t>http://data.europa.eu/eli/agree_interinstit/2020/1222/oj</w:t>
        </w:r>
      </w:hyperlink>
      <w:r w:rsidRPr="000F6E14">
        <w:rPr>
          <w:sz w:val="24"/>
          <w:lang w:val="lv-LV"/>
        </w:rPr>
        <w:t>.</w:t>
      </w:r>
    </w:p>
  </w:footnote>
  <w:footnote w:id="8">
    <w:p w14:paraId="70F05E89" w14:textId="5E13157E" w:rsidR="00001353" w:rsidRPr="000F6E14" w:rsidRDefault="00001353" w:rsidP="000F6E14">
      <w:pPr>
        <w:pStyle w:val="FootnoteText"/>
        <w:ind w:left="567" w:hanging="567"/>
        <w:rPr>
          <w:sz w:val="24"/>
          <w:lang w:val="lv-LV"/>
        </w:rPr>
      </w:pPr>
      <w:r w:rsidRPr="000F6E14">
        <w:rPr>
          <w:rStyle w:val="FootnoteReference"/>
          <w:sz w:val="24"/>
          <w:lang w:val="lv-LV"/>
        </w:rPr>
        <w:footnoteRef/>
      </w:r>
      <w:r w:rsidR="000F6E14" w:rsidRPr="000F6E14">
        <w:rPr>
          <w:sz w:val="24"/>
          <w:lang w:val="lv-LV"/>
        </w:rPr>
        <w:t xml:space="preserve"> </w:t>
      </w:r>
      <w:r w:rsidR="000F6E14" w:rsidRPr="000F6E14">
        <w:rPr>
          <w:sz w:val="24"/>
          <w:lang w:val="lv-LV"/>
        </w:rPr>
        <w:tab/>
      </w:r>
      <w:r w:rsidRPr="000F6E14">
        <w:rPr>
          <w:sz w:val="24"/>
          <w:lang w:val="lv-LV"/>
        </w:rPr>
        <w:t xml:space="preserve">Padomes Regula (ES, </w:t>
      </w:r>
      <w:r w:rsidRPr="000F6E14">
        <w:rPr>
          <w:i/>
          <w:sz w:val="24"/>
          <w:lang w:val="lv-LV"/>
        </w:rPr>
        <w:t>Euratom</w:t>
      </w:r>
      <w:r w:rsidRPr="000F6E14">
        <w:rPr>
          <w:sz w:val="24"/>
          <w:lang w:val="lv-LV"/>
        </w:rPr>
        <w:t>) 2020/2093 (2020. gada 17. decembris), ar ko nosaka daudzgadu finanšu shēmu 2021.–2027. gadam (OV L 433 I, 22.12.2020., 11. </w:t>
      </w:r>
      <w:r w:rsidRPr="000F6E14">
        <w:rPr>
          <w:sz w:val="24"/>
          <w:lang w:val="lv-LV"/>
        </w:rPr>
        <w:t xml:space="preserve">lpp., ELI: </w:t>
      </w:r>
      <w:hyperlink r:id="rId8" w:tooltip="Nodrošina piekļuvi šim dokumentam pēc tā ELI URI." w:history="1">
        <w:r w:rsidRPr="000F6E14">
          <w:rPr>
            <w:rStyle w:val="Hyperlink"/>
            <w:sz w:val="24"/>
            <w:lang w:val="lv-LV"/>
          </w:rPr>
          <w:t>http://data.europa.eu/eli/reg/2020/2093/oj</w:t>
        </w:r>
      </w:hyperlink>
      <w:r w:rsidRPr="000F6E14">
        <w:rPr>
          <w:sz w:val="24"/>
          <w:lang w:val="lv-LV"/>
        </w:rPr>
        <w:t>).</w:t>
      </w:r>
    </w:p>
  </w:footnote>
  <w:footnote w:id="9">
    <w:p w14:paraId="5067AA13" w14:textId="4C342A53" w:rsidR="00001353" w:rsidRPr="000F6E14" w:rsidRDefault="00001353" w:rsidP="000F6E14">
      <w:pPr>
        <w:pStyle w:val="FootnoteText"/>
        <w:ind w:left="567" w:hanging="567"/>
        <w:rPr>
          <w:sz w:val="24"/>
          <w:lang w:val="lv-LV"/>
        </w:rPr>
      </w:pPr>
      <w:r w:rsidRPr="000F6E14">
        <w:rPr>
          <w:rStyle w:val="FootnoteReference"/>
          <w:sz w:val="24"/>
          <w:lang w:val="lv-LV"/>
        </w:rPr>
        <w:footnoteRef/>
      </w:r>
      <w:r w:rsidR="000F6E14" w:rsidRPr="000F6E14">
        <w:rPr>
          <w:sz w:val="24"/>
          <w:lang w:val="lv-LV"/>
        </w:rPr>
        <w:t xml:space="preserve"> </w:t>
      </w:r>
      <w:r w:rsidR="000F6E14" w:rsidRPr="000F6E14">
        <w:rPr>
          <w:sz w:val="24"/>
          <w:lang w:val="lv-LV"/>
        </w:rPr>
        <w:tab/>
      </w:r>
      <w:r w:rsidRPr="000F6E14">
        <w:rPr>
          <w:sz w:val="24"/>
          <w:lang w:val="lv-LV"/>
        </w:rPr>
        <w:t xml:space="preserve">Padomes Regula (ES, </w:t>
      </w:r>
      <w:r w:rsidRPr="000F6E14">
        <w:rPr>
          <w:i/>
          <w:sz w:val="24"/>
          <w:lang w:val="lv-LV"/>
        </w:rPr>
        <w:t>Euratom</w:t>
      </w:r>
      <w:r w:rsidRPr="000F6E14">
        <w:rPr>
          <w:sz w:val="24"/>
          <w:lang w:val="lv-LV"/>
        </w:rPr>
        <w:t xml:space="preserve">) 2024/765 (2024. gada 29. februāris), ar kuru groza Regulu (ES, </w:t>
      </w:r>
      <w:r w:rsidRPr="000F6E14">
        <w:rPr>
          <w:i/>
          <w:sz w:val="24"/>
          <w:lang w:val="lv-LV"/>
        </w:rPr>
        <w:t>Euratom</w:t>
      </w:r>
      <w:r w:rsidRPr="000F6E14">
        <w:rPr>
          <w:sz w:val="24"/>
          <w:lang w:val="lv-LV"/>
        </w:rPr>
        <w:t>) 2020/2093, ar ko nosaka daudzgadu finanšu shēmu 2021.–2027. </w:t>
      </w:r>
      <w:r w:rsidRPr="000F6E14">
        <w:rPr>
          <w:sz w:val="24"/>
          <w:lang w:val="lv-LV"/>
        </w:rPr>
        <w:t xml:space="preserve">gadam (OV L, 2024/765, 29.2.2024., ELI: </w:t>
      </w:r>
      <w:hyperlink r:id="rId9" w:history="1">
        <w:r w:rsidRPr="000F6E14">
          <w:rPr>
            <w:rStyle w:val="Hyperlink"/>
            <w:sz w:val="24"/>
            <w:lang w:val="lv-LV"/>
          </w:rPr>
          <w:t>http://data.europa.eu/eli/reg/2024/765/oj</w:t>
        </w:r>
      </w:hyperlink>
      <w:r w:rsidRPr="000F6E14">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31B7A" w14:textId="77777777" w:rsidR="00064002" w:rsidRPr="000F6E1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14D8A" w14:textId="77777777" w:rsidR="00064002" w:rsidRPr="000F6E1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E3CD5" w14:textId="77777777" w:rsidR="00064002" w:rsidRPr="000F6E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1598652">
    <w:abstractNumId w:val="9"/>
  </w:num>
  <w:num w:numId="2" w16cid:durableId="1603488707">
    <w:abstractNumId w:val="9"/>
  </w:num>
  <w:num w:numId="3" w16cid:durableId="390664090">
    <w:abstractNumId w:val="7"/>
  </w:num>
  <w:num w:numId="4" w16cid:durableId="1717969432">
    <w:abstractNumId w:val="7"/>
  </w:num>
  <w:num w:numId="5" w16cid:durableId="1995791121">
    <w:abstractNumId w:val="6"/>
  </w:num>
  <w:num w:numId="6" w16cid:durableId="280575876">
    <w:abstractNumId w:val="6"/>
  </w:num>
  <w:num w:numId="7" w16cid:durableId="1600678062">
    <w:abstractNumId w:val="5"/>
  </w:num>
  <w:num w:numId="8" w16cid:durableId="705060128">
    <w:abstractNumId w:val="5"/>
  </w:num>
  <w:num w:numId="9" w16cid:durableId="1835414170">
    <w:abstractNumId w:val="4"/>
  </w:num>
  <w:num w:numId="10" w16cid:durableId="421030216">
    <w:abstractNumId w:val="4"/>
  </w:num>
  <w:num w:numId="11" w16cid:durableId="992568160">
    <w:abstractNumId w:val="8"/>
  </w:num>
  <w:num w:numId="12" w16cid:durableId="1704868348">
    <w:abstractNumId w:val="8"/>
  </w:num>
  <w:num w:numId="13" w16cid:durableId="428506677">
    <w:abstractNumId w:val="3"/>
  </w:num>
  <w:num w:numId="14" w16cid:durableId="1852329633">
    <w:abstractNumId w:val="3"/>
  </w:num>
  <w:num w:numId="15" w16cid:durableId="2120297364">
    <w:abstractNumId w:val="2"/>
  </w:num>
  <w:num w:numId="16" w16cid:durableId="618531488">
    <w:abstractNumId w:val="2"/>
  </w:num>
  <w:num w:numId="17" w16cid:durableId="1560246229">
    <w:abstractNumId w:val="1"/>
  </w:num>
  <w:num w:numId="18" w16cid:durableId="1513062239">
    <w:abstractNumId w:val="1"/>
  </w:num>
  <w:num w:numId="19" w16cid:durableId="800541865">
    <w:abstractNumId w:val="0"/>
  </w:num>
  <w:num w:numId="20" w16cid:durableId="1505239598">
    <w:abstractNumId w:val="0"/>
  </w:num>
  <w:num w:numId="21" w16cid:durableId="1340431387">
    <w:abstractNumId w:val="9"/>
  </w:num>
  <w:num w:numId="22" w16cid:durableId="475877328">
    <w:abstractNumId w:val="7"/>
  </w:num>
  <w:num w:numId="23" w16cid:durableId="780951088">
    <w:abstractNumId w:val="6"/>
  </w:num>
  <w:num w:numId="24" w16cid:durableId="1234241654">
    <w:abstractNumId w:val="5"/>
  </w:num>
  <w:num w:numId="25" w16cid:durableId="1314602926">
    <w:abstractNumId w:val="4"/>
  </w:num>
  <w:num w:numId="26" w16cid:durableId="498882935">
    <w:abstractNumId w:val="8"/>
  </w:num>
  <w:num w:numId="27" w16cid:durableId="1059397675">
    <w:abstractNumId w:val="3"/>
  </w:num>
  <w:num w:numId="28" w16cid:durableId="637415170">
    <w:abstractNumId w:val="2"/>
  </w:num>
  <w:num w:numId="29" w16cid:durableId="1709988209">
    <w:abstractNumId w:val="1"/>
  </w:num>
  <w:num w:numId="30" w16cid:durableId="663894823">
    <w:abstractNumId w:val="0"/>
  </w:num>
  <w:num w:numId="31" w16cid:durableId="618343582">
    <w:abstractNumId w:val="9"/>
  </w:num>
  <w:num w:numId="32" w16cid:durableId="1870021197">
    <w:abstractNumId w:val="7"/>
  </w:num>
  <w:num w:numId="33" w16cid:durableId="731083873">
    <w:abstractNumId w:val="6"/>
  </w:num>
  <w:num w:numId="34" w16cid:durableId="824130213">
    <w:abstractNumId w:val="5"/>
  </w:num>
  <w:num w:numId="35" w16cid:durableId="1513373679">
    <w:abstractNumId w:val="4"/>
  </w:num>
  <w:num w:numId="36" w16cid:durableId="264457717">
    <w:abstractNumId w:val="8"/>
  </w:num>
  <w:num w:numId="37" w16cid:durableId="1242181047">
    <w:abstractNumId w:val="3"/>
  </w:num>
  <w:num w:numId="38" w16cid:durableId="165480773">
    <w:abstractNumId w:val="2"/>
  </w:num>
  <w:num w:numId="39" w16cid:durableId="131021306">
    <w:abstractNumId w:val="1"/>
  </w:num>
  <w:num w:numId="40" w16cid:durableId="467892762">
    <w:abstractNumId w:val="0"/>
  </w:num>
  <w:num w:numId="41" w16cid:durableId="464201929">
    <w:abstractNumId w:val="10"/>
  </w:num>
  <w:num w:numId="42" w16cid:durableId="1816751859">
    <w:abstractNumId w:val="10"/>
  </w:num>
  <w:num w:numId="43" w16cid:durableId="517889859">
    <w:abstractNumId w:val="10"/>
  </w:num>
  <w:num w:numId="44" w16cid:durableId="1196926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9/2026"/>
    <w:docVar w:name="dvlangue" w:val="LV"/>
    <w:docVar w:name="dvnumam" w:val="0"/>
    <w:docVar w:name="dvpe" w:val="789.086"/>
    <w:docVar w:name="dvrapporteur" w:val="Referente: "/>
    <w:docVar w:name="dvtitre" w:val="Eiropas Parlamenta 2026. gada XX. XXX  rezolūcija par priekšlikumu Eiropas Parlamenta un Padomes lēmumam par Eiropas Globalizācijas pielāgošanās fonda darbu zaudējušiem darba ņēmējiem izmantošanu pēc Komisijas iniciatīvas (EGF/2026/000 TA 2026 - tehniskā palīdzība)(COM(2026)0360 – C10-0124/2026 – 2026/0126(BUD))"/>
  </w:docVars>
  <w:rsids>
    <w:rsidRoot w:val="00A719C8"/>
    <w:rsid w:val="00001353"/>
    <w:rsid w:val="00002272"/>
    <w:rsid w:val="00064002"/>
    <w:rsid w:val="000677B9"/>
    <w:rsid w:val="000831BA"/>
    <w:rsid w:val="000A42CC"/>
    <w:rsid w:val="000E7DD9"/>
    <w:rsid w:val="000F6E14"/>
    <w:rsid w:val="0010095E"/>
    <w:rsid w:val="00125B37"/>
    <w:rsid w:val="0013794A"/>
    <w:rsid w:val="00187494"/>
    <w:rsid w:val="001F32AE"/>
    <w:rsid w:val="002767FF"/>
    <w:rsid w:val="002B18FE"/>
    <w:rsid w:val="002B5493"/>
    <w:rsid w:val="00343214"/>
    <w:rsid w:val="00361C00"/>
    <w:rsid w:val="00395FA1"/>
    <w:rsid w:val="003E15D4"/>
    <w:rsid w:val="003F0BA3"/>
    <w:rsid w:val="00411CCE"/>
    <w:rsid w:val="0041666E"/>
    <w:rsid w:val="00421060"/>
    <w:rsid w:val="00471C19"/>
    <w:rsid w:val="004867E3"/>
    <w:rsid w:val="00494A28"/>
    <w:rsid w:val="004C0004"/>
    <w:rsid w:val="004C5D52"/>
    <w:rsid w:val="0050519A"/>
    <w:rsid w:val="005072A1"/>
    <w:rsid w:val="00514517"/>
    <w:rsid w:val="00534E63"/>
    <w:rsid w:val="005351E6"/>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5F2A"/>
    <w:rsid w:val="00930C23"/>
    <w:rsid w:val="0093193B"/>
    <w:rsid w:val="009509D8"/>
    <w:rsid w:val="00950B64"/>
    <w:rsid w:val="009772A3"/>
    <w:rsid w:val="00981893"/>
    <w:rsid w:val="00A1687D"/>
    <w:rsid w:val="00A43E52"/>
    <w:rsid w:val="00A4678D"/>
    <w:rsid w:val="00A719C8"/>
    <w:rsid w:val="00A778C7"/>
    <w:rsid w:val="00AB441E"/>
    <w:rsid w:val="00AB6293"/>
    <w:rsid w:val="00AC17E0"/>
    <w:rsid w:val="00AE0928"/>
    <w:rsid w:val="00AF3B82"/>
    <w:rsid w:val="00B12E95"/>
    <w:rsid w:val="00B22876"/>
    <w:rsid w:val="00B558F0"/>
    <w:rsid w:val="00BD48FE"/>
    <w:rsid w:val="00BD7BD8"/>
    <w:rsid w:val="00BE6ADC"/>
    <w:rsid w:val="00C05BFE"/>
    <w:rsid w:val="00C23CD4"/>
    <w:rsid w:val="00C61C0C"/>
    <w:rsid w:val="00C941CB"/>
    <w:rsid w:val="00CC1221"/>
    <w:rsid w:val="00CC2357"/>
    <w:rsid w:val="00CF071A"/>
    <w:rsid w:val="00D058B8"/>
    <w:rsid w:val="00D56C11"/>
    <w:rsid w:val="00D834A0"/>
    <w:rsid w:val="00D872DF"/>
    <w:rsid w:val="00D91E21"/>
    <w:rsid w:val="00DA7FCD"/>
    <w:rsid w:val="00E365E1"/>
    <w:rsid w:val="00E742B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937D9"/>
  <w15:chartTrackingRefBased/>
  <w15:docId w15:val="{8C506389-E4E1-4A43-9CD0-60C5AA83C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0135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001353"/>
    <w:pPr>
      <w:keepNext/>
      <w:spacing w:after="480"/>
      <w:jc w:val="center"/>
    </w:pPr>
    <w:rPr>
      <w:rFonts w:ascii="Arial" w:hAnsi="Arial" w:cs="Arial"/>
      <w:b/>
    </w:rPr>
  </w:style>
  <w:style w:type="paragraph" w:customStyle="1" w:styleId="NormalBold">
    <w:name w:val="NormalBold"/>
    <w:basedOn w:val="Normal"/>
    <w:rsid w:val="00001353"/>
    <w:rPr>
      <w:b/>
    </w:rPr>
  </w:style>
  <w:style w:type="paragraph" w:customStyle="1" w:styleId="NormalHanging12a">
    <w:name w:val="NormalHanging12a"/>
    <w:basedOn w:val="Normal"/>
    <w:link w:val="NormalHanging12aChar"/>
    <w:rsid w:val="00001353"/>
    <w:pPr>
      <w:spacing w:after="240"/>
      <w:ind w:left="567" w:hanging="567"/>
    </w:pPr>
  </w:style>
  <w:style w:type="paragraph" w:styleId="Header">
    <w:name w:val="header"/>
    <w:basedOn w:val="Normal"/>
    <w:link w:val="HeaderChar"/>
    <w:rsid w:val="00001353"/>
    <w:pPr>
      <w:tabs>
        <w:tab w:val="center" w:pos="4513"/>
        <w:tab w:val="right" w:pos="9026"/>
      </w:tabs>
    </w:pPr>
  </w:style>
  <w:style w:type="character" w:customStyle="1" w:styleId="HeaderChar">
    <w:name w:val="Header Char"/>
    <w:basedOn w:val="DefaultParagraphFont"/>
    <w:link w:val="Header"/>
    <w:rsid w:val="00001353"/>
    <w:rPr>
      <w:sz w:val="24"/>
      <w:lang w:val="lv-LV"/>
    </w:rPr>
  </w:style>
  <w:style w:type="paragraph" w:customStyle="1" w:styleId="NormalBold24a">
    <w:name w:val="NormalBold24a"/>
    <w:basedOn w:val="Normal"/>
    <w:rsid w:val="00001353"/>
    <w:pPr>
      <w:spacing w:after="480"/>
    </w:pPr>
    <w:rPr>
      <w:b/>
      <w:bCs/>
    </w:rPr>
  </w:style>
  <w:style w:type="paragraph" w:customStyle="1" w:styleId="EPFooter">
    <w:name w:val="EPFooter"/>
    <w:basedOn w:val="Normal"/>
    <w:rsid w:val="00001353"/>
    <w:pPr>
      <w:tabs>
        <w:tab w:val="center" w:pos="4535"/>
        <w:tab w:val="right" w:pos="9071"/>
      </w:tabs>
      <w:spacing w:before="240" w:after="240"/>
    </w:pPr>
    <w:rPr>
      <w:color w:val="010000"/>
      <w:sz w:val="22"/>
    </w:rPr>
  </w:style>
  <w:style w:type="paragraph" w:customStyle="1" w:styleId="EPComma">
    <w:name w:val="EPComma"/>
    <w:basedOn w:val="Normal"/>
    <w:rsid w:val="00001353"/>
    <w:pPr>
      <w:spacing w:before="480" w:after="240"/>
    </w:pPr>
  </w:style>
  <w:style w:type="character" w:styleId="Hyperlink">
    <w:name w:val="Hyperlink"/>
    <w:basedOn w:val="DefaultParagraphFont"/>
    <w:uiPriority w:val="99"/>
    <w:rsid w:val="00001353"/>
    <w:rPr>
      <w:color w:val="0563C1" w:themeColor="hyperlink"/>
      <w:u w:val="single"/>
    </w:rPr>
  </w:style>
  <w:style w:type="character" w:customStyle="1" w:styleId="NormalHanging12aChar">
    <w:name w:val="NormalHanging12a Char"/>
    <w:basedOn w:val="DefaultParagraphFont"/>
    <w:link w:val="NormalHanging12a"/>
    <w:locked/>
    <w:rsid w:val="00001353"/>
    <w:rPr>
      <w:sz w:val="24"/>
      <w:lang w:val="lv-LV"/>
    </w:rPr>
  </w:style>
  <w:style w:type="paragraph" w:customStyle="1" w:styleId="ManualConsidrant">
    <w:name w:val="Manual Considérant"/>
    <w:basedOn w:val="Normal"/>
    <w:rsid w:val="00001353"/>
    <w:pPr>
      <w:widowControl/>
      <w:spacing w:before="120" w:after="120" w:line="360" w:lineRule="auto"/>
      <w:ind w:left="850" w:hanging="850"/>
    </w:pPr>
    <w:rPr>
      <w:rFonts w:eastAsiaTheme="minorHAnsi"/>
      <w:szCs w:val="22"/>
      <w:lang w:eastAsia="lv-LV" w:bidi="lv-LV"/>
    </w:rPr>
  </w:style>
  <w:style w:type="paragraph" w:styleId="Footer">
    <w:name w:val="footer"/>
    <w:basedOn w:val="Normal"/>
    <w:link w:val="FooterChar"/>
    <w:rsid w:val="0013794A"/>
    <w:pPr>
      <w:tabs>
        <w:tab w:val="center" w:pos="4513"/>
        <w:tab w:val="right" w:pos="9026"/>
      </w:tabs>
    </w:pPr>
  </w:style>
  <w:style w:type="character" w:customStyle="1" w:styleId="FooterChar">
    <w:name w:val="Footer Char"/>
    <w:basedOn w:val="DefaultParagraphFont"/>
    <w:link w:val="Footer"/>
    <w:rsid w:val="0013794A"/>
    <w:rPr>
      <w:sz w:val="24"/>
      <w:lang w:val="lv-LV"/>
    </w:rPr>
  </w:style>
  <w:style w:type="paragraph" w:styleId="Revision">
    <w:name w:val="Revision"/>
    <w:hidden/>
    <w:uiPriority w:val="99"/>
    <w:semiHidden/>
    <w:rsid w:val="0013794A"/>
    <w:rPr>
      <w:sz w:val="24"/>
      <w:lang w:val="lv-LV"/>
    </w:rPr>
  </w:style>
  <w:style w:type="character" w:styleId="CommentReference">
    <w:name w:val="annotation reference"/>
    <w:basedOn w:val="DefaultParagraphFont"/>
    <w:rsid w:val="00AC17E0"/>
    <w:rPr>
      <w:sz w:val="16"/>
      <w:szCs w:val="16"/>
    </w:rPr>
  </w:style>
  <w:style w:type="paragraph" w:styleId="CommentText">
    <w:name w:val="annotation text"/>
    <w:basedOn w:val="Normal"/>
    <w:link w:val="CommentTextChar"/>
    <w:rsid w:val="00AC17E0"/>
    <w:rPr>
      <w:sz w:val="20"/>
    </w:rPr>
  </w:style>
  <w:style w:type="character" w:customStyle="1" w:styleId="CommentTextChar">
    <w:name w:val="Comment Text Char"/>
    <w:basedOn w:val="DefaultParagraphFont"/>
    <w:link w:val="CommentText"/>
    <w:rsid w:val="00AC17E0"/>
    <w:rPr>
      <w:lang w:val="lv-LV"/>
    </w:rPr>
  </w:style>
  <w:style w:type="paragraph" w:styleId="CommentSubject">
    <w:name w:val="annotation subject"/>
    <w:basedOn w:val="CommentText"/>
    <w:next w:val="CommentText"/>
    <w:link w:val="CommentSubjectChar"/>
    <w:rsid w:val="00AC17E0"/>
    <w:rPr>
      <w:b/>
      <w:bCs/>
    </w:rPr>
  </w:style>
  <w:style w:type="character" w:customStyle="1" w:styleId="CommentSubjectChar">
    <w:name w:val="Comment Subject Char"/>
    <w:basedOn w:val="CommentTextChar"/>
    <w:link w:val="CommentSubject"/>
    <w:rsid w:val="00AC17E0"/>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reg/2020/2093/oj" TargetMode="External"/><Relationship Id="rId7" Type="http://schemas.openxmlformats.org/officeDocument/2006/relationships/hyperlink" Target="http://data.europa.eu/eli/agree_interinstit/2020/1222/oj" TargetMode="External"/><Relationship Id="rId2" Type="http://schemas.openxmlformats.org/officeDocument/2006/relationships/hyperlink" Target="http://data.europa.eu/eli/reg/2026/1139/oj" TargetMode="External"/><Relationship Id="rId1" Type="http://schemas.openxmlformats.org/officeDocument/2006/relationships/hyperlink" Target="http://data.europa.eu/eli/reg/2021/691/oj" TargetMode="External"/><Relationship Id="rId6" Type="http://schemas.openxmlformats.org/officeDocument/2006/relationships/hyperlink" Target="http://data.europa.eu/eli/reg/2021/691/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s://eur-lex.europa.eu/eli/reg/2024/765/oj" TargetMode="External"/><Relationship Id="rId9"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1408</Words>
  <Characters>9396</Characters>
  <Application>Microsoft Office Word</Application>
  <DocSecurity>0</DocSecurity>
  <Lines>162</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2026-07-07T09:48:00Z</dcterms:created>
  <dcterms:modified xsi:type="dcterms:W3CDTF">2026-07-07T09:48:00Z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A10-0179/2026</vt:lpwstr>
  </property>
  <property fmtid="{D5CDD505-2E9C-101B-9397-08002B2CF9AE}" pid="4" name="&lt;Type&gt;">
    <vt:lpwstr>RR</vt:lpwstr>
  </property>
</Properties>
</file>