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7AC3" w14:paraId="60F51E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2FFAD2" w14:textId="77777777" w:rsidR="00751A4A" w:rsidRPr="00AA7AC3" w:rsidRDefault="006A6DA8" w:rsidP="0010095E">
            <w:pPr>
              <w:pStyle w:val="EPName"/>
            </w:pPr>
            <w:r w:rsidRPr="00AA7AC3">
              <w:t xml:space="preserve">Parlamento </w:t>
            </w:r>
            <w:proofErr w:type="gramStart"/>
            <w:r w:rsidRPr="00AA7AC3">
              <w:t>Europeu</w:t>
            </w:r>
            <w:proofErr w:type="gramEnd"/>
          </w:p>
          <w:p w14:paraId="2AB63583" w14:textId="77777777" w:rsidR="00751A4A" w:rsidRPr="00AA7A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7AC3">
              <w:t>2024</w:t>
            </w:r>
            <w:r w:rsidR="00817416" w:rsidRPr="00AA7AC3">
              <w:t>-202</w:t>
            </w:r>
            <w:r w:rsidRPr="00AA7AC3">
              <w:t>9</w:t>
            </w:r>
          </w:p>
        </w:tc>
        <w:tc>
          <w:tcPr>
            <w:tcW w:w="2268" w:type="dxa"/>
            <w:shd w:val="clear" w:color="auto" w:fill="auto"/>
          </w:tcPr>
          <w:p w14:paraId="2B2FB9BC" w14:textId="77777777" w:rsidR="00751A4A" w:rsidRPr="00AA7AC3" w:rsidRDefault="00187494" w:rsidP="0010095E">
            <w:pPr>
              <w:pStyle w:val="EPLogo"/>
            </w:pPr>
            <w:r w:rsidRPr="00AA7AC3">
              <w:rPr>
                <w:noProof/>
                <w:lang w:eastAsia="ja-JP"/>
              </w:rPr>
              <w:drawing>
                <wp:inline distT="0" distB="0" distL="0" distR="0" wp14:anchorId="50D34181" wp14:editId="5384E3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97D12E" w14:textId="77777777" w:rsidR="00D058B8" w:rsidRPr="00AA7AC3" w:rsidRDefault="00D058B8" w:rsidP="004C5D52">
      <w:pPr>
        <w:pStyle w:val="LineTop"/>
      </w:pPr>
    </w:p>
    <w:p w14:paraId="79409272" w14:textId="77777777" w:rsidR="00680577" w:rsidRPr="00AA7AC3" w:rsidRDefault="006A6DA8" w:rsidP="00680577">
      <w:pPr>
        <w:pStyle w:val="EPBodyTA1"/>
      </w:pPr>
      <w:r w:rsidRPr="00AA7AC3">
        <w:t>TEXTOS APROVADOS</w:t>
      </w:r>
    </w:p>
    <w:p w14:paraId="3D3F1D38" w14:textId="77777777" w:rsidR="00D058B8" w:rsidRPr="00AA7AC3" w:rsidRDefault="00D058B8" w:rsidP="00D058B8">
      <w:pPr>
        <w:pStyle w:val="LineBottom"/>
      </w:pPr>
    </w:p>
    <w:p w14:paraId="3950C649" w14:textId="22D722BA" w:rsidR="006A6DA8" w:rsidRPr="00AA7AC3" w:rsidRDefault="006A6DA8" w:rsidP="006A6DA8">
      <w:pPr>
        <w:pStyle w:val="ATHeading1"/>
      </w:pPr>
      <w:bookmarkStart w:id="0" w:name="TANumber"/>
      <w:r w:rsidRPr="00AA7AC3">
        <w:t>P10_TA(2026)0</w:t>
      </w:r>
      <w:bookmarkEnd w:id="0"/>
      <w:r w:rsidR="00AA7AC3" w:rsidRPr="00AA7AC3">
        <w:t>243</w:t>
      </w:r>
    </w:p>
    <w:p w14:paraId="6AD3A94C" w14:textId="77777777" w:rsidR="006A6DA8" w:rsidRPr="00AA7AC3" w:rsidRDefault="006A6DA8" w:rsidP="006A6DA8">
      <w:pPr>
        <w:pStyle w:val="ATHeading2"/>
      </w:pPr>
      <w:bookmarkStart w:id="1" w:name="title"/>
      <w:r w:rsidRPr="00AA7AC3">
        <w:t>Mobilização do Fundo Europeu de Ajustamento à Globalização: candidatura EGF/2026/000 TA 2026 — assistência técnica por iniciativa da Comissão</w:t>
      </w:r>
      <w:bookmarkEnd w:id="1"/>
    </w:p>
    <w:p w14:paraId="5512AD16" w14:textId="77777777" w:rsidR="006A6DA8" w:rsidRPr="00AA7AC3" w:rsidRDefault="006A6DA8" w:rsidP="006A6DA8">
      <w:pPr>
        <w:rPr>
          <w:i/>
          <w:vanish/>
        </w:rPr>
      </w:pPr>
      <w:r w:rsidRPr="00AA7AC3">
        <w:rPr>
          <w:i/>
        </w:rPr>
        <w:fldChar w:fldCharType="begin"/>
      </w:r>
      <w:r w:rsidRPr="00AA7AC3">
        <w:rPr>
          <w:i/>
        </w:rPr>
        <w:instrText xml:space="preserve"> TC"(</w:instrText>
      </w:r>
      <w:bookmarkStart w:id="2" w:name="DocNumber"/>
      <w:r w:rsidRPr="00AA7AC3">
        <w:rPr>
          <w:i/>
        </w:rPr>
        <w:instrText>A10-0179/2026</w:instrText>
      </w:r>
      <w:bookmarkEnd w:id="2"/>
      <w:r w:rsidRPr="00AA7AC3">
        <w:rPr>
          <w:i/>
        </w:rPr>
        <w:instrText xml:space="preserve"> - Relatora: </w:instrText>
      </w:r>
      <w:proofErr w:type="spellStart"/>
      <w:r w:rsidRPr="00AA7AC3">
        <w:rPr>
          <w:i/>
        </w:rPr>
        <w:instrText>Lucia</w:instrText>
      </w:r>
      <w:proofErr w:type="spellEnd"/>
      <w:r w:rsidRPr="00AA7AC3">
        <w:rPr>
          <w:i/>
        </w:rPr>
        <w:instrText xml:space="preserve"> </w:instrText>
      </w:r>
      <w:proofErr w:type="spellStart"/>
      <w:r w:rsidRPr="00AA7AC3">
        <w:rPr>
          <w:i/>
        </w:rPr>
        <w:instrText>Yar</w:instrText>
      </w:r>
      <w:proofErr w:type="spellEnd"/>
      <w:r w:rsidRPr="00AA7AC3">
        <w:rPr>
          <w:i/>
        </w:rPr>
        <w:instrText xml:space="preserve">)"\l3 \n&gt; \* MERGEFORMAT </w:instrText>
      </w:r>
      <w:r w:rsidRPr="00AA7AC3">
        <w:rPr>
          <w:i/>
        </w:rPr>
        <w:fldChar w:fldCharType="end"/>
      </w:r>
    </w:p>
    <w:p w14:paraId="48871529" w14:textId="77777777" w:rsidR="006A6DA8" w:rsidRPr="00AA7AC3" w:rsidRDefault="006A6DA8" w:rsidP="006A6DA8">
      <w:pPr>
        <w:rPr>
          <w:vanish/>
        </w:rPr>
      </w:pPr>
      <w:bookmarkStart w:id="3" w:name="Commission"/>
      <w:r w:rsidRPr="00AA7AC3">
        <w:rPr>
          <w:vanish/>
        </w:rPr>
        <w:t>Comissão dos Orçamentos</w:t>
      </w:r>
      <w:bookmarkEnd w:id="3"/>
    </w:p>
    <w:p w14:paraId="01439C84" w14:textId="77777777" w:rsidR="006A6DA8" w:rsidRPr="00AA7AC3" w:rsidRDefault="006A6DA8" w:rsidP="006A6DA8">
      <w:pPr>
        <w:rPr>
          <w:vanish/>
        </w:rPr>
      </w:pPr>
      <w:bookmarkStart w:id="4" w:name="PE"/>
      <w:r w:rsidRPr="00AA7AC3">
        <w:rPr>
          <w:vanish/>
        </w:rPr>
        <w:t>PE789.086</w:t>
      </w:r>
      <w:bookmarkEnd w:id="4"/>
    </w:p>
    <w:p w14:paraId="144AFA30" w14:textId="45829663" w:rsidR="006A6DA8" w:rsidRPr="00AA7AC3" w:rsidRDefault="006A6DA8" w:rsidP="006A6DA8">
      <w:pPr>
        <w:pStyle w:val="ATHeading3"/>
      </w:pPr>
      <w:bookmarkStart w:id="5" w:name="Sujet"/>
      <w:r w:rsidRPr="00AA7AC3">
        <w:t xml:space="preserve">Resolução do Parlamento Europeu, de </w:t>
      </w:r>
      <w:r w:rsidR="004312B8" w:rsidRPr="00AA7AC3">
        <w:t>7</w:t>
      </w:r>
      <w:r w:rsidRPr="00AA7AC3">
        <w:t xml:space="preserve"> de </w:t>
      </w:r>
      <w:r w:rsidR="004312B8" w:rsidRPr="00AA7AC3">
        <w:t>julho</w:t>
      </w:r>
      <w:r w:rsidRPr="00AA7AC3">
        <w:t xml:space="preserve"> de 2026, sobre a proposta de decisão do Parlamento Europeu e do Conselho relativa à mobilização</w:t>
      </w:r>
      <w:r w:rsidR="00850531" w:rsidRPr="00AA7AC3">
        <w:t>, por iniciativa da Comissão,</w:t>
      </w:r>
      <w:r w:rsidRPr="00AA7AC3">
        <w:t xml:space="preserve"> do Fundo Europeu de Ajustamento à Globalização a favor dos Trabalhadores Despedidos(EGF/2026/000 TA 2026 — Assistência técnica)</w:t>
      </w:r>
      <w:bookmarkEnd w:id="5"/>
      <w:r w:rsidRPr="00AA7AC3">
        <w:t xml:space="preserve"> </w:t>
      </w:r>
      <w:bookmarkStart w:id="6" w:name="References"/>
      <w:r w:rsidRPr="00AA7AC3">
        <w:t>(COM(2026)0360 – C10-0124/2026 – 2026/0126(BUD))</w:t>
      </w:r>
      <w:bookmarkEnd w:id="6"/>
    </w:p>
    <w:p w14:paraId="5395D959" w14:textId="77777777" w:rsidR="004A737A" w:rsidRPr="00AA7AC3" w:rsidRDefault="004A737A" w:rsidP="004A737A">
      <w:pPr>
        <w:pStyle w:val="EPComma"/>
        <w:rPr>
          <w:noProof/>
        </w:rPr>
      </w:pPr>
      <w:r w:rsidRPr="00AA7AC3">
        <w:rPr>
          <w:i/>
          <w:iCs/>
        </w:rPr>
        <w:t>O Parlamento Europeu</w:t>
      </w:r>
      <w:r w:rsidRPr="00AA7AC3">
        <w:t>,</w:t>
      </w:r>
    </w:p>
    <w:p w14:paraId="36C00014" w14:textId="7664E514" w:rsidR="004A737A" w:rsidRPr="00AA7AC3" w:rsidRDefault="004A737A" w:rsidP="004A737A">
      <w:pPr>
        <w:pStyle w:val="NormalHanging12a"/>
        <w:rPr>
          <w:noProof/>
        </w:rPr>
      </w:pPr>
      <w:r w:rsidRPr="00AA7AC3">
        <w:t>–</w:t>
      </w:r>
      <w:r w:rsidRPr="00AA7AC3">
        <w:tab/>
        <w:t>Tendo em conta a proposta da Comissão ao Parlamento e ao Conselho (COM(2026)0360 – C10</w:t>
      </w:r>
      <w:r w:rsidRPr="00AA7AC3">
        <w:noBreakHyphen/>
        <w:t>0124/2026),</w:t>
      </w:r>
    </w:p>
    <w:p w14:paraId="7ECFC372" w14:textId="77777777" w:rsidR="004A737A" w:rsidRPr="00AA7AC3" w:rsidRDefault="004A737A" w:rsidP="004A737A">
      <w:pPr>
        <w:pStyle w:val="NormalHanging12a"/>
        <w:rPr>
          <w:noProof/>
        </w:rPr>
      </w:pPr>
      <w:bookmarkStart w:id="7" w:name="_Hlk230701067"/>
      <w:r w:rsidRPr="00AA7AC3">
        <w:t>–</w:t>
      </w:r>
      <w:r w:rsidRPr="00AA7AC3">
        <w:tab/>
        <w:t>Tendo em conta o Regulamento (UE) 2021/691 do Parlamento Europeu e do Conselho, de 28 de abril de 2021, relativo ao Fundo Europeu de Ajustamento à Globalização a favor dos Trabalhadores Despedidos (FEG) e que revoga o Regulamento (UE) n.º 1309/2013</w:t>
      </w:r>
      <w:r w:rsidRPr="00AA7AC3">
        <w:rPr>
          <w:rStyle w:val="FootnoteReference"/>
        </w:rPr>
        <w:footnoteReference w:id="1"/>
      </w:r>
      <w:r w:rsidRPr="00AA7AC3">
        <w:t xml:space="preserve"> («Regulamento FEG»), com a redação que lhe foi dada pelo Regulamento (UE) 2026/1139</w:t>
      </w:r>
      <w:r w:rsidRPr="00AA7AC3">
        <w:rPr>
          <w:rStyle w:val="FootnoteReference"/>
          <w:noProof/>
        </w:rPr>
        <w:footnoteReference w:id="2"/>
      </w:r>
      <w:r w:rsidRPr="00AA7AC3">
        <w:t>,</w:t>
      </w:r>
    </w:p>
    <w:bookmarkEnd w:id="7"/>
    <w:p w14:paraId="0389F7DC" w14:textId="77777777" w:rsidR="004A737A" w:rsidRPr="00AA7AC3" w:rsidRDefault="004A737A" w:rsidP="004A737A">
      <w:pPr>
        <w:pStyle w:val="NormalHanging12a"/>
        <w:rPr>
          <w:noProof/>
        </w:rPr>
      </w:pPr>
      <w:r w:rsidRPr="00AA7AC3">
        <w:t>–</w:t>
      </w:r>
      <w:r w:rsidRPr="00AA7AC3">
        <w:tab/>
        <w:t>Tendo em conta o Regulamento (UE, Euratom) 2020/2093 do Conselho, de 17 de dezembro de 2020, que estabelece o quadro financeiro plurianual para o período de 2021 a 2027</w:t>
      </w:r>
      <w:r w:rsidRPr="00AA7AC3">
        <w:rPr>
          <w:rStyle w:val="FootnoteReference"/>
          <w:snapToGrid w:val="0"/>
        </w:rPr>
        <w:footnoteReference w:id="3"/>
      </w:r>
      <w:r w:rsidRPr="00AA7AC3">
        <w:t>, com a redação que lhe foi dada pelo Regulamento (UE, Euratom) 2024/765</w:t>
      </w:r>
      <w:r w:rsidRPr="00AA7AC3">
        <w:rPr>
          <w:rStyle w:val="FootnoteReference"/>
          <w:snapToGrid w:val="0"/>
          <w:bdr w:val="none" w:sz="0" w:space="0" w:color="auto" w:frame="1"/>
        </w:rPr>
        <w:footnoteReference w:id="4"/>
      </w:r>
      <w:r w:rsidRPr="00AA7AC3">
        <w:t>, nomeadamente o seu artigo 8.º,</w:t>
      </w:r>
    </w:p>
    <w:p w14:paraId="5EF667BF" w14:textId="77777777" w:rsidR="004A737A" w:rsidRPr="00AA7AC3" w:rsidRDefault="004A737A" w:rsidP="004A737A">
      <w:pPr>
        <w:pStyle w:val="NormalHanging12a"/>
        <w:rPr>
          <w:noProof/>
        </w:rPr>
      </w:pPr>
      <w:r w:rsidRPr="00AA7AC3">
        <w:t>–</w:t>
      </w:r>
      <w:r w:rsidRPr="00AA7AC3">
        <w:tab/>
        <w:t xml:space="preserve">Tendo em conta o Acordo Interinstitucional de 16 de dezembro de 2020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AA7AC3">
        <w:lastRenderedPageBreak/>
        <w:t>novos recursos próprios</w:t>
      </w:r>
      <w:r w:rsidRPr="00AA7AC3">
        <w:rPr>
          <w:rStyle w:val="FootnoteReference"/>
          <w:noProof/>
        </w:rPr>
        <w:footnoteReference w:id="5"/>
      </w:r>
      <w:r w:rsidRPr="00AA7AC3">
        <w:t>, em especial o ponto 9,</w:t>
      </w:r>
    </w:p>
    <w:p w14:paraId="2DF6E666" w14:textId="77777777" w:rsidR="004A737A" w:rsidRPr="00AA7AC3" w:rsidRDefault="004A737A" w:rsidP="004A737A">
      <w:pPr>
        <w:pStyle w:val="NormalHanging12a"/>
      </w:pPr>
      <w:r w:rsidRPr="00AA7AC3">
        <w:t>–</w:t>
      </w:r>
      <w:r w:rsidRPr="00AA7AC3">
        <w:tab/>
        <w:t>Tendo em conta o relatório da Comissão dos Orçamentos (A10</w:t>
      </w:r>
      <w:r w:rsidRPr="00AA7AC3">
        <w:noBreakHyphen/>
        <w:t>0179/2026),</w:t>
      </w:r>
    </w:p>
    <w:p w14:paraId="73F1B2FD" w14:textId="57AE05DA" w:rsidR="004A737A" w:rsidRPr="00AA7AC3" w:rsidRDefault="004A737A" w:rsidP="004A737A">
      <w:pPr>
        <w:pStyle w:val="NormalHanging12a"/>
        <w:rPr>
          <w:noProof/>
        </w:rPr>
      </w:pPr>
      <w:r w:rsidRPr="00AA7AC3">
        <w:t>A.</w:t>
      </w:r>
      <w:r w:rsidRPr="00AA7AC3">
        <w:tab/>
        <w:t>Considerando que a União criou instrumentos legislativos e orçamentais para prestar um apoio complementar aos trabalhadores afetados pelas consequências de importantes mudanças e acontecimentos com efeitos estruturais nos padrões do comércio mundial, ou em risco iminente de despedimento numa empresa em processo de reestruturação, e ainda para promover a sua reintegração no mercado de trabalho ou a sua transição profissional</w:t>
      </w:r>
      <w:r w:rsidR="004312B8" w:rsidRPr="00AA7AC3">
        <w:t>; considerando que</w:t>
      </w:r>
      <w:r w:rsidRPr="00AA7AC3">
        <w:t xml:space="preserve"> esta assistência é prestada através de um apoio financeiro concedido aos trabalhadores;</w:t>
      </w:r>
    </w:p>
    <w:p w14:paraId="1A6C8F3F" w14:textId="77777777" w:rsidR="004A737A" w:rsidRPr="00AA7AC3" w:rsidRDefault="004A737A" w:rsidP="004A737A">
      <w:pPr>
        <w:pStyle w:val="NormalHanging12a"/>
      </w:pPr>
      <w:r w:rsidRPr="00AA7AC3">
        <w:t>B.</w:t>
      </w:r>
      <w:r w:rsidRPr="00AA7AC3">
        <w:tab/>
        <w:t>Considerando que as contribuições financeiras do FEG se devem destinar principalmente a medidas estratégicas ativas do mercado de trabalho e a serviços personalizados que visem reintegrar rapidamente os beneficiários no mercado de trabalho ou apoiar a sua transição profissional;</w:t>
      </w:r>
    </w:p>
    <w:p w14:paraId="51C016C3" w14:textId="77777777" w:rsidR="004A737A" w:rsidRPr="00AA7AC3" w:rsidRDefault="004A737A" w:rsidP="004A737A">
      <w:pPr>
        <w:pStyle w:val="NormalHanging12a"/>
      </w:pPr>
      <w:r w:rsidRPr="00AA7AC3">
        <w:t>C.</w:t>
      </w:r>
      <w:r w:rsidRPr="00AA7AC3">
        <w:tab/>
        <w:t xml:space="preserve">Considerando que, nos termos do artigo 11.º, n.º 1, do Regulamento FEG, até 1,5 % do montante anual máximo do FEG pode ser disponibilizado para assistência técnica por iniciativa da Comissão; </w:t>
      </w:r>
    </w:p>
    <w:p w14:paraId="51361D7E" w14:textId="1499CDC6" w:rsidR="004A737A" w:rsidRPr="00AA7AC3" w:rsidRDefault="004A737A" w:rsidP="004A737A">
      <w:pPr>
        <w:pStyle w:val="NormalHanging12a"/>
        <w:rPr>
          <w:color w:val="000000"/>
          <w:bdr w:val="none" w:sz="0" w:space="0" w:color="auto" w:frame="1"/>
        </w:rPr>
      </w:pPr>
      <w:r w:rsidRPr="00AA7AC3">
        <w:t>D.</w:t>
      </w:r>
      <w:r w:rsidRPr="00AA7AC3">
        <w:tab/>
      </w:r>
      <w:r w:rsidRPr="00AA7AC3">
        <w:rPr>
          <w:color w:val="000000"/>
          <w:bdr w:val="none" w:sz="0" w:space="0" w:color="auto" w:frame="1"/>
        </w:rPr>
        <w:t xml:space="preserve">Considerando que a assistência técnica pode consistir em despesas técnicas e administrativas na execução do FEG, </w:t>
      </w:r>
      <w:r w:rsidR="00850531" w:rsidRPr="00AA7AC3">
        <w:rPr>
          <w:color w:val="000000"/>
          <w:bdr w:val="none" w:sz="0" w:space="0" w:color="auto" w:frame="1"/>
        </w:rPr>
        <w:t>designadamente</w:t>
      </w:r>
      <w:r w:rsidRPr="00AA7AC3">
        <w:rPr>
          <w:color w:val="000000"/>
          <w:bdr w:val="none" w:sz="0" w:space="0" w:color="auto" w:frame="1"/>
        </w:rPr>
        <w:t>, para atividades de preparação, acompanhamento, controlo, auditoria e avaliação, bem como para recolha de dados, atividades de comunicação e outras que reforcem a notoriedade do FEG como fundo ou para determinados projetos e outras medidas de assistência técnica</w:t>
      </w:r>
      <w:r w:rsidR="004312B8" w:rsidRPr="00AA7AC3">
        <w:rPr>
          <w:color w:val="000000"/>
          <w:bdr w:val="none" w:sz="0" w:space="0" w:color="auto" w:frame="1"/>
        </w:rPr>
        <w:t>; considerando que</w:t>
      </w:r>
      <w:r w:rsidRPr="00AA7AC3">
        <w:rPr>
          <w:color w:val="000000"/>
          <w:bdr w:val="none" w:sz="0" w:space="0" w:color="auto" w:frame="1"/>
        </w:rPr>
        <w:t xml:space="preserve"> a assistência técnica inclui a prestação de informação e orientações aos Estados</w:t>
      </w:r>
      <w:r w:rsidRPr="00AA7AC3">
        <w:rPr>
          <w:color w:val="000000"/>
          <w:bdr w:val="none" w:sz="0" w:space="0" w:color="auto" w:frame="1"/>
        </w:rPr>
        <w:noBreakHyphen/>
        <w:t>Membros e aos parceiros sociais sobre o FEG, bem como ações específicas de sensibilização dos Estados</w:t>
      </w:r>
      <w:r w:rsidRPr="00AA7AC3">
        <w:rPr>
          <w:color w:val="000000"/>
          <w:bdr w:val="none" w:sz="0" w:space="0" w:color="auto" w:frame="1"/>
        </w:rPr>
        <w:noBreakHyphen/>
        <w:t>Membros que não têm recorrido ou têm recorrido pouco ao apoio do FEG</w:t>
      </w:r>
      <w:r w:rsidR="004312B8" w:rsidRPr="00AA7AC3">
        <w:rPr>
          <w:color w:val="000000"/>
          <w:bdr w:val="none" w:sz="0" w:space="0" w:color="auto" w:frame="1"/>
        </w:rPr>
        <w:t>; considerando que</w:t>
      </w:r>
      <w:r w:rsidRPr="00AA7AC3">
        <w:t xml:space="preserve"> as atividades de assistência técnica devem contribuir para melhorar a eficácia, a acessibilidade e a visibilidade do FEG, com especial destaque para os resultados mensuráveis, a simplificação administrativa e a execução orientada para o utilizador em prol dos Estados</w:t>
      </w:r>
      <w:r w:rsidRPr="00AA7AC3">
        <w:noBreakHyphen/>
        <w:t>Membros e dos beneficiários</w:t>
      </w:r>
      <w:r w:rsidR="004312B8" w:rsidRPr="00AA7AC3">
        <w:t>; considerando que</w:t>
      </w:r>
      <w:r w:rsidRPr="00AA7AC3">
        <w:t xml:space="preserve"> vários Estados</w:t>
      </w:r>
      <w:r w:rsidRPr="00AA7AC3">
        <w:noBreakHyphen/>
        <w:t>Membros ainda não recorreram ao FEG, apesar de se depararem com processos de restruturação e insolvências comparáveis aos vividos em Estados</w:t>
      </w:r>
      <w:r w:rsidRPr="00AA7AC3">
        <w:noBreakHyphen/>
        <w:t>Membros beneficiários</w:t>
      </w:r>
      <w:r w:rsidR="004312B8" w:rsidRPr="00AA7AC3">
        <w:t>; considerando que</w:t>
      </w:r>
      <w:r w:rsidRPr="00AA7AC3">
        <w:t xml:space="preserve"> atividades específicas de sensibilização e de divulgação são, por isso, necessárias para assegurar a igualdade de acesso às oportunidades proporcionadas pelo FEG em toda a União;</w:t>
      </w:r>
    </w:p>
    <w:p w14:paraId="24163EC5" w14:textId="6B77EFEE" w:rsidR="004A737A" w:rsidRPr="00AA7AC3" w:rsidRDefault="004A737A" w:rsidP="004A737A">
      <w:pPr>
        <w:pStyle w:val="NormalHanging12a"/>
      </w:pPr>
      <w:r w:rsidRPr="00AA7AC3">
        <w:t>E.</w:t>
      </w:r>
      <w:r w:rsidRPr="00AA7AC3">
        <w:tab/>
        <w:t>Considerando que o montante proposto de 210 000 EUR corresponde a cerca de 0,60 % do orçamento anual máximo disponível para o FEG em 2026;  que o FEG presta um apoio importante aos trabalhadores afetados por reestruturações e despedimentos</w:t>
      </w:r>
      <w:r w:rsidR="004312B8" w:rsidRPr="00AA7AC3">
        <w:t>; considerando que</w:t>
      </w:r>
      <w:r w:rsidRPr="00AA7AC3">
        <w:t xml:space="preserve"> uma economia europeia competitiva, a redução dos encargos administrativos e um ambiente empresarial propício ao investimento e à inovação continuam a ser essenciais para preservar empregos de qualidade e reduzir o número de trabalhadores que precisam de apoio ao abrigo do FEG;</w:t>
      </w:r>
    </w:p>
    <w:p w14:paraId="0472D6CC" w14:textId="733C76D8" w:rsidR="004A737A" w:rsidRPr="00AA7AC3" w:rsidRDefault="004A737A" w:rsidP="004A737A">
      <w:pPr>
        <w:pStyle w:val="NormalHanging12a"/>
      </w:pPr>
      <w:r w:rsidRPr="00AA7AC3">
        <w:t>1.</w:t>
      </w:r>
      <w:r w:rsidRPr="00AA7AC3">
        <w:tab/>
      </w:r>
      <w:r w:rsidRPr="00AA7AC3">
        <w:rPr>
          <w:bdr w:val="none" w:sz="0" w:space="0" w:color="auto" w:frame="1"/>
        </w:rPr>
        <w:t xml:space="preserve">Concorda com a mobilização de 210 000 EUR e que as medidas propostas pela Comissão sejam financiadas a título de assistência técnica nos termos do artigo 11.º, </w:t>
      </w:r>
      <w:r w:rsidRPr="00AA7AC3">
        <w:rPr>
          <w:bdr w:val="none" w:sz="0" w:space="0" w:color="auto" w:frame="1"/>
        </w:rPr>
        <w:lastRenderedPageBreak/>
        <w:t>n.</w:t>
      </w:r>
      <w:r w:rsidRPr="00AA7AC3">
        <w:rPr>
          <w:bdr w:val="none" w:sz="0" w:space="0" w:color="auto" w:frame="1"/>
          <w:vertAlign w:val="superscript"/>
        </w:rPr>
        <w:t>os</w:t>
      </w:r>
      <w:r w:rsidRPr="00AA7AC3">
        <w:rPr>
          <w:bdr w:val="none" w:sz="0" w:space="0" w:color="auto" w:frame="1"/>
        </w:rPr>
        <w:t> 1 e 4, e do artigo 12.º, n.</w:t>
      </w:r>
      <w:r w:rsidRPr="00AA7AC3">
        <w:rPr>
          <w:bdr w:val="none" w:sz="0" w:space="0" w:color="auto" w:frame="1"/>
          <w:vertAlign w:val="superscript"/>
        </w:rPr>
        <w:t>os</w:t>
      </w:r>
      <w:r w:rsidRPr="00AA7AC3">
        <w:rPr>
          <w:bdr w:val="none" w:sz="0" w:space="0" w:color="auto" w:frame="1"/>
        </w:rPr>
        <w:t> 2, 3 e 4, do Regulamento FEG;</w:t>
      </w:r>
      <w:r w:rsidRPr="00AA7AC3">
        <w:t xml:space="preserve"> salienta que as despesas de assistência técnica devem continuar a ser proporcionadas, eficientes e centradas em atividades que melhorem comprovadamente o acesso ao apoio aos trabalhadores despedidos e a eficácia global do FEG;</w:t>
      </w:r>
    </w:p>
    <w:p w14:paraId="44A711AC" w14:textId="77777777" w:rsidR="004A737A" w:rsidRPr="00AA7AC3" w:rsidRDefault="004A737A" w:rsidP="004A737A">
      <w:pPr>
        <w:spacing w:after="240"/>
        <w:ind w:left="567" w:hanging="567"/>
      </w:pPr>
      <w:r w:rsidRPr="00AA7AC3">
        <w:t>2.</w:t>
      </w:r>
      <w:r w:rsidRPr="00AA7AC3">
        <w:tab/>
        <w:t>Toma nota de que a Comissão utilizará o orçamento disponível a título de apoio administrativo para organizar reuniões do grupo de peritos de contacto do FEG (dois membros de cada Estado</w:t>
      </w:r>
      <w:r w:rsidRPr="00AA7AC3">
        <w:noBreakHyphen/>
        <w:t>Membro) e um seminário com a participação das entidades responsáveis pela execução do FEG e dos parceiros sociais, para promover a criação de redes entre os Estados</w:t>
      </w:r>
      <w:r w:rsidRPr="00AA7AC3">
        <w:noBreakHyphen/>
        <w:t>Membros; solicita à Comissão que continue a convidar, sistematicamente, o Parlamento para essas reuniões e seminários, em conformidade com as disposições aplicáveis do Acordo</w:t>
      </w:r>
      <w:r w:rsidRPr="00AA7AC3">
        <w:noBreakHyphen/>
        <w:t>quadro sobre as relações entre o Parlamento e a Comissão;</w:t>
      </w:r>
    </w:p>
    <w:p w14:paraId="585DCAD9" w14:textId="77777777" w:rsidR="004A737A" w:rsidRPr="00AA7AC3" w:rsidRDefault="004A737A" w:rsidP="004A737A">
      <w:pPr>
        <w:pStyle w:val="NormalHanging12a"/>
        <w:rPr>
          <w:bCs/>
          <w:iCs/>
        </w:rPr>
      </w:pPr>
      <w:r w:rsidRPr="00AA7AC3">
        <w:t>3.</w:t>
      </w:r>
      <w:r w:rsidRPr="00AA7AC3">
        <w:tab/>
        <w:t xml:space="preserve">Sublinha a necessidade de reforçar a sensibilização geral para o FEG e a sua visibilidade; destaca que esse objetivo pode ser alcançado através da inclusão do FEG em várias publicações e atividades audiovisuais da Comissão, tal como previsto no artigo 11.º, n.º 1, do Regulamento FEG, e da divulgação de informações específicas às autoridades nacionais, regionais e locais, aos parceiros sociais e ao público em geral; </w:t>
      </w:r>
      <w:r w:rsidRPr="00AA7AC3">
        <w:rPr>
          <w:bdr w:val="none" w:sz="0" w:space="0" w:color="auto" w:frame="1"/>
        </w:rPr>
        <w:t>congratula</w:t>
      </w:r>
      <w:r w:rsidRPr="00AA7AC3">
        <w:rPr>
          <w:bdr w:val="none" w:sz="0" w:space="0" w:color="auto" w:frame="1"/>
        </w:rPr>
        <w:noBreakHyphen/>
        <w:t>se, neste contexto, com a manutenção do sítio Web específico do FEG e insta a Comissão a atualizá</w:t>
      </w:r>
      <w:r w:rsidRPr="00AA7AC3">
        <w:rPr>
          <w:bdr w:val="none" w:sz="0" w:space="0" w:color="auto" w:frame="1"/>
        </w:rPr>
        <w:noBreakHyphen/>
        <w:t>lo regularmente e a ampliá</w:t>
      </w:r>
      <w:r w:rsidRPr="00AA7AC3">
        <w:rPr>
          <w:bdr w:val="none" w:sz="0" w:space="0" w:color="auto" w:frame="1"/>
        </w:rPr>
        <w:noBreakHyphen/>
        <w:t>lo;</w:t>
      </w:r>
      <w:r w:rsidRPr="00AA7AC3">
        <w:t xml:space="preserve"> insta a Comissão a prestar especial atenção, nas suas atividades de sensibilização e comunicação, aos Estados</w:t>
      </w:r>
      <w:r w:rsidRPr="00AA7AC3">
        <w:noBreakHyphen/>
        <w:t>Membros que ainda não recorreram ao FEG ou que apenas o utilizaram de forma limitada, incluindo os que se deparam com processos de reestruturação e despedimentos significativos, a fim de melhorar o conhecimento do FEG e facilitar o acesso ao apoio do FEG;</w:t>
      </w:r>
    </w:p>
    <w:p w14:paraId="213BDF18" w14:textId="77777777" w:rsidR="004A737A" w:rsidRPr="00AA7AC3" w:rsidRDefault="004A737A" w:rsidP="004A737A">
      <w:pPr>
        <w:pStyle w:val="NormalHanging12a"/>
        <w:rPr>
          <w:bCs/>
          <w:iCs/>
        </w:rPr>
      </w:pPr>
      <w:r w:rsidRPr="00AA7AC3">
        <w:rPr>
          <w:bdr w:val="none" w:sz="0" w:space="0" w:color="auto" w:frame="1"/>
        </w:rPr>
        <w:t>4.</w:t>
      </w:r>
      <w:r w:rsidRPr="00AA7AC3">
        <w:rPr>
          <w:bdr w:val="none" w:sz="0" w:space="0" w:color="auto" w:frame="1"/>
        </w:rPr>
        <w:tab/>
        <w:t>Sublinha a necessidade de simplificar ainda mais o processo de candidatura ao FEG; saúda, a este respeito, a manutenção de um sistema eletrónico de intercâmbio de dados e o trabalho realizado pela Comissão em matéria de procedimentos normalizados para as candidaturas ao FEG;</w:t>
      </w:r>
      <w:r w:rsidRPr="00AA7AC3">
        <w:t xml:space="preserve">  insta a Comissão a continuar a reduzir os encargos administrativos e a encurtar o tempo entre a candidatura e a prestação de apoio aos beneficiários, assegurando simultaneamente a plena transparência e o controlo orçamental do Parlamento Europeu enquanto um dos ramos da autoridade orçamental;</w:t>
      </w:r>
    </w:p>
    <w:p w14:paraId="10EA63A7" w14:textId="77777777" w:rsidR="004A737A" w:rsidRPr="00AA7AC3" w:rsidRDefault="004A737A" w:rsidP="004A737A">
      <w:pPr>
        <w:pStyle w:val="NormalHanging12a"/>
        <w:rPr>
          <w:bCs/>
          <w:iCs/>
        </w:rPr>
      </w:pPr>
      <w:r w:rsidRPr="00AA7AC3">
        <w:t>5.</w:t>
      </w:r>
      <w:r w:rsidRPr="00AA7AC3">
        <w:tab/>
        <w:t>Salienta a importância de assegurar que os trabalhadores afetados por despedimentos coletivos, encerramentos e deslocalizações possam encontrar emprego e novas oportunidades; frisa, por conseguinte, que o FEG deve continuar a dar prioridade às medidas de formação e requalificação dos trabalhadores despedidos, oferecendo percursos de formação e qualificações que facilitem a sua reintegração no mercado de trabalho; destaca que as avaliações de impacto do FEG se devem centrar em avaliar a reintegração dos beneficiários no emprego e a eficácia da formação ministrada, a fim de melhorar e adaptar continuamente os percursos de formação e as medidas de apoio ao longo do tempo;</w:t>
      </w:r>
    </w:p>
    <w:p w14:paraId="0AFDBF89" w14:textId="77777777" w:rsidR="004A737A" w:rsidRPr="00AA7AC3" w:rsidRDefault="004A737A" w:rsidP="004A737A">
      <w:pPr>
        <w:pStyle w:val="NormalHanging12a"/>
        <w:rPr>
          <w:noProof/>
        </w:rPr>
      </w:pPr>
      <w:r w:rsidRPr="00AA7AC3">
        <w:t>6.</w:t>
      </w:r>
      <w:r w:rsidRPr="00AA7AC3">
        <w:tab/>
        <w:t>Congratula</w:t>
      </w:r>
      <w:r w:rsidRPr="00AA7AC3">
        <w:noBreakHyphen/>
        <w:t>se com as ações de sensibilização junto dos Estados</w:t>
      </w:r>
      <w:r w:rsidRPr="00AA7AC3">
        <w:noBreakHyphen/>
        <w:t>Membros, dos parceiros sociais e das empresas relativamente às alterações do Regulamento FEG, que incluem a possibilidade de prestar igualmente apoio a trabalhadores de empresas em processo de reestruturação cujo despedimento esteja iminente;</w:t>
      </w:r>
    </w:p>
    <w:p w14:paraId="43A99148" w14:textId="77777777" w:rsidR="004A737A" w:rsidRPr="00AA7AC3" w:rsidRDefault="004A737A" w:rsidP="004A737A">
      <w:pPr>
        <w:pStyle w:val="NormalHanging12a"/>
        <w:rPr>
          <w:bdr w:val="none" w:sz="0" w:space="0" w:color="auto" w:frame="1"/>
        </w:rPr>
      </w:pPr>
      <w:r w:rsidRPr="00AA7AC3">
        <w:t>7.</w:t>
      </w:r>
      <w:r w:rsidRPr="00AA7AC3">
        <w:tab/>
        <w:t xml:space="preserve">Salienta que as despesas financiadas ao abrigo da assistência técnica devem ser sujeitas a um acompanhamento rigoroso e a uma avaliação regular, a fim de assegurar uma boa </w:t>
      </w:r>
      <w:r w:rsidRPr="00AA7AC3">
        <w:lastRenderedPageBreak/>
        <w:t>gestão financeira, uma boa relação custo</w:t>
      </w:r>
      <w:r w:rsidRPr="00AA7AC3">
        <w:noBreakHyphen/>
        <w:t>eficácia e um valor acrescentado tangível para os Estados</w:t>
      </w:r>
      <w:r w:rsidRPr="00AA7AC3">
        <w:noBreakHyphen/>
        <w:t>Membros e os beneficiários; insta a Comissão a fornecer informações pormenorizadas sobre a utilização dos recursos de assistência técnica e sobre os resultados concretos alcançados através das atividades financiadas;</w:t>
      </w:r>
    </w:p>
    <w:p w14:paraId="7641C040" w14:textId="77777777" w:rsidR="004A737A" w:rsidRPr="00AA7AC3" w:rsidRDefault="004A737A" w:rsidP="004A737A">
      <w:pPr>
        <w:spacing w:after="240"/>
        <w:ind w:left="567" w:hanging="567"/>
      </w:pPr>
      <w:r w:rsidRPr="00AA7AC3">
        <w:t>8.</w:t>
      </w:r>
      <w:r w:rsidRPr="00AA7AC3">
        <w:tab/>
        <w:t>Aprova a decisão anexa à presente resolução;</w:t>
      </w:r>
    </w:p>
    <w:p w14:paraId="537957C0" w14:textId="77777777" w:rsidR="004A737A" w:rsidRPr="00AA7AC3" w:rsidRDefault="004A737A" w:rsidP="004A737A">
      <w:pPr>
        <w:spacing w:after="240"/>
        <w:ind w:left="567" w:hanging="567"/>
        <w:rPr>
          <w:bdr w:val="none" w:sz="0" w:space="0" w:color="auto" w:frame="1"/>
        </w:rPr>
      </w:pPr>
      <w:r w:rsidRPr="00AA7AC3">
        <w:t>9.</w:t>
      </w:r>
      <w:r w:rsidRPr="00AA7AC3">
        <w:tab/>
      </w:r>
      <w:r w:rsidRPr="00AA7AC3">
        <w:rPr>
          <w:bdr w:val="none" w:sz="0" w:space="0" w:color="auto" w:frame="1"/>
        </w:rPr>
        <w:t xml:space="preserve">Encarrega a sua Presidente de assinar a decisão em referência, juntamente com o Presidente do Conselho, e de prover à respetiva publicação no </w:t>
      </w:r>
      <w:r w:rsidRPr="00AA7AC3">
        <w:rPr>
          <w:i/>
          <w:bdr w:val="none" w:sz="0" w:space="0" w:color="auto" w:frame="1"/>
        </w:rPr>
        <w:t>Jornal Oficial da União Europeia</w:t>
      </w:r>
      <w:r w:rsidRPr="00AA7AC3">
        <w:rPr>
          <w:bdr w:val="none" w:sz="0" w:space="0" w:color="auto" w:frame="1"/>
        </w:rPr>
        <w:t>;</w:t>
      </w:r>
    </w:p>
    <w:p w14:paraId="71284E5E" w14:textId="77777777" w:rsidR="004A737A" w:rsidRPr="00AA7AC3" w:rsidRDefault="004A737A" w:rsidP="004A737A">
      <w:pPr>
        <w:pStyle w:val="NormalHanging12a"/>
      </w:pPr>
      <w:r w:rsidRPr="00AA7AC3">
        <w:t>10.</w:t>
      </w:r>
      <w:r w:rsidRPr="00AA7AC3">
        <w:tab/>
      </w:r>
      <w:r w:rsidRPr="00AA7AC3">
        <w:rPr>
          <w:bdr w:val="none" w:sz="0" w:space="0" w:color="auto" w:frame="1"/>
        </w:rPr>
        <w:t>Encarrega a sua Presidente de transmitir a presente resolução e o respetivo anexo ao Conselho e à Comissão.</w:t>
      </w:r>
    </w:p>
    <w:p w14:paraId="32536263" w14:textId="77777777" w:rsidR="004A737A" w:rsidRPr="00AA7AC3" w:rsidRDefault="004A737A" w:rsidP="004A737A">
      <w:pPr>
        <w:rPr>
          <w:noProof/>
        </w:rPr>
      </w:pPr>
    </w:p>
    <w:p w14:paraId="43F23BB8" w14:textId="77777777" w:rsidR="004A737A" w:rsidRPr="00AA7AC3" w:rsidRDefault="004A737A" w:rsidP="004A737A">
      <w:pPr>
        <w:pStyle w:val="PageHeading"/>
        <w:rPr>
          <w:noProof/>
        </w:rPr>
        <w:sectPr w:rsidR="004A737A" w:rsidRPr="00AA7AC3" w:rsidSect="00CB388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EE9CDD2" w14:textId="77777777" w:rsidR="004A737A" w:rsidRPr="00AA7AC3" w:rsidRDefault="004A737A" w:rsidP="004A737A">
      <w:pPr>
        <w:pStyle w:val="PageHeading"/>
        <w:rPr>
          <w:noProof/>
        </w:rPr>
      </w:pPr>
      <w:bookmarkStart w:id="8" w:name="_Toc233211566"/>
      <w:bookmarkStart w:id="9" w:name="_Toc233791890"/>
      <w:r w:rsidRPr="00AA7AC3">
        <w:lastRenderedPageBreak/>
        <w:t xml:space="preserve">ANEXO: </w:t>
      </w:r>
      <w:bookmarkEnd w:id="8"/>
      <w:r w:rsidRPr="00AA7AC3">
        <w:t>DECISÃO DO PARLAMENTO EUROPEU E DO CONSELHO</w:t>
      </w:r>
      <w:bookmarkEnd w:id="9"/>
    </w:p>
    <w:p w14:paraId="2A89D22C" w14:textId="77777777" w:rsidR="004A737A" w:rsidRPr="00AA7AC3" w:rsidRDefault="004A737A" w:rsidP="004A737A">
      <w:pPr>
        <w:pStyle w:val="NormalBold24a"/>
      </w:pPr>
      <w:r w:rsidRPr="00AA7AC3">
        <w:t>relativa à mobilização do Fundo Europeu de Ajustamento à Globalização a favor dos Trabalhadores Despedidos por iniciativa da Comissão (EGF/2026/000 TA 2026 — Assistência técnica)</w:t>
      </w:r>
    </w:p>
    <w:p w14:paraId="0450B682" w14:textId="77777777" w:rsidR="004A737A" w:rsidRPr="00AA7AC3" w:rsidRDefault="004A737A" w:rsidP="004A737A">
      <w:pPr>
        <w:pStyle w:val="Institutionquiagit"/>
        <w:tabs>
          <w:tab w:val="left" w:pos="567"/>
          <w:tab w:val="left" w:pos="1134"/>
        </w:tabs>
        <w:rPr>
          <w:noProof/>
        </w:rPr>
      </w:pPr>
      <w:r w:rsidRPr="00AA7AC3">
        <w:t>O PARLAMENTO EUROPEU E O CONSELHO DA UNIÃO EUROPEIA,</w:t>
      </w:r>
    </w:p>
    <w:p w14:paraId="27764882" w14:textId="77777777" w:rsidR="004A737A" w:rsidRPr="00AA7AC3" w:rsidRDefault="004A737A" w:rsidP="004A737A">
      <w:pPr>
        <w:tabs>
          <w:tab w:val="left" w:pos="567"/>
          <w:tab w:val="left" w:pos="1134"/>
        </w:tabs>
        <w:spacing w:before="120" w:after="120" w:line="360" w:lineRule="auto"/>
      </w:pPr>
      <w:r w:rsidRPr="00AA7AC3">
        <w:t>Tendo em conta o Tratado sobre o Funcionamento da União Europeia,</w:t>
      </w:r>
    </w:p>
    <w:p w14:paraId="7FC86E4D" w14:textId="77777777" w:rsidR="004A737A" w:rsidRPr="00AA7AC3" w:rsidRDefault="004A737A" w:rsidP="004A737A">
      <w:pPr>
        <w:tabs>
          <w:tab w:val="left" w:pos="567"/>
          <w:tab w:val="left" w:pos="1134"/>
        </w:tabs>
        <w:spacing w:before="120" w:after="120" w:line="360" w:lineRule="auto"/>
      </w:pPr>
      <w:r w:rsidRPr="00AA7AC3">
        <w:t>Tendo em conta o Regulamento (UE) 2021/691 do Parlamento Europeu e do Conselho, de 28 de abril de 2021, relativo ao Fundo Europeu de Ajustamento à Globalização a favor dos Trabalhadores Despedidos (FEG) e que revoga o Regulamento (UE) n.º 1309/2013</w:t>
      </w:r>
      <w:r w:rsidRPr="00AA7AC3">
        <w:rPr>
          <w:b/>
          <w:bCs/>
          <w:vertAlign w:val="superscript"/>
        </w:rPr>
        <w:footnoteReference w:id="6"/>
      </w:r>
      <w:r w:rsidRPr="00AA7AC3">
        <w:t>, nomeadamente o artigo 15.º, n.º 1, primeiro parágrafo,</w:t>
      </w:r>
    </w:p>
    <w:p w14:paraId="473C8053" w14:textId="77777777" w:rsidR="004A737A" w:rsidRPr="00AA7AC3" w:rsidRDefault="004A737A" w:rsidP="004A737A">
      <w:pPr>
        <w:tabs>
          <w:tab w:val="left" w:pos="567"/>
          <w:tab w:val="left" w:pos="1134"/>
        </w:tabs>
        <w:spacing w:before="120" w:after="120" w:line="360" w:lineRule="auto"/>
      </w:pPr>
      <w:r w:rsidRPr="00AA7AC3">
        <w:t>Tendo em conta o Acordo Interinstitucional, de 16 de dezembro de 2020, entre o Parlamento Europeu, o Conselho da União Europeia e a Comissão Europeia sobre a disciplina orçamental, a cooperação em matéria orçamental e a boa gestão financeira, bem como sobre os novos recursos próprios, incluindo um roteiro para a introdução de novos recursos próprios</w:t>
      </w:r>
      <w:r w:rsidRPr="00AA7AC3">
        <w:rPr>
          <w:b/>
          <w:bCs/>
          <w:vertAlign w:val="superscript"/>
        </w:rPr>
        <w:footnoteReference w:id="7"/>
      </w:r>
      <w:r w:rsidRPr="00AA7AC3">
        <w:t>, em especial o ponto 9,</w:t>
      </w:r>
    </w:p>
    <w:p w14:paraId="4E191CDB" w14:textId="77777777" w:rsidR="004A737A" w:rsidRPr="00AA7AC3" w:rsidRDefault="004A737A" w:rsidP="004A737A">
      <w:pPr>
        <w:tabs>
          <w:tab w:val="left" w:pos="567"/>
          <w:tab w:val="left" w:pos="1134"/>
        </w:tabs>
        <w:spacing w:before="120" w:after="120" w:line="360" w:lineRule="auto"/>
        <w:rPr>
          <w:noProof/>
        </w:rPr>
      </w:pPr>
      <w:r w:rsidRPr="00AA7AC3">
        <w:t>Tendo em conta a proposta da Comissão Europeia,</w:t>
      </w:r>
    </w:p>
    <w:p w14:paraId="3474EEC7" w14:textId="77777777" w:rsidR="004A737A" w:rsidRPr="00AA7AC3" w:rsidRDefault="004A737A" w:rsidP="004A737A">
      <w:pPr>
        <w:tabs>
          <w:tab w:val="left" w:pos="567"/>
          <w:tab w:val="left" w:pos="1134"/>
        </w:tabs>
      </w:pPr>
      <w:r w:rsidRPr="00AA7AC3">
        <w:br w:type="page"/>
      </w:r>
      <w:r w:rsidRPr="00AA7AC3">
        <w:lastRenderedPageBreak/>
        <w:t>Considerando o seguinte:</w:t>
      </w:r>
    </w:p>
    <w:p w14:paraId="618307D8" w14:textId="3BCE1900" w:rsidR="004A737A" w:rsidRPr="00AA7AC3" w:rsidRDefault="004A737A" w:rsidP="004A737A">
      <w:pPr>
        <w:pStyle w:val="ManualConsidrant"/>
        <w:tabs>
          <w:tab w:val="left" w:pos="567"/>
          <w:tab w:val="left" w:pos="1134"/>
        </w:tabs>
        <w:ind w:left="567" w:hanging="567"/>
        <w:rPr>
          <w:noProof/>
        </w:rPr>
      </w:pPr>
      <w:r w:rsidRPr="00AA7AC3">
        <w:t>(1)</w:t>
      </w:r>
      <w:r w:rsidRPr="00AA7AC3">
        <w:tab/>
        <w:t xml:space="preserve">O </w:t>
      </w:r>
      <w:r w:rsidR="007A3439" w:rsidRPr="00AA7AC3">
        <w:t xml:space="preserve">Fundo Europeu de Ajustamento à Globalização a favor dos Trabalhadores Despedidos (FEG) visa demonstrar solidariedade e promover o emprego digno e sustentável na União, prestando apoio aos trabalhadores despedidos e aos trabalhadores independentes cuja atividade tenha cessado em caso de grandes processos de reestruturação e ajudando-os a regressar a um emprego digno e sustentável o mais rapidamente possível. </w:t>
      </w:r>
    </w:p>
    <w:p w14:paraId="7AD0DFDA" w14:textId="77777777" w:rsidR="004A737A" w:rsidRPr="00AA7AC3" w:rsidRDefault="004A737A" w:rsidP="004A737A">
      <w:pPr>
        <w:pStyle w:val="ManualConsidrant"/>
        <w:ind w:left="567" w:hanging="567"/>
      </w:pPr>
      <w:r w:rsidRPr="00AA7AC3">
        <w:t>(2)</w:t>
      </w:r>
      <w:r w:rsidRPr="00AA7AC3">
        <w:tab/>
        <w:t>A intervenção do FEG não pode exceder o montante anual máximo de 30 milhões de EUR (a preços de 2018), conforme disposto no artigo 8.º do Regulamento (UE, Euratom) 2020/2093 do Conselho</w:t>
      </w:r>
      <w:r w:rsidRPr="00AA7AC3">
        <w:rPr>
          <w:b/>
          <w:bCs/>
          <w:vertAlign w:val="superscript"/>
        </w:rPr>
        <w:footnoteReference w:id="8"/>
      </w:r>
      <w:r w:rsidRPr="00AA7AC3">
        <w:t>, com a redação que lhe foi dada pelo Regulamento (UE, Euratom) 2024/765 do Conselho</w:t>
      </w:r>
      <w:r w:rsidRPr="00AA7AC3">
        <w:rPr>
          <w:b/>
          <w:bCs/>
          <w:vertAlign w:val="superscript"/>
        </w:rPr>
        <w:footnoteReference w:id="9"/>
      </w:r>
      <w:r w:rsidRPr="00AA7AC3">
        <w:t>, e no artigo 16.º do Regulamento (UE) 2021/691.</w:t>
      </w:r>
    </w:p>
    <w:p w14:paraId="3A28AE19" w14:textId="77777777" w:rsidR="004A737A" w:rsidRPr="00AA7AC3" w:rsidRDefault="004A737A" w:rsidP="004A737A">
      <w:pPr>
        <w:pStyle w:val="ManualConsidrant"/>
        <w:ind w:left="567" w:hanging="567"/>
      </w:pPr>
      <w:r w:rsidRPr="00AA7AC3">
        <w:t>(3)</w:t>
      </w:r>
      <w:r w:rsidRPr="00AA7AC3">
        <w:tab/>
        <w:t>O Regulamento (UE) 2021/691 estabelece que um máximo de 1,5 % do montante anual máximo do FEG pode ser usado anualmente para efeitos de assistência técnica, por iniciativa da Comissão.</w:t>
      </w:r>
    </w:p>
    <w:p w14:paraId="45ABD152" w14:textId="77777777" w:rsidR="004A737A" w:rsidRPr="00AA7AC3" w:rsidRDefault="004A737A" w:rsidP="004A737A">
      <w:pPr>
        <w:pStyle w:val="ManualConsidrant"/>
        <w:ind w:left="567" w:hanging="567"/>
        <w:rPr>
          <w:noProof/>
        </w:rPr>
      </w:pPr>
      <w:r w:rsidRPr="00AA7AC3">
        <w:t>(4)</w:t>
      </w:r>
      <w:r w:rsidRPr="00AA7AC3">
        <w:tab/>
        <w:t>Essa assistência é necessária para cumprir as obrigações relacionadas com a execução do FEG, conforme previsto no artigo 11.º do Regulamento (UE) 2021/691, em particular no que diz respeito ao acompanhamento e à recolha de dados, bem como às atividades de comunicação e às que reforçam a notoriedade do FEG.</w:t>
      </w:r>
    </w:p>
    <w:p w14:paraId="6B8A0144" w14:textId="77777777" w:rsidR="004A737A" w:rsidRPr="00AA7AC3" w:rsidRDefault="004A737A" w:rsidP="004A737A">
      <w:pPr>
        <w:pStyle w:val="ManualConsidrant"/>
        <w:ind w:left="567" w:hanging="567"/>
        <w:rPr>
          <w:noProof/>
        </w:rPr>
      </w:pPr>
      <w:r w:rsidRPr="00AA7AC3">
        <w:t>(5)</w:t>
      </w:r>
      <w:r w:rsidRPr="00AA7AC3">
        <w:tab/>
        <w:t>Por conseguinte, o FEG deverá ser mobilizado por iniciativa da Comissão a fim de disponibilizar um montante de 210 000 EUR para assistência técnica,</w:t>
      </w:r>
    </w:p>
    <w:p w14:paraId="285F7CAC" w14:textId="77777777" w:rsidR="004A737A" w:rsidRPr="00AA7AC3" w:rsidRDefault="004A737A" w:rsidP="004A737A">
      <w:pPr>
        <w:pStyle w:val="Formuledadoption"/>
        <w:tabs>
          <w:tab w:val="left" w:pos="567"/>
          <w:tab w:val="left" w:pos="1134"/>
        </w:tabs>
        <w:rPr>
          <w:noProof/>
        </w:rPr>
      </w:pPr>
      <w:r w:rsidRPr="00AA7AC3">
        <w:t>ADOTARAM A PRESENTE DECISÃO:</w:t>
      </w:r>
    </w:p>
    <w:p w14:paraId="723EACC5" w14:textId="71A82032" w:rsidR="004A737A" w:rsidRPr="00AA7AC3" w:rsidRDefault="004A737A" w:rsidP="004A737A">
      <w:pPr>
        <w:pStyle w:val="Titrearticle"/>
        <w:tabs>
          <w:tab w:val="left" w:pos="567"/>
          <w:tab w:val="left" w:pos="1134"/>
        </w:tabs>
        <w:rPr>
          <w:noProof/>
        </w:rPr>
      </w:pPr>
      <w:r w:rsidRPr="00AA7AC3">
        <w:t>Artigo 1.º</w:t>
      </w:r>
    </w:p>
    <w:p w14:paraId="6976FD0C" w14:textId="77777777" w:rsidR="004A737A" w:rsidRPr="00AA7AC3" w:rsidRDefault="004A737A" w:rsidP="004A737A">
      <w:pPr>
        <w:tabs>
          <w:tab w:val="left" w:pos="567"/>
          <w:tab w:val="left" w:pos="1134"/>
        </w:tabs>
        <w:rPr>
          <w:noProof/>
        </w:rPr>
      </w:pPr>
      <w:r w:rsidRPr="00AA7AC3">
        <w:t>No quadro do orçamento geral da União Europeia para o exercício de 2026, é mobilizado um montante de 210 000 EUR em dotações de autorização e de pagamento ao abrigo do Fundo Europeu de Ajustamento à Globalização a favor dos Trabalhadores Despedidos.</w:t>
      </w:r>
    </w:p>
    <w:p w14:paraId="14D69C64" w14:textId="77777777" w:rsidR="004A737A" w:rsidRPr="00AA7AC3" w:rsidRDefault="004A737A" w:rsidP="004A737A">
      <w:pPr>
        <w:pStyle w:val="Titrearticle"/>
        <w:tabs>
          <w:tab w:val="left" w:pos="567"/>
          <w:tab w:val="left" w:pos="1134"/>
        </w:tabs>
        <w:rPr>
          <w:noProof/>
        </w:rPr>
      </w:pPr>
      <w:r w:rsidRPr="00AA7AC3">
        <w:lastRenderedPageBreak/>
        <w:t>Artigo 2.º</w:t>
      </w:r>
    </w:p>
    <w:p w14:paraId="083A5271" w14:textId="77777777" w:rsidR="004A737A" w:rsidRPr="00AA7AC3" w:rsidRDefault="004A737A" w:rsidP="004A737A">
      <w:pPr>
        <w:keepNext/>
        <w:keepLines/>
        <w:tabs>
          <w:tab w:val="left" w:pos="567"/>
          <w:tab w:val="left" w:pos="1134"/>
        </w:tabs>
        <w:rPr>
          <w:noProof/>
        </w:rPr>
      </w:pPr>
      <w:r w:rsidRPr="00AA7AC3">
        <w:t xml:space="preserve">A presente decisão entra em vigor no dia da sua publicação no </w:t>
      </w:r>
      <w:r w:rsidRPr="00AA7AC3">
        <w:rPr>
          <w:i/>
        </w:rPr>
        <w:t>Jornal Oficial da União Europeia</w:t>
      </w:r>
      <w:r w:rsidRPr="00AA7AC3">
        <w:t>.</w:t>
      </w:r>
    </w:p>
    <w:p w14:paraId="40796FAC" w14:textId="59E81560" w:rsidR="004A737A" w:rsidRPr="00AA7AC3" w:rsidRDefault="004A737A" w:rsidP="004A737A">
      <w:pPr>
        <w:pStyle w:val="Fait"/>
        <w:tabs>
          <w:tab w:val="left" w:pos="567"/>
          <w:tab w:val="left" w:pos="1134"/>
        </w:tabs>
        <w:rPr>
          <w:noProof/>
        </w:rPr>
      </w:pPr>
      <w:r w:rsidRPr="00AA7AC3">
        <w:t xml:space="preserve">Feito em </w:t>
      </w:r>
      <w:r w:rsidR="008556EE" w:rsidRPr="00AA7AC3">
        <w:t>…</w:t>
      </w:r>
      <w:r w:rsidRPr="00AA7AC3">
        <w:t>, em</w:t>
      </w:r>
    </w:p>
    <w:p w14:paraId="0DBE0349" w14:textId="77777777" w:rsidR="004A737A" w:rsidRPr="00AA7AC3" w:rsidRDefault="004A737A" w:rsidP="004A737A">
      <w:pPr>
        <w:pStyle w:val="Institutionquisigne"/>
        <w:tabs>
          <w:tab w:val="left" w:pos="567"/>
          <w:tab w:val="left" w:pos="1134"/>
        </w:tabs>
        <w:rPr>
          <w:noProof/>
        </w:rPr>
      </w:pPr>
      <w:r w:rsidRPr="00AA7AC3">
        <w:t>Pelo Parlamento Europeu</w:t>
      </w:r>
      <w:r w:rsidRPr="00AA7AC3">
        <w:tab/>
        <w:t>Pelo Conselho</w:t>
      </w:r>
    </w:p>
    <w:p w14:paraId="4D90CD47" w14:textId="43607449" w:rsidR="00CB388B" w:rsidRPr="00AA7AC3" w:rsidRDefault="004A737A" w:rsidP="00CB388B">
      <w:pPr>
        <w:pStyle w:val="Personnequisigne"/>
        <w:tabs>
          <w:tab w:val="left" w:pos="567"/>
          <w:tab w:val="left" w:pos="1134"/>
        </w:tabs>
      </w:pPr>
      <w:r w:rsidRPr="00AA7AC3">
        <w:t>O Presidente / A Presidente</w:t>
      </w:r>
      <w:r w:rsidRPr="00AA7AC3">
        <w:tab/>
        <w:t>O Presidente / A Presidente</w:t>
      </w:r>
    </w:p>
    <w:p w14:paraId="7618274A" w14:textId="1D2D5BA2" w:rsidR="00E365E1" w:rsidRPr="00AA7AC3" w:rsidRDefault="00E365E1" w:rsidP="006A6DA8"/>
    <w:sectPr w:rsidR="00E365E1" w:rsidRPr="00AA7AC3" w:rsidSect="00CB38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61E67" w14:textId="77777777" w:rsidR="006A6DA8" w:rsidRPr="00CB388B" w:rsidRDefault="006A6DA8">
      <w:r w:rsidRPr="00CB388B">
        <w:separator/>
      </w:r>
    </w:p>
  </w:endnote>
  <w:endnote w:type="continuationSeparator" w:id="0">
    <w:p w14:paraId="2A7EE5BB" w14:textId="77777777" w:rsidR="006A6DA8" w:rsidRPr="00CB388B" w:rsidRDefault="006A6DA8">
      <w:r w:rsidRPr="00CB38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55A2C" w14:textId="77777777" w:rsidR="004A737A" w:rsidRPr="00CB388B" w:rsidRDefault="004A737A" w:rsidP="008A3A28">
    <w:pPr>
      <w:pStyle w:val="EPFooter"/>
    </w:pPr>
    <w:r w:rsidRPr="00CB388B">
      <w:t>PE</w:t>
    </w:r>
    <w:r w:rsidRPr="00CB388B">
      <w:rPr>
        <w:rStyle w:val="HideTWBExt"/>
      </w:rPr>
      <w:t>&lt;</w:t>
    </w:r>
    <w:proofErr w:type="spellStart"/>
    <w:r w:rsidRPr="00CB388B">
      <w:rPr>
        <w:rStyle w:val="HideTWBExt"/>
      </w:rPr>
      <w:t>NoPE</w:t>
    </w:r>
    <w:proofErr w:type="spellEnd"/>
    <w:r w:rsidRPr="00CB388B">
      <w:rPr>
        <w:rStyle w:val="HideTWBExt"/>
      </w:rPr>
      <w:t>&gt;</w:t>
    </w:r>
    <w:r w:rsidRPr="00CB388B">
      <w:t>789.086</w:t>
    </w:r>
    <w:r w:rsidRPr="00CB388B">
      <w:rPr>
        <w:rStyle w:val="HideTWBExt"/>
      </w:rPr>
      <w:t>&lt;/</w:t>
    </w:r>
    <w:proofErr w:type="spellStart"/>
    <w:r w:rsidRPr="00CB388B">
      <w:rPr>
        <w:rStyle w:val="HideTWBExt"/>
      </w:rPr>
      <w:t>NoPE</w:t>
    </w:r>
    <w:proofErr w:type="spellEnd"/>
    <w:r w:rsidRPr="00CB388B">
      <w:rPr>
        <w:rStyle w:val="HideTWBExt"/>
      </w:rPr>
      <w:t>&gt;&lt;Version&gt;</w:t>
    </w:r>
    <w:r w:rsidRPr="00CB388B">
      <w:t>v02</w:t>
    </w:r>
    <w:r w:rsidRPr="00CB388B">
      <w:noBreakHyphen/>
      <w:t>00</w:t>
    </w:r>
    <w:r w:rsidRPr="00CB388B">
      <w:rPr>
        <w:rStyle w:val="HideTWBExt"/>
      </w:rPr>
      <w:t>&lt;/</w:t>
    </w:r>
    <w:proofErr w:type="spellStart"/>
    <w:r w:rsidRPr="00CB388B">
      <w:rPr>
        <w:rStyle w:val="HideTWBExt"/>
      </w:rPr>
      <w:t>Version</w:t>
    </w:r>
    <w:proofErr w:type="spellEnd"/>
    <w:r w:rsidRPr="00CB388B">
      <w:rPr>
        <w:rStyle w:val="HideTWBExt"/>
      </w:rPr>
      <w:t>&gt;</w:t>
    </w:r>
    <w:r w:rsidRPr="00CB388B">
      <w:tab/>
    </w:r>
    <w:r w:rsidRPr="00CB388B">
      <w:fldChar w:fldCharType="begin"/>
    </w:r>
    <w:r w:rsidRPr="00CB388B">
      <w:instrText xml:space="preserve"> PAGE  \* MERGEFORMAT </w:instrText>
    </w:r>
    <w:r w:rsidRPr="00CB388B">
      <w:fldChar w:fldCharType="separate"/>
    </w:r>
    <w:r w:rsidRPr="00CB388B">
      <w:rPr>
        <w:noProof/>
      </w:rPr>
      <w:t>14</w:t>
    </w:r>
    <w:r w:rsidRPr="00CB388B">
      <w:fldChar w:fldCharType="end"/>
    </w:r>
    <w:r w:rsidRPr="00CB388B">
      <w:t>/</w:t>
    </w:r>
    <w:fldSimple w:instr=" NUMPAGES  \* MERGEFORMAT ">
      <w:r w:rsidRPr="00CB388B">
        <w:rPr>
          <w:noProof/>
        </w:rPr>
        <w:t>14</w:t>
      </w:r>
    </w:fldSimple>
    <w:r w:rsidRPr="00CB388B">
      <w:tab/>
    </w:r>
    <w:r w:rsidRPr="00CB388B">
      <w:rPr>
        <w:rStyle w:val="HideTWBExt"/>
      </w:rPr>
      <w:t>&lt;PathFdR&gt;</w:t>
    </w:r>
    <w:r w:rsidRPr="00CB388B">
      <w:t>RR\1346613PT.docx</w:t>
    </w:r>
    <w:r w:rsidRPr="00CB388B">
      <w:rPr>
        <w:rStyle w:val="HideTWBExt"/>
      </w:rPr>
      <w:t>&lt;/</w:t>
    </w:r>
    <w:proofErr w:type="spellStart"/>
    <w:r w:rsidRPr="00CB388B">
      <w:rPr>
        <w:rStyle w:val="HideTWBExt"/>
      </w:rPr>
      <w:t>PathFdR</w:t>
    </w:r>
    <w:proofErr w:type="spellEnd"/>
    <w:r w:rsidRPr="00CB388B">
      <w:rPr>
        <w:rStyle w:val="HideTWBExt"/>
      </w:rPr>
      <w:t>&gt;</w:t>
    </w:r>
  </w:p>
  <w:p w14:paraId="066109E7" w14:textId="77777777" w:rsidR="004A737A" w:rsidRPr="00CB388B" w:rsidRDefault="004A737A" w:rsidP="008A3A28">
    <w:pPr>
      <w:pStyle w:val="EPFooter2"/>
    </w:pPr>
    <w:r w:rsidRPr="00CB388B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8353" w14:textId="77777777" w:rsidR="004A737A" w:rsidRPr="00CB388B" w:rsidRDefault="004A737A" w:rsidP="008A3A28">
    <w:pPr>
      <w:pStyle w:val="EPFooter"/>
    </w:pPr>
    <w:r w:rsidRPr="00CB388B">
      <w:rPr>
        <w:rStyle w:val="HideTWBExt"/>
      </w:rPr>
      <w:t>&lt;PathFdR&gt;</w:t>
    </w:r>
    <w:r w:rsidRPr="00CB388B">
      <w:t>RR\1346613PT.docx</w:t>
    </w:r>
    <w:r w:rsidRPr="00CB388B">
      <w:rPr>
        <w:rStyle w:val="HideTWBExt"/>
      </w:rPr>
      <w:t>&lt;/</w:t>
    </w:r>
    <w:proofErr w:type="spellStart"/>
    <w:r w:rsidRPr="00CB388B">
      <w:rPr>
        <w:rStyle w:val="HideTWBExt"/>
      </w:rPr>
      <w:t>PathFdR</w:t>
    </w:r>
    <w:proofErr w:type="spellEnd"/>
    <w:r w:rsidRPr="00CB388B">
      <w:rPr>
        <w:rStyle w:val="HideTWBExt"/>
      </w:rPr>
      <w:t>&gt;</w:t>
    </w:r>
    <w:r w:rsidRPr="00CB388B">
      <w:tab/>
    </w:r>
    <w:r w:rsidRPr="00CB388B">
      <w:tab/>
      <w:t>PE</w:t>
    </w:r>
    <w:r w:rsidRPr="00CB388B">
      <w:rPr>
        <w:rStyle w:val="HideTWBExt"/>
      </w:rPr>
      <w:t>&lt;</w:t>
    </w:r>
    <w:proofErr w:type="spellStart"/>
    <w:r w:rsidRPr="00CB388B">
      <w:rPr>
        <w:rStyle w:val="HideTWBExt"/>
      </w:rPr>
      <w:t>NoPE</w:t>
    </w:r>
    <w:proofErr w:type="spellEnd"/>
    <w:r w:rsidRPr="00CB388B">
      <w:rPr>
        <w:rStyle w:val="HideTWBExt"/>
      </w:rPr>
      <w:t>&gt;</w:t>
    </w:r>
    <w:r w:rsidRPr="00CB388B">
      <w:t>789.086</w:t>
    </w:r>
    <w:r w:rsidRPr="00CB388B">
      <w:rPr>
        <w:rStyle w:val="HideTWBExt"/>
      </w:rPr>
      <w:t>&lt;/</w:t>
    </w:r>
    <w:proofErr w:type="spellStart"/>
    <w:r w:rsidRPr="00CB388B">
      <w:rPr>
        <w:rStyle w:val="HideTWBExt"/>
      </w:rPr>
      <w:t>NoPE</w:t>
    </w:r>
    <w:proofErr w:type="spellEnd"/>
    <w:r w:rsidRPr="00CB388B">
      <w:rPr>
        <w:rStyle w:val="HideTWBExt"/>
      </w:rPr>
      <w:t>&gt;&lt;Version&gt;</w:t>
    </w:r>
    <w:r w:rsidRPr="00CB388B">
      <w:t>v02</w:t>
    </w:r>
    <w:r w:rsidRPr="00CB388B">
      <w:noBreakHyphen/>
      <w:t>00</w:t>
    </w:r>
    <w:r w:rsidRPr="00CB388B">
      <w:rPr>
        <w:rStyle w:val="HideTWBExt"/>
      </w:rPr>
      <w:t>&lt;/</w:t>
    </w:r>
    <w:proofErr w:type="spellStart"/>
    <w:r w:rsidRPr="00CB388B">
      <w:rPr>
        <w:rStyle w:val="HideTWBExt"/>
      </w:rPr>
      <w:t>Version</w:t>
    </w:r>
    <w:proofErr w:type="spellEnd"/>
    <w:r w:rsidRPr="00CB388B">
      <w:rPr>
        <w:rStyle w:val="HideTWBExt"/>
      </w:rPr>
      <w:t>&gt;</w:t>
    </w:r>
  </w:p>
  <w:p w14:paraId="7B28BE12" w14:textId="77777777" w:rsidR="004A737A" w:rsidRPr="00CB388B" w:rsidRDefault="004A737A" w:rsidP="008A3A28">
    <w:pPr>
      <w:pStyle w:val="EPFooter2"/>
    </w:pPr>
    <w:r w:rsidRPr="00CB388B">
      <w:t>PT</w:t>
    </w:r>
    <w:r w:rsidRPr="00CB388B">
      <w:tab/>
    </w:r>
    <w:r w:rsidRPr="00CB388B">
      <w:rPr>
        <w:b w:val="0"/>
        <w:i/>
        <w:color w:val="C0C0C0"/>
        <w:sz w:val="22"/>
      </w:rPr>
      <w:t>Unida na diversidade</w:t>
    </w:r>
    <w:r w:rsidRPr="00CB388B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816D2" w14:textId="77777777" w:rsidR="00064002" w:rsidRPr="00CB388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E67D5" w14:textId="77777777" w:rsidR="00064002" w:rsidRPr="00CB388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A59D" w14:textId="77777777" w:rsidR="00064002" w:rsidRPr="00CB38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3281B" w14:textId="77777777" w:rsidR="006A6DA8" w:rsidRPr="00CB388B" w:rsidRDefault="006A6DA8">
      <w:r w:rsidRPr="00CB388B">
        <w:separator/>
      </w:r>
    </w:p>
  </w:footnote>
  <w:footnote w:type="continuationSeparator" w:id="0">
    <w:p w14:paraId="3DE21619" w14:textId="77777777" w:rsidR="006A6DA8" w:rsidRPr="00CB388B" w:rsidRDefault="006A6DA8">
      <w:r w:rsidRPr="00CB388B">
        <w:continuationSeparator/>
      </w:r>
    </w:p>
  </w:footnote>
  <w:footnote w:id="1">
    <w:p w14:paraId="25018C0F" w14:textId="67849D91" w:rsidR="004A737A" w:rsidRPr="00AA7AC3" w:rsidRDefault="004A737A" w:rsidP="00CB388B">
      <w:pPr>
        <w:pStyle w:val="FootnoteText"/>
        <w:ind w:left="567" w:hanging="567"/>
        <w:rPr>
          <w:sz w:val="24"/>
          <w:lang w:val="fi-FI"/>
        </w:rPr>
      </w:pPr>
      <w:r w:rsidRPr="00CB388B">
        <w:rPr>
          <w:rStyle w:val="FootnoteReference"/>
          <w:sz w:val="24"/>
          <w:lang w:val="pt-PT"/>
        </w:rPr>
        <w:footnoteRef/>
      </w:r>
      <w:r w:rsidR="00CB388B" w:rsidRPr="00AA7AC3">
        <w:rPr>
          <w:sz w:val="24"/>
          <w:lang w:val="fi-FI"/>
        </w:rPr>
        <w:t xml:space="preserve"> </w:t>
      </w:r>
      <w:r w:rsidR="00CB388B" w:rsidRPr="00AA7AC3">
        <w:rPr>
          <w:sz w:val="24"/>
          <w:lang w:val="fi-FI"/>
        </w:rPr>
        <w:tab/>
      </w:r>
      <w:r w:rsidRPr="00AA7AC3">
        <w:rPr>
          <w:sz w:val="24"/>
          <w:lang w:val="fi-FI"/>
        </w:rPr>
        <w:t xml:space="preserve">JO L 153 de 3.5.2021, p. 48, ELI: </w:t>
      </w:r>
      <w:hyperlink r:id="rId1" w:history="1">
        <w:r w:rsidRPr="00AA7AC3">
          <w:rPr>
            <w:rStyle w:val="Hyperlink"/>
            <w:color w:val="0070C0"/>
            <w:sz w:val="24"/>
            <w:lang w:val="fi-FI"/>
          </w:rPr>
          <w:t>http://data.europa.eu/eli/reg/2021/691/oj</w:t>
        </w:r>
      </w:hyperlink>
      <w:r w:rsidRPr="00AA7AC3">
        <w:rPr>
          <w:color w:val="0070C0"/>
          <w:sz w:val="24"/>
          <w:lang w:val="fi-FI"/>
        </w:rPr>
        <w:t>.</w:t>
      </w:r>
    </w:p>
  </w:footnote>
  <w:footnote w:id="2">
    <w:p w14:paraId="4766D7EB" w14:textId="6D76A2AE" w:rsidR="004A737A" w:rsidRPr="00AA7AC3" w:rsidRDefault="004A737A" w:rsidP="00CB388B">
      <w:pPr>
        <w:pStyle w:val="FootnoteText"/>
        <w:ind w:left="567" w:hanging="567"/>
        <w:rPr>
          <w:sz w:val="24"/>
          <w:lang w:val="fi-FI"/>
        </w:rPr>
      </w:pPr>
      <w:r w:rsidRPr="00CB388B">
        <w:rPr>
          <w:rStyle w:val="FootnoteReference"/>
          <w:sz w:val="24"/>
          <w:lang w:val="pt-PT"/>
        </w:rPr>
        <w:footnoteRef/>
      </w:r>
      <w:r w:rsidR="00CB388B" w:rsidRPr="00AA7AC3">
        <w:rPr>
          <w:sz w:val="24"/>
          <w:lang w:val="fi-FI"/>
        </w:rPr>
        <w:t xml:space="preserve"> </w:t>
      </w:r>
      <w:r w:rsidR="00CB388B" w:rsidRPr="00AA7AC3">
        <w:rPr>
          <w:sz w:val="24"/>
          <w:lang w:val="fi-FI"/>
        </w:rPr>
        <w:tab/>
      </w:r>
      <w:r w:rsidRPr="00AA7AC3">
        <w:rPr>
          <w:sz w:val="24"/>
          <w:lang w:val="fi-FI"/>
        </w:rPr>
        <w:t>JO L, 2026/1139, 20.5.2026, ELI: </w:t>
      </w:r>
      <w:hyperlink r:id="rId2" w:tgtFrame="_blank" w:tooltip="Dá acesso a este documento através do respetivo URI do ELI." w:history="1">
        <w:r w:rsidRPr="00AA7AC3">
          <w:rPr>
            <w:rStyle w:val="Hyperlink"/>
            <w:color w:val="0070C0"/>
            <w:sz w:val="24"/>
            <w:lang w:val="fi-FI"/>
          </w:rPr>
          <w:t>http://data.europa.eu/eli/reg/2026/1139/oj</w:t>
        </w:r>
      </w:hyperlink>
      <w:r w:rsidRPr="00AA7AC3">
        <w:rPr>
          <w:color w:val="0070C0"/>
          <w:sz w:val="24"/>
          <w:lang w:val="fi-FI"/>
        </w:rPr>
        <w:t>.</w:t>
      </w:r>
    </w:p>
  </w:footnote>
  <w:footnote w:id="3">
    <w:p w14:paraId="4F761C40" w14:textId="27BDD143" w:rsidR="004A737A" w:rsidRPr="00AA7AC3" w:rsidRDefault="004A737A" w:rsidP="00CB388B">
      <w:pPr>
        <w:ind w:left="567" w:hanging="567"/>
        <w:rPr>
          <w:lang w:val="da-DK"/>
        </w:rPr>
      </w:pPr>
      <w:r w:rsidRPr="00CB388B">
        <w:rPr>
          <w:rStyle w:val="FootnoteReference"/>
        </w:rPr>
        <w:footnoteRef/>
      </w:r>
      <w:r w:rsidR="00CB388B" w:rsidRPr="00AA7AC3">
        <w:rPr>
          <w:lang w:val="da-DK"/>
        </w:rPr>
        <w:t xml:space="preserve"> </w:t>
      </w:r>
      <w:r w:rsidR="00CB388B" w:rsidRPr="00AA7AC3">
        <w:rPr>
          <w:lang w:val="da-DK"/>
        </w:rPr>
        <w:tab/>
      </w:r>
      <w:r w:rsidRPr="00AA7AC3">
        <w:rPr>
          <w:lang w:val="da-DK"/>
        </w:rPr>
        <w:t xml:space="preserve">JO L 433 I de 22.12.2020, p. 11, ELI: </w:t>
      </w:r>
      <w:hyperlink r:id="rId3" w:history="1">
        <w:r w:rsidRPr="00AA7AC3">
          <w:rPr>
            <w:rStyle w:val="Hyperlink"/>
            <w:color w:val="0070C0"/>
            <w:lang w:val="da-DK"/>
          </w:rPr>
          <w:t>http://data.europa.eu/eli/reg/2020/2093/oj</w:t>
        </w:r>
      </w:hyperlink>
      <w:r w:rsidRPr="00AA7AC3">
        <w:rPr>
          <w:color w:val="0070C0"/>
          <w:lang w:val="da-DK"/>
        </w:rPr>
        <w:t>.</w:t>
      </w:r>
    </w:p>
  </w:footnote>
  <w:footnote w:id="4">
    <w:p w14:paraId="0126A0D7" w14:textId="7FF3D117" w:rsidR="004A737A" w:rsidRPr="00AA7AC3" w:rsidRDefault="004A737A" w:rsidP="00CB388B">
      <w:pPr>
        <w:ind w:left="567" w:hanging="567"/>
        <w:rPr>
          <w:lang w:val="fi-FI"/>
        </w:rPr>
      </w:pPr>
      <w:r w:rsidRPr="00CB388B">
        <w:rPr>
          <w:rStyle w:val="FootnoteReference"/>
        </w:rPr>
        <w:footnoteRef/>
      </w:r>
      <w:r w:rsidR="00CB388B" w:rsidRPr="00AA7AC3">
        <w:rPr>
          <w:lang w:val="fi-FI"/>
        </w:rPr>
        <w:t xml:space="preserve"> </w:t>
      </w:r>
      <w:r w:rsidR="00CB388B" w:rsidRPr="00AA7AC3">
        <w:rPr>
          <w:lang w:val="fi-FI"/>
        </w:rPr>
        <w:tab/>
      </w:r>
      <w:r w:rsidRPr="00AA7AC3">
        <w:rPr>
          <w:lang w:val="fi-FI"/>
        </w:rPr>
        <w:t>JO L, 2024/765, 29.2.2024, ELI:</w:t>
      </w:r>
      <w:r w:rsidR="00AE1A5D">
        <w:rPr>
          <w:lang w:val="fi-FI"/>
        </w:rPr>
        <w:t xml:space="preserve"> </w:t>
      </w:r>
      <w:hyperlink r:id="rId4" w:history="1">
        <w:r w:rsidR="00AE1A5D" w:rsidRPr="00AE1A5D">
          <w:rPr>
            <w:rStyle w:val="Hyperlink"/>
            <w:lang w:val="fi-FI"/>
          </w:rPr>
          <w:t>http://data.europa.eu/eli/reg/2024/765/oj</w:t>
        </w:r>
      </w:hyperlink>
      <w:r w:rsidRPr="00AA7AC3">
        <w:rPr>
          <w:lang w:val="fi-FI"/>
        </w:rPr>
        <w:t>.</w:t>
      </w:r>
    </w:p>
  </w:footnote>
  <w:footnote w:id="5">
    <w:p w14:paraId="41F50690" w14:textId="28E5FD72" w:rsidR="004A737A" w:rsidRPr="00AE1A5D" w:rsidRDefault="004A737A" w:rsidP="00CB388B">
      <w:pPr>
        <w:pStyle w:val="FootnoteText"/>
        <w:ind w:left="567" w:hanging="567"/>
        <w:rPr>
          <w:sz w:val="24"/>
          <w:lang w:val="fi-FI"/>
        </w:rPr>
      </w:pPr>
      <w:r w:rsidRPr="00CB388B">
        <w:rPr>
          <w:rStyle w:val="FootnoteReference"/>
          <w:sz w:val="24"/>
          <w:lang w:val="pt-PT"/>
        </w:rPr>
        <w:footnoteRef/>
      </w:r>
      <w:r w:rsidR="00CB388B" w:rsidRPr="00AE1A5D">
        <w:rPr>
          <w:sz w:val="24"/>
          <w:lang w:val="fi-FI"/>
        </w:rPr>
        <w:t xml:space="preserve"> </w:t>
      </w:r>
      <w:r w:rsidR="00CB388B" w:rsidRPr="00AE1A5D">
        <w:rPr>
          <w:sz w:val="24"/>
          <w:lang w:val="fi-FI"/>
        </w:rPr>
        <w:tab/>
      </w:r>
      <w:r w:rsidRPr="00AE1A5D">
        <w:rPr>
          <w:sz w:val="24"/>
          <w:lang w:val="fi-FI"/>
        </w:rPr>
        <w:t xml:space="preserve">JO L 433 I de 22.12.2020, p. 28, ELI: </w:t>
      </w:r>
      <w:hyperlink r:id="rId5" w:history="1">
        <w:r w:rsidRPr="00AE1A5D">
          <w:rPr>
            <w:rStyle w:val="Hyperlink"/>
            <w:sz w:val="24"/>
            <w:lang w:val="fi-FI"/>
          </w:rPr>
          <w:t>http://data.europa.eu/eli/agree_interinstit/2020/1222/oj</w:t>
        </w:r>
      </w:hyperlink>
      <w:r w:rsidRPr="00AE1A5D">
        <w:rPr>
          <w:sz w:val="24"/>
          <w:lang w:val="fi-FI"/>
        </w:rPr>
        <w:t>.</w:t>
      </w:r>
    </w:p>
  </w:footnote>
  <w:footnote w:id="6">
    <w:p w14:paraId="70098D77" w14:textId="0EBF2A77" w:rsidR="004A737A" w:rsidRPr="00AE1A5D" w:rsidRDefault="004A737A" w:rsidP="00CB388B">
      <w:pPr>
        <w:pStyle w:val="FootnoteText"/>
        <w:ind w:left="567" w:hanging="567"/>
        <w:rPr>
          <w:sz w:val="24"/>
          <w:lang w:val="fi-FI"/>
        </w:rPr>
      </w:pPr>
      <w:r w:rsidRPr="00CB388B">
        <w:rPr>
          <w:rStyle w:val="FootnoteReference"/>
          <w:sz w:val="24"/>
          <w:lang w:val="pt-PT"/>
        </w:rPr>
        <w:footnoteRef/>
      </w:r>
      <w:r w:rsidR="00CB388B" w:rsidRPr="00AE1A5D">
        <w:rPr>
          <w:sz w:val="24"/>
          <w:lang w:val="fi-FI"/>
        </w:rPr>
        <w:t xml:space="preserve"> </w:t>
      </w:r>
      <w:r w:rsidR="00CB388B" w:rsidRPr="00AE1A5D">
        <w:rPr>
          <w:sz w:val="24"/>
          <w:lang w:val="fi-FI"/>
        </w:rPr>
        <w:tab/>
      </w:r>
      <w:r w:rsidRPr="00AE1A5D">
        <w:rPr>
          <w:sz w:val="24"/>
          <w:lang w:val="fi-FI"/>
        </w:rPr>
        <w:t xml:space="preserve">JO L 153 de 3.5.2021, p. 48, ELI: </w:t>
      </w:r>
      <w:hyperlink r:id="rId6" w:tooltip="Dá acesso a este documento através do respetivo URI do ELI." w:history="1">
        <w:r w:rsidRPr="00AE1A5D">
          <w:rPr>
            <w:rStyle w:val="Hyperlink"/>
            <w:sz w:val="24"/>
            <w:lang w:val="fi-FI"/>
          </w:rPr>
          <w:t>http://data.europa.eu/eli/reg/2021/691/oj</w:t>
        </w:r>
      </w:hyperlink>
      <w:r w:rsidRPr="00AE1A5D">
        <w:rPr>
          <w:sz w:val="24"/>
          <w:lang w:val="fi-FI"/>
        </w:rPr>
        <w:t>.</w:t>
      </w:r>
    </w:p>
  </w:footnote>
  <w:footnote w:id="7">
    <w:p w14:paraId="3984FAA7" w14:textId="0ABA05B9" w:rsidR="004A737A" w:rsidRPr="00AE1A5D" w:rsidRDefault="004A737A" w:rsidP="00CB388B">
      <w:pPr>
        <w:pStyle w:val="FootnoteText"/>
        <w:ind w:left="567" w:hanging="567"/>
        <w:rPr>
          <w:sz w:val="24"/>
          <w:lang w:val="fi-FI"/>
        </w:rPr>
      </w:pPr>
      <w:r w:rsidRPr="00CB388B">
        <w:rPr>
          <w:rStyle w:val="FootnoteReference"/>
          <w:sz w:val="24"/>
          <w:lang w:val="pt-PT"/>
        </w:rPr>
        <w:footnoteRef/>
      </w:r>
      <w:r w:rsidR="00CB388B" w:rsidRPr="00AE1A5D">
        <w:rPr>
          <w:sz w:val="24"/>
          <w:lang w:val="fi-FI"/>
        </w:rPr>
        <w:t xml:space="preserve"> </w:t>
      </w:r>
      <w:r w:rsidR="00CB388B" w:rsidRPr="00AE1A5D">
        <w:rPr>
          <w:sz w:val="24"/>
          <w:lang w:val="fi-FI"/>
        </w:rPr>
        <w:tab/>
      </w:r>
      <w:r w:rsidRPr="00AE1A5D">
        <w:rPr>
          <w:sz w:val="24"/>
          <w:lang w:val="fi-FI"/>
        </w:rPr>
        <w:t xml:space="preserve">JO L 433 I de 22.12.2020, p. 28, ELI: </w:t>
      </w:r>
      <w:hyperlink r:id="rId7" w:tooltip="Dá acesso a este documento através do respetivo URI do ELI." w:history="1">
        <w:r w:rsidRPr="00AE1A5D">
          <w:rPr>
            <w:rStyle w:val="Hyperlink"/>
            <w:sz w:val="24"/>
            <w:lang w:val="fi-FI"/>
          </w:rPr>
          <w:t>http://data.europa.eu/eli/agree_interinstit/2020/1222/oj</w:t>
        </w:r>
      </w:hyperlink>
      <w:r w:rsidRPr="00AE1A5D">
        <w:rPr>
          <w:sz w:val="24"/>
          <w:lang w:val="fi-FI"/>
        </w:rPr>
        <w:t>.</w:t>
      </w:r>
    </w:p>
  </w:footnote>
  <w:footnote w:id="8">
    <w:p w14:paraId="3D90AC37" w14:textId="7352CEA0" w:rsidR="004A737A" w:rsidRPr="00CB388B" w:rsidRDefault="004A737A" w:rsidP="00CB388B">
      <w:pPr>
        <w:pStyle w:val="FootnoteText"/>
        <w:ind w:left="567" w:hanging="567"/>
        <w:rPr>
          <w:sz w:val="24"/>
          <w:szCs w:val="24"/>
          <w:lang w:val="pt-PT"/>
        </w:rPr>
      </w:pPr>
      <w:r w:rsidRPr="00CB388B">
        <w:rPr>
          <w:rStyle w:val="FootnoteReference"/>
          <w:sz w:val="24"/>
          <w:szCs w:val="24"/>
          <w:lang w:val="pt-PT"/>
        </w:rPr>
        <w:footnoteRef/>
      </w:r>
      <w:r w:rsidR="00CB388B" w:rsidRPr="00CB388B">
        <w:rPr>
          <w:sz w:val="24"/>
          <w:szCs w:val="24"/>
          <w:lang w:val="pt-PT"/>
        </w:rPr>
        <w:t xml:space="preserve"> </w:t>
      </w:r>
      <w:r w:rsidR="00CB388B" w:rsidRPr="00CB388B">
        <w:rPr>
          <w:sz w:val="24"/>
          <w:szCs w:val="24"/>
          <w:lang w:val="pt-PT"/>
        </w:rPr>
        <w:tab/>
      </w:r>
      <w:r w:rsidRPr="00CB388B">
        <w:rPr>
          <w:sz w:val="24"/>
          <w:szCs w:val="24"/>
          <w:lang w:val="pt-PT"/>
        </w:rPr>
        <w:t xml:space="preserve">Regulamento (UE, Euratom) 2020/2093 do Conselho, de 17 de dezembro de 2020, que estabelece o quadro financeiro plurianual para o período de 2021 a 2027 (JO L 433 I de 22.12.2020, p. 11, ELI: </w:t>
      </w:r>
      <w:hyperlink r:id="rId8" w:tooltip="Dá acesso a este documento através do respetivo URI do ELI." w:history="1">
        <w:r w:rsidRPr="00CB388B">
          <w:rPr>
            <w:rStyle w:val="Hyperlink"/>
            <w:color w:val="0000FF"/>
            <w:sz w:val="24"/>
            <w:szCs w:val="24"/>
            <w:lang w:val="pt-PT"/>
          </w:rPr>
          <w:t>http://data.europa.eu/eli/reg/2020/2093/oj</w:t>
        </w:r>
      </w:hyperlink>
      <w:r w:rsidRPr="00CB388B">
        <w:rPr>
          <w:sz w:val="24"/>
          <w:szCs w:val="24"/>
          <w:lang w:val="pt-PT"/>
        </w:rPr>
        <w:t>).</w:t>
      </w:r>
    </w:p>
  </w:footnote>
  <w:footnote w:id="9">
    <w:p w14:paraId="722B81C2" w14:textId="542E3EBA" w:rsidR="004A737A" w:rsidRPr="00CB388B" w:rsidRDefault="004A737A" w:rsidP="00CB388B">
      <w:pPr>
        <w:pStyle w:val="FootnoteText"/>
        <w:ind w:left="567" w:hanging="567"/>
        <w:rPr>
          <w:sz w:val="24"/>
          <w:lang w:val="pt-PT"/>
        </w:rPr>
      </w:pPr>
      <w:r w:rsidRPr="00CB388B">
        <w:rPr>
          <w:rStyle w:val="FootnoteReference"/>
          <w:sz w:val="24"/>
          <w:szCs w:val="24"/>
          <w:lang w:val="pt-PT"/>
        </w:rPr>
        <w:footnoteRef/>
      </w:r>
      <w:r w:rsidR="00CB388B" w:rsidRPr="00CB388B">
        <w:rPr>
          <w:sz w:val="24"/>
          <w:szCs w:val="24"/>
          <w:lang w:val="pt-PT"/>
        </w:rPr>
        <w:t xml:space="preserve"> </w:t>
      </w:r>
      <w:r w:rsidR="00CB388B" w:rsidRPr="00CB388B">
        <w:rPr>
          <w:sz w:val="24"/>
          <w:szCs w:val="24"/>
          <w:lang w:val="pt-PT"/>
        </w:rPr>
        <w:tab/>
      </w:r>
      <w:r w:rsidRPr="00CB388B">
        <w:rPr>
          <w:sz w:val="24"/>
          <w:szCs w:val="24"/>
          <w:lang w:val="pt-PT"/>
        </w:rPr>
        <w:t xml:space="preserve">Regulamento (UE, Euratom) 2024/765 do Conselho, de 29 de fevereiro de 2024, que altera o Regulamento (UE, Euratom) 2020/2093 que estabelece o quadro financeiro plurianual para o período de 2021 a 2027 (JO L, 2024/765, 29.2.2024, ELI: </w:t>
      </w:r>
      <w:hyperlink r:id="rId9" w:history="1">
        <w:r w:rsidRPr="00CB388B">
          <w:rPr>
            <w:rStyle w:val="Hyperlink"/>
            <w:color w:val="0000FF"/>
            <w:sz w:val="24"/>
            <w:szCs w:val="24"/>
            <w:lang w:val="pt-PT"/>
          </w:rPr>
          <w:t>http://data.europa.eu/eli/reg/2024/765/oj</w:t>
        </w:r>
      </w:hyperlink>
      <w:r w:rsidRPr="00CB388B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4EA2" w14:textId="77777777" w:rsidR="00064002" w:rsidRPr="00CB38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BDEB" w14:textId="77777777" w:rsidR="00064002" w:rsidRPr="00CB38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B49D" w14:textId="77777777" w:rsidR="00064002" w:rsidRPr="00CB38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8680985">
    <w:abstractNumId w:val="9"/>
  </w:num>
  <w:num w:numId="2" w16cid:durableId="978995109">
    <w:abstractNumId w:val="9"/>
  </w:num>
  <w:num w:numId="3" w16cid:durableId="1565336609">
    <w:abstractNumId w:val="7"/>
  </w:num>
  <w:num w:numId="4" w16cid:durableId="555748997">
    <w:abstractNumId w:val="7"/>
  </w:num>
  <w:num w:numId="5" w16cid:durableId="1090354466">
    <w:abstractNumId w:val="6"/>
  </w:num>
  <w:num w:numId="6" w16cid:durableId="1005935480">
    <w:abstractNumId w:val="6"/>
  </w:num>
  <w:num w:numId="7" w16cid:durableId="1543595926">
    <w:abstractNumId w:val="5"/>
  </w:num>
  <w:num w:numId="8" w16cid:durableId="2133745665">
    <w:abstractNumId w:val="5"/>
  </w:num>
  <w:num w:numId="9" w16cid:durableId="1493136104">
    <w:abstractNumId w:val="4"/>
  </w:num>
  <w:num w:numId="10" w16cid:durableId="2009824935">
    <w:abstractNumId w:val="4"/>
  </w:num>
  <w:num w:numId="11" w16cid:durableId="1977878128">
    <w:abstractNumId w:val="8"/>
  </w:num>
  <w:num w:numId="12" w16cid:durableId="1732994449">
    <w:abstractNumId w:val="8"/>
  </w:num>
  <w:num w:numId="13" w16cid:durableId="849418975">
    <w:abstractNumId w:val="3"/>
  </w:num>
  <w:num w:numId="14" w16cid:durableId="666443753">
    <w:abstractNumId w:val="3"/>
  </w:num>
  <w:num w:numId="15" w16cid:durableId="254018591">
    <w:abstractNumId w:val="2"/>
  </w:num>
  <w:num w:numId="16" w16cid:durableId="1970042488">
    <w:abstractNumId w:val="2"/>
  </w:num>
  <w:num w:numId="17" w16cid:durableId="1890411984">
    <w:abstractNumId w:val="1"/>
  </w:num>
  <w:num w:numId="18" w16cid:durableId="753552397">
    <w:abstractNumId w:val="1"/>
  </w:num>
  <w:num w:numId="19" w16cid:durableId="2140606505">
    <w:abstractNumId w:val="0"/>
  </w:num>
  <w:num w:numId="20" w16cid:durableId="2007244309">
    <w:abstractNumId w:val="0"/>
  </w:num>
  <w:num w:numId="21" w16cid:durableId="31659071">
    <w:abstractNumId w:val="9"/>
  </w:num>
  <w:num w:numId="22" w16cid:durableId="436411193">
    <w:abstractNumId w:val="7"/>
  </w:num>
  <w:num w:numId="23" w16cid:durableId="1016615387">
    <w:abstractNumId w:val="6"/>
  </w:num>
  <w:num w:numId="24" w16cid:durableId="1499230819">
    <w:abstractNumId w:val="5"/>
  </w:num>
  <w:num w:numId="25" w16cid:durableId="593827241">
    <w:abstractNumId w:val="4"/>
  </w:num>
  <w:num w:numId="26" w16cid:durableId="1696693874">
    <w:abstractNumId w:val="8"/>
  </w:num>
  <w:num w:numId="27" w16cid:durableId="564148222">
    <w:abstractNumId w:val="3"/>
  </w:num>
  <w:num w:numId="28" w16cid:durableId="314266969">
    <w:abstractNumId w:val="2"/>
  </w:num>
  <w:num w:numId="29" w16cid:durableId="1262103869">
    <w:abstractNumId w:val="1"/>
  </w:num>
  <w:num w:numId="30" w16cid:durableId="1459445843">
    <w:abstractNumId w:val="0"/>
  </w:num>
  <w:num w:numId="31" w16cid:durableId="969893713">
    <w:abstractNumId w:val="9"/>
  </w:num>
  <w:num w:numId="32" w16cid:durableId="165675184">
    <w:abstractNumId w:val="7"/>
  </w:num>
  <w:num w:numId="33" w16cid:durableId="2068526821">
    <w:abstractNumId w:val="6"/>
  </w:num>
  <w:num w:numId="34" w16cid:durableId="1605571503">
    <w:abstractNumId w:val="5"/>
  </w:num>
  <w:num w:numId="35" w16cid:durableId="1538617747">
    <w:abstractNumId w:val="4"/>
  </w:num>
  <w:num w:numId="36" w16cid:durableId="492455614">
    <w:abstractNumId w:val="8"/>
  </w:num>
  <w:num w:numId="37" w16cid:durableId="1645544136">
    <w:abstractNumId w:val="3"/>
  </w:num>
  <w:num w:numId="38" w16cid:durableId="953637422">
    <w:abstractNumId w:val="2"/>
  </w:num>
  <w:num w:numId="39" w16cid:durableId="496112545">
    <w:abstractNumId w:val="1"/>
  </w:num>
  <w:num w:numId="40" w16cid:durableId="828640802">
    <w:abstractNumId w:val="0"/>
  </w:num>
  <w:num w:numId="41" w16cid:durableId="1138839986">
    <w:abstractNumId w:val="10"/>
  </w:num>
  <w:num w:numId="42" w16cid:durableId="2123957127">
    <w:abstractNumId w:val="10"/>
  </w:num>
  <w:num w:numId="43" w16cid:durableId="841625837">
    <w:abstractNumId w:val="10"/>
  </w:num>
  <w:num w:numId="44" w16cid:durableId="1355425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9/2026"/>
    <w:docVar w:name="dvlangue" w:val="PT"/>
    <w:docVar w:name="dvnumam" w:val="0"/>
    <w:docVar w:name="dvpe" w:val="789.086"/>
    <w:docVar w:name="dvrapporteur" w:val="Relatora: "/>
    <w:docVar w:name="dvtitre" w:val="Resolução do Parlamento Europeu, de ... de ... de 2026,_x000d__x000a_ sobre a proposta de decisão do Parlamento Europeu e do Conselho relativa à mobilização do Fundo Europeu de Ajustamento à Globalização a favor dos Trabalhadores Despedidos por iniciativa da Comissão (EGF/2026/000 TA 2026 — Assistência técnica)(COM(2026)0360 – C10-0124/2026 – 2026/0126(BUD))"/>
  </w:docVars>
  <w:rsids>
    <w:rsidRoot w:val="006A6D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2B8"/>
    <w:rsid w:val="0045053E"/>
    <w:rsid w:val="00471C19"/>
    <w:rsid w:val="004867E3"/>
    <w:rsid w:val="00494A28"/>
    <w:rsid w:val="004A737A"/>
    <w:rsid w:val="004C0004"/>
    <w:rsid w:val="004C2D30"/>
    <w:rsid w:val="004C5D52"/>
    <w:rsid w:val="0050519A"/>
    <w:rsid w:val="005072A1"/>
    <w:rsid w:val="00514517"/>
    <w:rsid w:val="00545827"/>
    <w:rsid w:val="00560270"/>
    <w:rsid w:val="005C2568"/>
    <w:rsid w:val="005E0B97"/>
    <w:rsid w:val="005F1B17"/>
    <w:rsid w:val="006037C0"/>
    <w:rsid w:val="006631B6"/>
    <w:rsid w:val="00680577"/>
    <w:rsid w:val="006A6DA8"/>
    <w:rsid w:val="006F74FA"/>
    <w:rsid w:val="00731ADD"/>
    <w:rsid w:val="00734777"/>
    <w:rsid w:val="00747932"/>
    <w:rsid w:val="00751A4A"/>
    <w:rsid w:val="00756632"/>
    <w:rsid w:val="00762C74"/>
    <w:rsid w:val="00776071"/>
    <w:rsid w:val="00786EC0"/>
    <w:rsid w:val="007A3439"/>
    <w:rsid w:val="007D1690"/>
    <w:rsid w:val="007E22AD"/>
    <w:rsid w:val="00817416"/>
    <w:rsid w:val="00842779"/>
    <w:rsid w:val="00850531"/>
    <w:rsid w:val="008556E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AC3"/>
    <w:rsid w:val="00AB441E"/>
    <w:rsid w:val="00AB6293"/>
    <w:rsid w:val="00AE0928"/>
    <w:rsid w:val="00AE1A5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88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F3B1A"/>
  <w15:chartTrackingRefBased/>
  <w15:docId w15:val="{C6DA966A-ECA0-4DBD-BDA9-A4A3A1E7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A737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4A737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A737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A73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A737A"/>
    <w:rPr>
      <w:sz w:val="24"/>
      <w:lang w:val="pt-PT"/>
    </w:rPr>
  </w:style>
  <w:style w:type="paragraph" w:customStyle="1" w:styleId="NormalBold24a">
    <w:name w:val="NormalBold24a"/>
    <w:basedOn w:val="Normal"/>
    <w:rsid w:val="004A737A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4A737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A737A"/>
    <w:pPr>
      <w:spacing w:before="480" w:after="240"/>
    </w:pPr>
  </w:style>
  <w:style w:type="character" w:styleId="Hyperlink">
    <w:name w:val="Hyperlink"/>
    <w:basedOn w:val="DefaultParagraphFont"/>
    <w:uiPriority w:val="99"/>
    <w:rsid w:val="004A737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A737A"/>
    <w:rPr>
      <w:sz w:val="24"/>
      <w:lang w:val="pt-PT"/>
    </w:rPr>
  </w:style>
  <w:style w:type="paragraph" w:customStyle="1" w:styleId="Fait">
    <w:name w:val="Fait à"/>
    <w:basedOn w:val="Normal"/>
    <w:next w:val="Institutionquisigne"/>
    <w:rsid w:val="004A737A"/>
    <w:pPr>
      <w:keepNext/>
      <w:widowControl/>
      <w:spacing w:before="120" w:line="360" w:lineRule="auto"/>
    </w:pPr>
    <w:rPr>
      <w:rFonts w:eastAsiaTheme="minorHAnsi"/>
      <w:szCs w:val="22"/>
      <w:lang w:eastAsia="pt-PT" w:bidi="pt-PT"/>
    </w:rPr>
  </w:style>
  <w:style w:type="paragraph" w:customStyle="1" w:styleId="Formuledadoption">
    <w:name w:val="Formule d'adoption"/>
    <w:basedOn w:val="Normal"/>
    <w:next w:val="Titrearticle"/>
    <w:rsid w:val="004A737A"/>
    <w:pPr>
      <w:keepNext/>
      <w:widowControl/>
      <w:spacing w:before="120" w:after="120" w:line="360" w:lineRule="auto"/>
    </w:pPr>
    <w:rPr>
      <w:rFonts w:eastAsiaTheme="minorHAnsi"/>
      <w:szCs w:val="22"/>
      <w:lang w:eastAsia="pt-PT" w:bidi="pt-PT"/>
    </w:rPr>
  </w:style>
  <w:style w:type="paragraph" w:customStyle="1" w:styleId="Institutionquiagit">
    <w:name w:val="Institution qui agit"/>
    <w:basedOn w:val="Normal"/>
    <w:next w:val="Normal"/>
    <w:rsid w:val="004A737A"/>
    <w:pPr>
      <w:keepNext/>
      <w:widowControl/>
      <w:spacing w:before="600" w:after="120" w:line="360" w:lineRule="auto"/>
    </w:pPr>
    <w:rPr>
      <w:rFonts w:eastAsiaTheme="minorHAnsi"/>
      <w:szCs w:val="22"/>
      <w:lang w:eastAsia="pt-PT" w:bidi="pt-PT"/>
    </w:rPr>
  </w:style>
  <w:style w:type="paragraph" w:customStyle="1" w:styleId="Institutionquisigne">
    <w:name w:val="Institution qui signe"/>
    <w:basedOn w:val="Normal"/>
    <w:next w:val="Personnequisigne"/>
    <w:rsid w:val="004A737A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pt-PT" w:bidi="pt-PT"/>
    </w:rPr>
  </w:style>
  <w:style w:type="paragraph" w:customStyle="1" w:styleId="ManualConsidrant">
    <w:name w:val="Manual Considérant"/>
    <w:basedOn w:val="Normal"/>
    <w:rsid w:val="004A737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pt-PT" w:bidi="pt-PT"/>
    </w:rPr>
  </w:style>
  <w:style w:type="paragraph" w:customStyle="1" w:styleId="Personnequisigne">
    <w:name w:val="Personne qui signe"/>
    <w:basedOn w:val="Normal"/>
    <w:next w:val="Institutionquisigne"/>
    <w:rsid w:val="004A737A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pt-PT" w:bidi="pt-PT"/>
    </w:rPr>
  </w:style>
  <w:style w:type="paragraph" w:customStyle="1" w:styleId="Titrearticle">
    <w:name w:val="Titre article"/>
    <w:basedOn w:val="Normal"/>
    <w:next w:val="Normal"/>
    <w:rsid w:val="004A737A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pt-PT" w:bidi="pt-PT"/>
    </w:rPr>
  </w:style>
  <w:style w:type="paragraph" w:customStyle="1" w:styleId="Lignefinal">
    <w:name w:val="Ligne final"/>
    <w:basedOn w:val="Normal"/>
    <w:next w:val="Normal"/>
    <w:rsid w:val="004A737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pt-PT" w:bidi="pt-PT"/>
    </w:rPr>
  </w:style>
  <w:style w:type="character" w:styleId="CommentReference">
    <w:name w:val="annotation reference"/>
    <w:basedOn w:val="DefaultParagraphFont"/>
    <w:rsid w:val="004312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12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12B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31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12B8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4312B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4312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12B8"/>
    <w:rPr>
      <w:sz w:val="24"/>
      <w:lang w:val="pt-PT"/>
    </w:rPr>
  </w:style>
  <w:style w:type="paragraph" w:styleId="Revision">
    <w:name w:val="Revision"/>
    <w:hidden/>
    <w:uiPriority w:val="99"/>
    <w:semiHidden/>
    <w:rsid w:val="004312B8"/>
    <w:rPr>
      <w:sz w:val="24"/>
      <w:lang w:val="pt-PT"/>
    </w:rPr>
  </w:style>
  <w:style w:type="character" w:styleId="FollowedHyperlink">
    <w:name w:val="FollowedHyperlink"/>
    <w:basedOn w:val="DefaultParagraphFont"/>
    <w:rsid w:val="00AE1A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2093/oj" TargetMode="External"/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6/1139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Relationship Id="rId9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1846</Words>
  <Characters>10304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2026-07-07T13:39:00Z</dcterms:created>
  <dcterms:modified xsi:type="dcterms:W3CDTF">2026-07-07T13:39:00Z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P10_TA(2026)0243_</vt:lpwstr>
  </property>
  <property fmtid="{D5CDD505-2E9C-101B-9397-08002B2CF9AE}" pid="4" name="&lt;Type&gt;">
    <vt:lpwstr>RR</vt:lpwstr>
  </property>
</Properties>
</file>