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A6F" w14:paraId="7ED06141" w14:textId="77777777" w:rsidTr="0010095E">
        <w:trPr>
          <w:trHeight w:hRule="exact" w:val="1418"/>
        </w:trPr>
        <w:tc>
          <w:tcPr>
            <w:tcW w:w="6804" w:type="dxa"/>
            <w:shd w:val="clear" w:color="auto" w:fill="auto"/>
            <w:vAlign w:val="center"/>
          </w:tcPr>
          <w:p w14:paraId="0C8735D9" w14:textId="77777777" w:rsidR="00751A4A" w:rsidRPr="00E20A6F" w:rsidRDefault="00AC22C0" w:rsidP="0010095E">
            <w:pPr>
              <w:pStyle w:val="EPName"/>
            </w:pPr>
            <w:r w:rsidRPr="00E20A6F">
              <w:t>Parlamentul European</w:t>
            </w:r>
          </w:p>
          <w:p w14:paraId="3A2970D7" w14:textId="77777777" w:rsidR="00751A4A" w:rsidRPr="00E20A6F" w:rsidRDefault="005F1B17" w:rsidP="005F1B17">
            <w:pPr>
              <w:pStyle w:val="EPTerm"/>
              <w:rPr>
                <w:rStyle w:val="HideTWBExt"/>
                <w:noProof w:val="0"/>
                <w:vanish w:val="0"/>
                <w:color w:val="auto"/>
              </w:rPr>
            </w:pPr>
            <w:r w:rsidRPr="00E20A6F">
              <w:t>2024</w:t>
            </w:r>
            <w:r w:rsidR="00817416" w:rsidRPr="00E20A6F">
              <w:t>-202</w:t>
            </w:r>
            <w:r w:rsidRPr="00E20A6F">
              <w:t>9</w:t>
            </w:r>
          </w:p>
        </w:tc>
        <w:tc>
          <w:tcPr>
            <w:tcW w:w="2268" w:type="dxa"/>
            <w:shd w:val="clear" w:color="auto" w:fill="auto"/>
          </w:tcPr>
          <w:p w14:paraId="62DACBFC" w14:textId="77777777" w:rsidR="00751A4A" w:rsidRPr="00E20A6F" w:rsidRDefault="00187494" w:rsidP="0010095E">
            <w:pPr>
              <w:pStyle w:val="EPLogo"/>
            </w:pPr>
            <w:r w:rsidRPr="00E20A6F">
              <w:rPr>
                <w:noProof/>
                <w:lang w:eastAsia="ja-JP"/>
              </w:rPr>
              <w:drawing>
                <wp:inline distT="0" distB="0" distL="0" distR="0" wp14:anchorId="4CF84B6E" wp14:editId="6C7289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2FEB3C" w14:textId="77777777" w:rsidR="00D058B8" w:rsidRPr="00E20A6F" w:rsidRDefault="00D058B8" w:rsidP="004C5D52">
      <w:pPr>
        <w:pStyle w:val="LineTop"/>
      </w:pPr>
    </w:p>
    <w:p w14:paraId="18601093" w14:textId="77777777" w:rsidR="00680577" w:rsidRPr="00E20A6F" w:rsidRDefault="00AC22C0" w:rsidP="00680577">
      <w:pPr>
        <w:pStyle w:val="EPBodyTA1"/>
      </w:pPr>
      <w:r w:rsidRPr="00E20A6F">
        <w:t>TEXTE ADOPTATE</w:t>
      </w:r>
    </w:p>
    <w:p w14:paraId="38689E96" w14:textId="77777777" w:rsidR="00D058B8" w:rsidRPr="00E20A6F" w:rsidRDefault="00D058B8" w:rsidP="00D058B8">
      <w:pPr>
        <w:pStyle w:val="LineBottom"/>
      </w:pPr>
    </w:p>
    <w:p w14:paraId="2098A966" w14:textId="106E8DF7" w:rsidR="00AC22C0" w:rsidRPr="00E20A6F" w:rsidRDefault="00AC22C0" w:rsidP="00AC22C0">
      <w:pPr>
        <w:pStyle w:val="ATHeading1"/>
      </w:pPr>
      <w:bookmarkStart w:id="0" w:name="TANumber"/>
      <w:r w:rsidRPr="00E20A6F">
        <w:t>P10_TA(2026)0</w:t>
      </w:r>
      <w:r w:rsidR="00E20A6F" w:rsidRPr="00E20A6F">
        <w:t>243</w:t>
      </w:r>
      <w:bookmarkEnd w:id="0"/>
    </w:p>
    <w:p w14:paraId="1BA77DC8" w14:textId="77777777" w:rsidR="00AC22C0" w:rsidRPr="00E20A6F" w:rsidRDefault="00AC22C0" w:rsidP="00AC22C0">
      <w:pPr>
        <w:pStyle w:val="ATHeading2"/>
      </w:pPr>
      <w:bookmarkStart w:id="1" w:name="title"/>
      <w:r w:rsidRPr="00E20A6F">
        <w:t>Mobilizarea Fondului european de ajustare la globalizare: cererea EGF/2026/000 TA 2026 - Asistență tehnică la inițiativa Comisiei</w:t>
      </w:r>
      <w:bookmarkEnd w:id="1"/>
    </w:p>
    <w:p w14:paraId="03911F54" w14:textId="77777777" w:rsidR="00AC22C0" w:rsidRPr="00E20A6F" w:rsidRDefault="00AC22C0" w:rsidP="00AC22C0">
      <w:pPr>
        <w:rPr>
          <w:i/>
          <w:vanish/>
        </w:rPr>
      </w:pPr>
      <w:r w:rsidRPr="00E20A6F">
        <w:rPr>
          <w:i/>
        </w:rPr>
        <w:fldChar w:fldCharType="begin"/>
      </w:r>
      <w:r w:rsidRPr="00E20A6F">
        <w:rPr>
          <w:i/>
        </w:rPr>
        <w:instrText xml:space="preserve"> TC"(</w:instrText>
      </w:r>
      <w:bookmarkStart w:id="2" w:name="DocNumber"/>
      <w:r w:rsidRPr="00E20A6F">
        <w:rPr>
          <w:i/>
        </w:rPr>
        <w:instrText>A10-0179/2026</w:instrText>
      </w:r>
      <w:bookmarkEnd w:id="2"/>
      <w:r w:rsidRPr="00E20A6F">
        <w:rPr>
          <w:i/>
        </w:rPr>
        <w:instrText xml:space="preserve"> - Raportoare: Lucia </w:instrText>
      </w:r>
      <w:proofErr w:type="spellStart"/>
      <w:r w:rsidRPr="00E20A6F">
        <w:rPr>
          <w:i/>
        </w:rPr>
        <w:instrText>Yar</w:instrText>
      </w:r>
      <w:proofErr w:type="spellEnd"/>
      <w:r w:rsidRPr="00E20A6F">
        <w:rPr>
          <w:i/>
        </w:rPr>
        <w:instrText xml:space="preserve">)"\l3 \n&gt; \* MERGEFORMAT </w:instrText>
      </w:r>
      <w:r w:rsidRPr="00E20A6F">
        <w:rPr>
          <w:i/>
        </w:rPr>
        <w:fldChar w:fldCharType="end"/>
      </w:r>
    </w:p>
    <w:p w14:paraId="716B796F" w14:textId="77777777" w:rsidR="00AC22C0" w:rsidRPr="00E20A6F" w:rsidRDefault="00AC22C0" w:rsidP="00AC22C0">
      <w:pPr>
        <w:rPr>
          <w:vanish/>
        </w:rPr>
      </w:pPr>
      <w:bookmarkStart w:id="3" w:name="Commission"/>
      <w:r w:rsidRPr="00E20A6F">
        <w:rPr>
          <w:vanish/>
        </w:rPr>
        <w:t>Comisia pentru bugete</w:t>
      </w:r>
      <w:bookmarkEnd w:id="3"/>
    </w:p>
    <w:p w14:paraId="431E7FB3" w14:textId="77777777" w:rsidR="00AC22C0" w:rsidRPr="00E20A6F" w:rsidRDefault="00AC22C0" w:rsidP="00AC22C0">
      <w:pPr>
        <w:rPr>
          <w:vanish/>
        </w:rPr>
      </w:pPr>
      <w:bookmarkStart w:id="4" w:name="PE"/>
      <w:r w:rsidRPr="00E20A6F">
        <w:rPr>
          <w:vanish/>
        </w:rPr>
        <w:t>PE789.086</w:t>
      </w:r>
      <w:bookmarkEnd w:id="4"/>
    </w:p>
    <w:p w14:paraId="0415D0EB" w14:textId="0A218146" w:rsidR="00AC22C0" w:rsidRPr="00E20A6F" w:rsidRDefault="00AC22C0" w:rsidP="00AC22C0">
      <w:pPr>
        <w:pStyle w:val="ATHeading3"/>
      </w:pPr>
      <w:bookmarkStart w:id="5" w:name="Sujet"/>
      <w:r w:rsidRPr="00E20A6F">
        <w:t>Rezoluția Parlamentului European din 7 iulie 2026 referitoare la propunerea de decizie a Parlamentului European și a Consiliului privind mobilizarea Fondului european de ajustare la globalizare pentru lucrătorii disponibilizați la inițiativa Comisiei (</w:t>
      </w:r>
      <w:r w:rsidR="009A39C1" w:rsidRPr="00E20A6F">
        <w:t>EGF</w:t>
      </w:r>
      <w:r w:rsidRPr="00E20A6F">
        <w:t>/2026/000 TA 2026 – Asistență tehnică)</w:t>
      </w:r>
      <w:bookmarkEnd w:id="5"/>
      <w:r w:rsidRPr="00E20A6F">
        <w:t xml:space="preserve"> </w:t>
      </w:r>
      <w:bookmarkStart w:id="6" w:name="References"/>
      <w:r w:rsidRPr="00E20A6F">
        <w:t>(COM(2026)0360 – C10-0124/2026 – 2026/0126(BUD))</w:t>
      </w:r>
      <w:bookmarkEnd w:id="6"/>
    </w:p>
    <w:p w14:paraId="2B3945C5" w14:textId="77777777" w:rsidR="00F03E5B" w:rsidRPr="00E20A6F" w:rsidRDefault="00F03E5B" w:rsidP="00F03E5B">
      <w:pPr>
        <w:pStyle w:val="EPComma"/>
        <w:rPr>
          <w:noProof/>
        </w:rPr>
      </w:pPr>
      <w:r w:rsidRPr="00E20A6F">
        <w:rPr>
          <w:i/>
        </w:rPr>
        <w:t>Parlamentul European</w:t>
      </w:r>
      <w:r w:rsidRPr="00E20A6F">
        <w:t>,</w:t>
      </w:r>
    </w:p>
    <w:p w14:paraId="4F36704B" w14:textId="77777777" w:rsidR="00F03E5B" w:rsidRPr="00E20A6F" w:rsidRDefault="00F03E5B" w:rsidP="00F03E5B">
      <w:pPr>
        <w:pStyle w:val="NormalHanging12a"/>
        <w:rPr>
          <w:noProof/>
        </w:rPr>
      </w:pPr>
      <w:r w:rsidRPr="00E20A6F">
        <w:t>–</w:t>
      </w:r>
      <w:r w:rsidRPr="00E20A6F">
        <w:tab/>
        <w:t>având în vedere propunerea Comisiei prezentată Parlamentului European și Consiliului [COM(2026)0360 – C10</w:t>
      </w:r>
      <w:r w:rsidRPr="00E20A6F">
        <w:noBreakHyphen/>
        <w:t>0124/2026],</w:t>
      </w:r>
    </w:p>
    <w:p w14:paraId="767EC7A5" w14:textId="77777777" w:rsidR="00F03E5B" w:rsidRPr="00E20A6F" w:rsidRDefault="00F03E5B" w:rsidP="00F03E5B">
      <w:pPr>
        <w:pStyle w:val="NormalHanging12a"/>
        <w:rPr>
          <w:noProof/>
        </w:rPr>
      </w:pPr>
      <w:bookmarkStart w:id="7" w:name="_Hlk230701067"/>
      <w:r w:rsidRPr="00E20A6F">
        <w:t>–</w:t>
      </w:r>
      <w:r w:rsidRPr="00E20A6F">
        <w:tab/>
        <w:t>având în vedere Regulamentul (UE) 2021/691 al Parlamentului European și al Consiliului din 28 aprilie 2021 privind Fondul european de ajustare la globalizare pentru lucrătorii disponibilizați (FEG) și de abrogare a Regulamentului (UE) nr. 1309/2013</w:t>
      </w:r>
      <w:r w:rsidRPr="00E20A6F">
        <w:rPr>
          <w:rStyle w:val="FootnoteReference"/>
        </w:rPr>
        <w:footnoteReference w:id="1"/>
      </w:r>
      <w:r w:rsidRPr="00E20A6F">
        <w:t xml:space="preserve"> („Regulamentul privind FEG”), astfel cum a fost modificat de Regulamentul (UE) 2026/1139</w:t>
      </w:r>
      <w:r w:rsidRPr="00E20A6F">
        <w:rPr>
          <w:rStyle w:val="FootnoteReference"/>
          <w:noProof/>
        </w:rPr>
        <w:footnoteReference w:id="2"/>
      </w:r>
      <w:r w:rsidRPr="00E20A6F">
        <w:t>,</w:t>
      </w:r>
    </w:p>
    <w:bookmarkEnd w:id="7"/>
    <w:p w14:paraId="78BDF7BA" w14:textId="77777777" w:rsidR="00F03E5B" w:rsidRPr="00E20A6F" w:rsidRDefault="00F03E5B" w:rsidP="00F03E5B">
      <w:pPr>
        <w:pStyle w:val="NormalHanging12a"/>
        <w:rPr>
          <w:noProof/>
        </w:rPr>
      </w:pPr>
      <w:r w:rsidRPr="00E20A6F">
        <w:t>–</w:t>
      </w:r>
      <w:r w:rsidRPr="00E20A6F">
        <w:tab/>
      </w:r>
      <w:r w:rsidRPr="00E20A6F">
        <w:rPr>
          <w:snapToGrid w:val="0"/>
        </w:rPr>
        <w:t>având în vedere Regulamentul (UE, Euratom) 2020/2093 al Consiliului din 17 decembrie 2020 de stabilire a cadrului financiar multianual pentru perioada 2021-2027</w:t>
      </w:r>
      <w:r w:rsidRPr="00E20A6F">
        <w:rPr>
          <w:rStyle w:val="FootnoteReference"/>
          <w:snapToGrid w:val="0"/>
        </w:rPr>
        <w:footnoteReference w:id="3"/>
      </w:r>
      <w:r w:rsidRPr="00E20A6F">
        <w:rPr>
          <w:snapToGrid w:val="0"/>
        </w:rPr>
        <w:t xml:space="preserve">, </w:t>
      </w:r>
      <w:r w:rsidRPr="00E20A6F">
        <w:rPr>
          <w:snapToGrid w:val="0"/>
          <w:color w:val="000000"/>
          <w:bdr w:val="none" w:sz="0" w:space="0" w:color="auto" w:frame="1"/>
        </w:rPr>
        <w:t xml:space="preserve">astfel cum a fost modificat prin Regulamentul (UE, Euratom) </w:t>
      </w:r>
      <w:r w:rsidRPr="00E20A6F">
        <w:rPr>
          <w:snapToGrid w:val="0"/>
          <w:bdr w:val="none" w:sz="0" w:space="0" w:color="auto" w:frame="1"/>
        </w:rPr>
        <w:t>2024/765</w:t>
      </w:r>
      <w:r w:rsidRPr="00E20A6F">
        <w:rPr>
          <w:rStyle w:val="FootnoteReference"/>
          <w:snapToGrid w:val="0"/>
          <w:bdr w:val="none" w:sz="0" w:space="0" w:color="auto" w:frame="1"/>
        </w:rPr>
        <w:footnoteReference w:id="4"/>
      </w:r>
      <w:r w:rsidRPr="00E20A6F">
        <w:rPr>
          <w:snapToGrid w:val="0"/>
          <w:bdr w:val="none" w:sz="0" w:space="0" w:color="auto" w:frame="1"/>
        </w:rPr>
        <w:t xml:space="preserve">, </w:t>
      </w:r>
      <w:r w:rsidRPr="00E20A6F">
        <w:rPr>
          <w:snapToGrid w:val="0"/>
        </w:rPr>
        <w:t>în special articolul 8</w:t>
      </w:r>
      <w:r w:rsidRPr="00E20A6F">
        <w:t>,</w:t>
      </w:r>
    </w:p>
    <w:p w14:paraId="2AD5A544" w14:textId="77777777" w:rsidR="00F03E5B" w:rsidRPr="00E20A6F" w:rsidRDefault="00F03E5B" w:rsidP="00F03E5B">
      <w:pPr>
        <w:pStyle w:val="NormalHanging12a"/>
        <w:rPr>
          <w:noProof/>
        </w:rPr>
      </w:pPr>
      <w:r w:rsidRPr="00E20A6F">
        <w:t>–</w:t>
      </w:r>
      <w:r w:rsidRPr="00E20A6F">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E20A6F">
        <w:lastRenderedPageBreak/>
        <w:t>proprii</w:t>
      </w:r>
      <w:r w:rsidRPr="00E20A6F">
        <w:rPr>
          <w:rStyle w:val="FootnoteReference"/>
          <w:noProof/>
        </w:rPr>
        <w:footnoteReference w:id="5"/>
      </w:r>
      <w:r w:rsidRPr="00E20A6F">
        <w:t>, în special punctul 9,</w:t>
      </w:r>
    </w:p>
    <w:p w14:paraId="6131DD92" w14:textId="77777777" w:rsidR="00F03E5B" w:rsidRPr="00E20A6F" w:rsidRDefault="00F03E5B" w:rsidP="00F03E5B">
      <w:pPr>
        <w:pStyle w:val="NormalHanging12a"/>
      </w:pPr>
      <w:r w:rsidRPr="00E20A6F">
        <w:t>–</w:t>
      </w:r>
      <w:r w:rsidRPr="00E20A6F">
        <w:tab/>
        <w:t>având în vedere raportul Comisiei pentru bugete (A10-0179/2026),</w:t>
      </w:r>
    </w:p>
    <w:p w14:paraId="510E08E6" w14:textId="77777777" w:rsidR="00F03E5B" w:rsidRPr="00E20A6F" w:rsidRDefault="00F03E5B" w:rsidP="00F03E5B">
      <w:pPr>
        <w:pStyle w:val="NormalHanging12a"/>
        <w:rPr>
          <w:noProof/>
        </w:rPr>
      </w:pPr>
      <w:r w:rsidRPr="00E20A6F">
        <w:t>A.</w:t>
      </w:r>
      <w:r w:rsidRPr="00E20A6F">
        <w:tab/>
        <w:t>întrucât Uniunea a instituit instrumente legislative și bugetare pentru a oferi un sprijin suplimentar lucrătorilor afectați de consecințele unor evenimente și schimbări majore intervenite în structura comerțului internațional sau afectați de concedieri iminente într-o întreprindere în curs de restructurare și pentru a le acorda asistență în procesul de reintegrare pe piața muncii sau de recalificare; întrucât acest ajutor se acordă sub forma unui sprijin financiar acordat lucrătorilor;</w:t>
      </w:r>
    </w:p>
    <w:p w14:paraId="227837BF" w14:textId="77777777" w:rsidR="00F03E5B" w:rsidRPr="00E20A6F" w:rsidRDefault="00F03E5B" w:rsidP="00F03E5B">
      <w:pPr>
        <w:pStyle w:val="NormalHanging12a"/>
      </w:pPr>
      <w:r w:rsidRPr="00E20A6F">
        <w:t>B.</w:t>
      </w:r>
      <w:r w:rsidRPr="00E20A6F">
        <w:tab/>
        <w:t>întrucât contribuțiile financiare din FEG ar trebui să fie direcționate în primul rând spre măsuri de politică activă pe piața muncii și spre servicii personalizate care să vizeze reintegrarea rapidă a beneficiarilor pe piața muncii sau pentru a le înlesni accesul la recalificare profesională;</w:t>
      </w:r>
    </w:p>
    <w:p w14:paraId="78FF6C35" w14:textId="77777777" w:rsidR="00F03E5B" w:rsidRPr="00E20A6F" w:rsidRDefault="00F03E5B" w:rsidP="00F03E5B">
      <w:pPr>
        <w:pStyle w:val="NormalHanging12a"/>
      </w:pPr>
      <w:r w:rsidRPr="00E20A6F">
        <w:t>C.</w:t>
      </w:r>
      <w:r w:rsidRPr="00E20A6F">
        <w:tab/>
        <w:t xml:space="preserve">întrucât articolul 11 alineatul (1) din Regulamentul privind FEG prevede că, la inițiativa Comisiei, un procentaj de până la 1,5 % din plafonul anual al FEG poate fi alocat pentru asistență tehnică; </w:t>
      </w:r>
    </w:p>
    <w:p w14:paraId="79E71494" w14:textId="77777777" w:rsidR="00F03E5B" w:rsidRPr="00E20A6F" w:rsidRDefault="00F03E5B" w:rsidP="00F03E5B">
      <w:pPr>
        <w:pStyle w:val="NormalHanging12a"/>
        <w:rPr>
          <w:color w:val="000000"/>
          <w:bdr w:val="none" w:sz="0" w:space="0" w:color="auto" w:frame="1"/>
        </w:rPr>
      </w:pPr>
      <w:r w:rsidRPr="00E20A6F">
        <w:t>D.</w:t>
      </w:r>
      <w:r w:rsidRPr="00E20A6F">
        <w:tab/>
      </w:r>
      <w:r w:rsidRPr="00E20A6F">
        <w:rPr>
          <w:color w:val="000000"/>
          <w:bdr w:val="none" w:sz="0" w:space="0" w:color="auto" w:frame="1"/>
        </w:rPr>
        <w:t>întrucât asistența tehnică poate consta în cheltuieli tehnice și administrative pentru executarea FEG, cum ar fi activități de pregătire, monitorizare, control, audit și evaluare, precum și activități de colectare de date, activități de comunicare și activități care sporesc vizibilitatea FEG ca fond sau legate de proiecte specifice și alte măsuri de asistență tehnică; întrucât asistența tehnică înseamnă și furnizarea de informații și orientări statelor membre și partenerilor sociali cu privire la FEG, precum și informarea specifică a statelor membre care nu au beneficiat sau au beneficiat doar într-o mică măsură de sprijinul FEG;</w:t>
      </w:r>
      <w:r w:rsidRPr="00E20A6F">
        <w:t xml:space="preserve"> întrucât activitățile de asistență tehnică ar trebui să contribuie la îmbunătățirea eficacității, accesibilității și vizibilității FEG, acordând o atenție deosebită rezultatelor măsurabile, simplificării administrative și punerii în aplicare orientate către utilizatori pentru statele membre și beneficiari; întrucât mai multe state membre nu au utilizat încă FEG, deși se confruntă cu procese de restructurare și concedieri comparabile cu cele din statele membre beneficiare; întrucât, prin urmare, sunt necesare activități specifice de promovare și de informare pentru a asigura accesul egal la oportunitățile oferite de FEG în întreaga Uniune;</w:t>
      </w:r>
    </w:p>
    <w:p w14:paraId="310D5E30" w14:textId="5E801994" w:rsidR="00F03E5B" w:rsidRPr="00E20A6F" w:rsidRDefault="00F03E5B" w:rsidP="00F03E5B">
      <w:pPr>
        <w:pStyle w:val="NormalHanging12a"/>
      </w:pPr>
      <w:r w:rsidRPr="00E20A6F">
        <w:t>E.</w:t>
      </w:r>
      <w:r w:rsidRPr="00E20A6F">
        <w:tab/>
        <w:t>întrucât suma propusă de 210 000 EUR corespunde unui procentaj de circa 0,60 % din bugetul anual maxim disponibil pentru FEG în 2026</w:t>
      </w:r>
      <w:r w:rsidR="009A39C1" w:rsidRPr="00E20A6F">
        <w:t>;</w:t>
      </w:r>
      <w:r w:rsidRPr="00E20A6F">
        <w:t> întrucât FEG oferă un sprijin important lucrătorilor afectați de restructurări și concedieri; întrucât o economie europeană competitivă, reducerea birocrației și un mediu de afaceri favorabil investițiilor și inovării rămân esențiale pentru menținerea locurilor de muncă de calitate și reducerea numărului de lucrători care au nevoie de sprijin din partea FEG,</w:t>
      </w:r>
    </w:p>
    <w:p w14:paraId="68E32AFB" w14:textId="73622332" w:rsidR="00F03E5B" w:rsidRPr="00E20A6F" w:rsidRDefault="00F03E5B" w:rsidP="00F03E5B">
      <w:pPr>
        <w:pStyle w:val="NormalHanging12a"/>
      </w:pPr>
      <w:r w:rsidRPr="00E20A6F">
        <w:t>1.</w:t>
      </w:r>
      <w:r w:rsidRPr="00E20A6F">
        <w:tab/>
      </w:r>
      <w:r w:rsidRPr="00E20A6F">
        <w:rPr>
          <w:bdr w:val="none" w:sz="0" w:space="0" w:color="auto" w:frame="1"/>
        </w:rPr>
        <w:t>este de acord cu mobilizarea a 210 000 EUR și ca măsurile propuse de Comisie să fie finanțate cu titlu de asistență tehnică în conformitate cu articolul 11 alineatele (1) și (4) și cu articolul 12 alineatele (2), (3) și (4) din Regulamentul privind FEG;</w:t>
      </w:r>
      <w:r w:rsidRPr="00E20A6F">
        <w:t xml:space="preserve"> subliniază că cheltuielile cu asistența tehnică ar trebui să rămână proporționale, eficiente și axate pe activități care îmbunătățesc în mod demonstrabil accesul la sprijin pentru lucrătorii </w:t>
      </w:r>
      <w:r w:rsidRPr="00E20A6F">
        <w:lastRenderedPageBreak/>
        <w:t>disponibilizați și eficacitatea generală a FEG;</w:t>
      </w:r>
    </w:p>
    <w:p w14:paraId="6DF4CD53" w14:textId="77777777" w:rsidR="00F03E5B" w:rsidRPr="00E20A6F" w:rsidRDefault="00F03E5B" w:rsidP="00F03E5B">
      <w:pPr>
        <w:spacing w:after="240"/>
        <w:ind w:left="567" w:hanging="567"/>
      </w:pPr>
      <w:r w:rsidRPr="00E20A6F">
        <w:t>2.</w:t>
      </w:r>
      <w:r w:rsidRPr="00E20A6F">
        <w:tab/>
        <w:t>ia act de faptul că Comisia se va folosi de bugetul disponibil pentru sprijin administrativ pentru a organiza reuniuni ale grupului de experți al persoanelor de contact ale FEG (câte doi membri din fiecare stat membru) și un seminar cu participarea organismelor de implementare a FEG și a partenerilor sociali pentru a promova colaborarea în rețea între statele membre; cere Comisiei să continue să invite sistematic Parlamentul la aceste reuniuni și seminare, conform dispozițiilor relevante din Acordul-cadru privind relațiile dintre Parlament și Comisie;</w:t>
      </w:r>
    </w:p>
    <w:p w14:paraId="6375E9CD" w14:textId="77777777" w:rsidR="00F03E5B" w:rsidRPr="00E20A6F" w:rsidRDefault="00F03E5B" w:rsidP="00F03E5B">
      <w:pPr>
        <w:pStyle w:val="NormalHanging12a"/>
        <w:rPr>
          <w:bCs/>
          <w:iCs/>
        </w:rPr>
      </w:pPr>
      <w:r w:rsidRPr="00E20A6F">
        <w:t>3.</w:t>
      </w:r>
      <w:r w:rsidRPr="00E20A6F">
        <w:tab/>
        <w:t xml:space="preserve">subliniază că trebuie să se pună mai mult accent pe informarea publicului larg și vizibilitatea FEG; subliniază că acest obiectiv poate fi urmărit prin includerea FEG în diverse publicații și activități audiovizuale ale Comisiei, astfel cum se prevede la articolul 11 alineatul (1) din Regulamentul privind FEG, și prin diseminarea de informații specifice către autoritățile naționale, regionale și locale, partenerii sociali și publicul larg; </w:t>
      </w:r>
      <w:r w:rsidRPr="00E20A6F">
        <w:rPr>
          <w:bdr w:val="none" w:sz="0" w:space="0" w:color="auto" w:frame="1"/>
        </w:rPr>
        <w:t>salută, în acest context, întreținerea site-ului dedicat FEG și invită Comisia să îl actualizeze și să îl extindă periodic;</w:t>
      </w:r>
      <w:r w:rsidRPr="00E20A6F">
        <w:t xml:space="preserve"> invită Comisia ca, în activitățile sale de promovare și de comunicare, să acorde o atenție deosebită statelor membre care nu au utilizat încă FEG sau care l-au utilizat doar într-o măsură limitată, inclusiv celor care se confruntă cu procese de restructurare și disponibilizări importante, pentru a face FEG cunoscut și pentru a ușura accesul la sprijinul oferit prin FEG;</w:t>
      </w:r>
    </w:p>
    <w:p w14:paraId="3D975908" w14:textId="16ED2C9A" w:rsidR="00F03E5B" w:rsidRPr="00E20A6F" w:rsidRDefault="00F03E5B" w:rsidP="00F03E5B">
      <w:pPr>
        <w:pStyle w:val="NormalHanging12a"/>
        <w:rPr>
          <w:bCs/>
          <w:iCs/>
        </w:rPr>
      </w:pPr>
      <w:r w:rsidRPr="00E20A6F">
        <w:rPr>
          <w:bdr w:val="none" w:sz="0" w:space="0" w:color="auto" w:frame="1"/>
        </w:rPr>
        <w:t>4.</w:t>
      </w:r>
      <w:r w:rsidRPr="00E20A6F">
        <w:rPr>
          <w:bdr w:val="none" w:sz="0" w:space="0" w:color="auto" w:frame="1"/>
        </w:rPr>
        <w:tab/>
        <w:t>subliniază că trebuie simplificată și mai mult procedura de depunere a cererilor de asistență din partea FEG; salută, în acest sens, întreținerea unui sistem electronic de schimb de date și activitatea desfășurată de Comisie cu privire la procedurile standardizate pentru depunerea cererilor de asistență din partea FEG;</w:t>
      </w:r>
      <w:r w:rsidRPr="00E20A6F">
        <w:t xml:space="preserve"> invită Comisia să reducă și mai mult birocrația și să scurteze timpul dintre depunerea cererii și acordarea de sprijin către beneficiari, asigurând totodată transparența deplină și controlul bugetar al Parlamentului European în calitate de componentă a autorității bugetare;</w:t>
      </w:r>
    </w:p>
    <w:p w14:paraId="723F4F89" w14:textId="77777777" w:rsidR="00F03E5B" w:rsidRPr="00E20A6F" w:rsidRDefault="00F03E5B" w:rsidP="00F03E5B">
      <w:pPr>
        <w:pStyle w:val="NormalHanging12a"/>
        <w:rPr>
          <w:bCs/>
          <w:iCs/>
        </w:rPr>
      </w:pPr>
      <w:r w:rsidRPr="00E20A6F">
        <w:t>5.</w:t>
      </w:r>
      <w:r w:rsidRPr="00E20A6F">
        <w:tab/>
        <w:t>subliniază că este important să se asigure că lucrătorii afectați de concedieri în masă, închideri și relocări își pot găsi un loc de muncă și noi oportunități; subliniază, prin urmare, că FEG ar trebui să acorde în continuare prioritate măsurilor de formare și recalificare pentru lucrătorii disponibilizați, oferind parcursuri de formare și calificări care să le faciliteze reintegrarea pe piața muncii; subliniază că evaluările impactului FEG ar trebui să se concentreze pe măsurarea reintegrării beneficiarilor pe piața muncii și a eficacității formării oferite, pentru a îmbunătăți și adapta în permanență parcursurile de formare și măsurile de sprijin de-a lungul timpului;</w:t>
      </w:r>
    </w:p>
    <w:p w14:paraId="01DB2D7D" w14:textId="36349376" w:rsidR="00F03E5B" w:rsidRPr="00E20A6F" w:rsidRDefault="00F03E5B" w:rsidP="00F03E5B">
      <w:pPr>
        <w:pStyle w:val="NormalHanging12a"/>
        <w:rPr>
          <w:noProof/>
        </w:rPr>
      </w:pPr>
      <w:r w:rsidRPr="00E20A6F">
        <w:t>6.</w:t>
      </w:r>
      <w:r w:rsidRPr="00E20A6F">
        <w:tab/>
        <w:t>salută activitățile de informare vizând statele membre, partenerii sociali și întreprinderi</w:t>
      </w:r>
      <w:r w:rsidR="00C12B30" w:rsidRPr="00E20A6F">
        <w:t>le</w:t>
      </w:r>
      <w:r w:rsidRPr="00E20A6F">
        <w:t xml:space="preserve"> cu privire la modificările aduse Regulamentului privind FEG, care includ posibilitatea de a oferi sprijin și lucrătorilor afectați de disponibilizări iminente într-o întreprindere în curs de restructurare;</w:t>
      </w:r>
    </w:p>
    <w:p w14:paraId="506CCB7B" w14:textId="1D9CC106" w:rsidR="00F03E5B" w:rsidRPr="00E20A6F" w:rsidRDefault="00F03E5B" w:rsidP="00F03E5B">
      <w:pPr>
        <w:pStyle w:val="NormalHanging12a"/>
        <w:rPr>
          <w:bdr w:val="none" w:sz="0" w:space="0" w:color="auto" w:frame="1"/>
        </w:rPr>
      </w:pPr>
      <w:r w:rsidRPr="00E20A6F">
        <w:t>7.</w:t>
      </w:r>
      <w:r w:rsidRPr="00E20A6F">
        <w:tab/>
        <w:t xml:space="preserve">subliniază că cheltuielile finanțate prin asistență tehnică ar trebui </w:t>
      </w:r>
      <w:r w:rsidR="00C12B30" w:rsidRPr="00E20A6F">
        <w:t xml:space="preserve">să fie </w:t>
      </w:r>
      <w:r w:rsidRPr="00E20A6F">
        <w:t>monitorizate riguros și evaluate periodic pentru a asigura o bună gestiune financiară, o rentabilitate corectă și o valoare adăugată tangibilă pentru statele membre și beneficiari; invită Comisia să furnizeze informații detaliate cu privire la utilizarea resurselor de asistență tehnică și la rezultatele concrete obținute prin activitățile finanțate;</w:t>
      </w:r>
    </w:p>
    <w:p w14:paraId="78C71AEE" w14:textId="77777777" w:rsidR="00F03E5B" w:rsidRPr="00E20A6F" w:rsidRDefault="00F03E5B" w:rsidP="00F03E5B">
      <w:pPr>
        <w:spacing w:after="240"/>
        <w:ind w:left="567" w:hanging="567"/>
      </w:pPr>
      <w:r w:rsidRPr="00E20A6F">
        <w:t>8.</w:t>
      </w:r>
      <w:r w:rsidRPr="00E20A6F">
        <w:tab/>
        <w:t>aprobă decizia anexată la prezenta rezoluție;</w:t>
      </w:r>
    </w:p>
    <w:p w14:paraId="096106DD" w14:textId="77777777" w:rsidR="00F03E5B" w:rsidRPr="00E20A6F" w:rsidRDefault="00F03E5B" w:rsidP="00F03E5B">
      <w:pPr>
        <w:spacing w:after="240"/>
        <w:ind w:left="567" w:hanging="567"/>
        <w:rPr>
          <w:bdr w:val="none" w:sz="0" w:space="0" w:color="auto" w:frame="1"/>
        </w:rPr>
      </w:pPr>
      <w:r w:rsidRPr="00E20A6F">
        <w:lastRenderedPageBreak/>
        <w:t>9.</w:t>
      </w:r>
      <w:r w:rsidRPr="00E20A6F">
        <w:tab/>
      </w:r>
      <w:r w:rsidRPr="00E20A6F">
        <w:rPr>
          <w:bdr w:val="none" w:sz="0" w:space="0" w:color="auto" w:frame="1"/>
        </w:rPr>
        <w:t xml:space="preserve">încredințează Președintei sarcina de a semna această decizie împreună cu Președintele Consiliului și de a asigura publicarea sa în </w:t>
      </w:r>
      <w:r w:rsidRPr="00E20A6F">
        <w:rPr>
          <w:i/>
          <w:bdr w:val="none" w:sz="0" w:space="0" w:color="auto" w:frame="1"/>
        </w:rPr>
        <w:t>Jurnalul Oficial al Uniunii Europene</w:t>
      </w:r>
      <w:r w:rsidRPr="00E20A6F">
        <w:rPr>
          <w:bdr w:val="none" w:sz="0" w:space="0" w:color="auto" w:frame="1"/>
        </w:rPr>
        <w:t>;</w:t>
      </w:r>
    </w:p>
    <w:p w14:paraId="6A50FD10" w14:textId="77777777" w:rsidR="00F03E5B" w:rsidRPr="00E20A6F" w:rsidRDefault="00F03E5B" w:rsidP="00F03E5B">
      <w:pPr>
        <w:pStyle w:val="NormalHanging12a"/>
      </w:pPr>
      <w:r w:rsidRPr="00E20A6F">
        <w:t>10.</w:t>
      </w:r>
      <w:r w:rsidRPr="00E20A6F">
        <w:tab/>
      </w:r>
      <w:r w:rsidRPr="00E20A6F">
        <w:rPr>
          <w:bdr w:val="none" w:sz="0" w:space="0" w:color="auto" w:frame="1"/>
        </w:rPr>
        <w:t>încredințează Președintei sarcina de a transmite prezenta rezoluție, împreună cu anexa, Consiliului și Comisiei.</w:t>
      </w:r>
    </w:p>
    <w:p w14:paraId="4009322B" w14:textId="77777777" w:rsidR="00F03E5B" w:rsidRPr="00E20A6F" w:rsidRDefault="00F03E5B" w:rsidP="00F03E5B">
      <w:pPr>
        <w:rPr>
          <w:noProof/>
        </w:rPr>
      </w:pPr>
    </w:p>
    <w:p w14:paraId="3BD66FEA" w14:textId="77777777" w:rsidR="00F03E5B" w:rsidRPr="00E20A6F" w:rsidRDefault="00F03E5B" w:rsidP="00F03E5B">
      <w:pPr>
        <w:pStyle w:val="PageHeading"/>
        <w:rPr>
          <w:noProof/>
        </w:rPr>
        <w:sectPr w:rsidR="00F03E5B" w:rsidRPr="00E20A6F" w:rsidSect="00240B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904B1C" w14:textId="77777777" w:rsidR="00F03E5B" w:rsidRPr="00E20A6F" w:rsidRDefault="00F03E5B" w:rsidP="00F03E5B">
      <w:pPr>
        <w:pStyle w:val="PageHeading"/>
        <w:rPr>
          <w:noProof/>
        </w:rPr>
      </w:pPr>
      <w:bookmarkStart w:id="8" w:name="_Toc233790074"/>
      <w:r w:rsidRPr="00E20A6F">
        <w:lastRenderedPageBreak/>
        <w:t>ANEXĂ: DECIZIA PARLAMENTULUI EUROPEAN ȘI A CONSILIULUI</w:t>
      </w:r>
      <w:bookmarkEnd w:id="8"/>
    </w:p>
    <w:p w14:paraId="369E489D" w14:textId="23D4D81A" w:rsidR="00F03E5B" w:rsidRPr="00E20A6F" w:rsidRDefault="00F03E5B" w:rsidP="00F03E5B">
      <w:pPr>
        <w:pStyle w:val="NormalBold24a"/>
      </w:pPr>
      <w:r w:rsidRPr="00E20A6F">
        <w:t>privind mobilizarea Fondului european de ajustare la globalizare pentru lucrătorii disponibilizați la inițiativa Comisiei (</w:t>
      </w:r>
      <w:r w:rsidR="00831ADF" w:rsidRPr="00E20A6F">
        <w:t>EGF</w:t>
      </w:r>
      <w:r w:rsidRPr="00E20A6F">
        <w:t>/2026/000 TA 2026 – Asistență tehnică)</w:t>
      </w:r>
    </w:p>
    <w:p w14:paraId="715487E6" w14:textId="77777777" w:rsidR="00F03E5B" w:rsidRPr="00E20A6F" w:rsidRDefault="00F03E5B" w:rsidP="00F03E5B">
      <w:pPr>
        <w:pStyle w:val="NormalHanging12a"/>
      </w:pPr>
      <w:r w:rsidRPr="00E20A6F">
        <w:t>PARLAMENTUL EUROPEAN ȘI CONSILIUL UNIUNII EUROPENE,</w:t>
      </w:r>
    </w:p>
    <w:p w14:paraId="52EE6CBA" w14:textId="77777777" w:rsidR="00F03E5B" w:rsidRPr="00E20A6F" w:rsidRDefault="00F03E5B" w:rsidP="00F03E5B">
      <w:pPr>
        <w:pStyle w:val="NormalHanging12a"/>
      </w:pPr>
      <w:r w:rsidRPr="00E20A6F">
        <w:t>având în vedere Tratatul privind funcționarea Uniunii Europene,</w:t>
      </w:r>
    </w:p>
    <w:p w14:paraId="1FCE043F" w14:textId="77777777" w:rsidR="00F03E5B" w:rsidRPr="00E20A6F" w:rsidRDefault="00F03E5B" w:rsidP="00F03E5B">
      <w:pPr>
        <w:pStyle w:val="NormalHanging12a"/>
        <w:ind w:left="0" w:firstLine="0"/>
      </w:pPr>
      <w:r w:rsidRPr="00E20A6F">
        <w:t>având în vedere Regulamentul (UE) 2021/691 al Parlamentului European și al Consiliului din 28 aprilie 2021 privind Fondul european de ajustare la globalizare pentru lucrătorii disponibilizați (FEG) și de abrogare a Regulamentului (UE) nr. 1309/2013</w:t>
      </w:r>
      <w:r w:rsidRPr="00E20A6F">
        <w:rPr>
          <w:vertAlign w:val="superscript"/>
        </w:rPr>
        <w:footnoteReference w:id="6"/>
      </w:r>
      <w:r w:rsidRPr="00E20A6F">
        <w:t>, în special articolul 15 alineatul (1) primul paragraf,</w:t>
      </w:r>
    </w:p>
    <w:p w14:paraId="3D85B536" w14:textId="77777777" w:rsidR="00F03E5B" w:rsidRPr="00E20A6F" w:rsidRDefault="00F03E5B" w:rsidP="00F03E5B">
      <w:pPr>
        <w:pStyle w:val="NormalHanging12a"/>
        <w:ind w:left="0" w:firstLine="0"/>
      </w:pPr>
      <w:r w:rsidRPr="00E20A6F">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E20A6F">
        <w:rPr>
          <w:vertAlign w:val="superscript"/>
        </w:rPr>
        <w:footnoteReference w:id="7"/>
      </w:r>
      <w:r w:rsidRPr="00E20A6F">
        <w:t>, în special punctul 9,</w:t>
      </w:r>
    </w:p>
    <w:p w14:paraId="4D85A7AB" w14:textId="77777777" w:rsidR="00F03E5B" w:rsidRPr="00E20A6F" w:rsidRDefault="00F03E5B" w:rsidP="00F03E5B">
      <w:pPr>
        <w:pStyle w:val="NormalHanging12a"/>
      </w:pPr>
      <w:r w:rsidRPr="00E20A6F">
        <w:t>având în vedere propunerea Comisiei Europene,</w:t>
      </w:r>
    </w:p>
    <w:p w14:paraId="1B7E16CD" w14:textId="77777777" w:rsidR="00F03E5B" w:rsidRPr="00E20A6F" w:rsidRDefault="00F03E5B" w:rsidP="00F03E5B">
      <w:pPr>
        <w:pStyle w:val="NormalHanging12a"/>
        <w:jc w:val="both"/>
      </w:pPr>
      <w:r w:rsidRPr="00E20A6F">
        <w:t>întrucât:</w:t>
      </w:r>
    </w:p>
    <w:p w14:paraId="4F3D7B7B" w14:textId="77777777" w:rsidR="00F03E5B" w:rsidRPr="00E20A6F" w:rsidRDefault="00F03E5B" w:rsidP="00F03E5B">
      <w:pPr>
        <w:pStyle w:val="NormalHanging12a"/>
        <w:jc w:val="both"/>
      </w:pPr>
      <w:r w:rsidRPr="00E20A6F">
        <w:t>(1)</w:t>
      </w:r>
      <w:r w:rsidRPr="00E20A6F">
        <w:tab/>
        <w:t>Fondul european de ajustare la globalizare pentru lucrătorii disponibilizați (FEG) urmărește să dea dovadă de solidaritate și să promoveze locuri de muncă decente și durabile în Uniune, oferind sprijin lucrătorilor concediați și persoanelor care desfășoară o activitate independentă a căror activitate a încetat în cazul unor evenimente majore de restructurare și ajutându-i să revină cât mai curând posibil la locuri de muncă decente și durabile.</w:t>
      </w:r>
    </w:p>
    <w:p w14:paraId="04B702B1" w14:textId="77777777" w:rsidR="00F03E5B" w:rsidRPr="00E20A6F" w:rsidRDefault="00F03E5B" w:rsidP="00F03E5B">
      <w:pPr>
        <w:pStyle w:val="NormalHanging12a"/>
        <w:jc w:val="both"/>
      </w:pPr>
      <w:r w:rsidRPr="00E20A6F">
        <w:t>(2)</w:t>
      </w:r>
      <w:r w:rsidRPr="00E20A6F">
        <w:tab/>
        <w:t>FEG nu trebuie să depășească un cuantum anual de maximum 30 de milioane EUR (la prețurile din 2018), astfel cum se prevede la articolul 8 din Regulamentul (UE, Euratom) 2020/2093 al Consiliului</w:t>
      </w:r>
      <w:r w:rsidRPr="00E20A6F">
        <w:rPr>
          <w:iCs/>
          <w:vertAlign w:val="superscript"/>
        </w:rPr>
        <w:footnoteReference w:id="8"/>
      </w:r>
      <w:r w:rsidRPr="00E20A6F">
        <w:t>, modificat prin Regulamentul (UE, Euratom) 2024/765 al Consiliului</w:t>
      </w:r>
      <w:r w:rsidRPr="00E20A6F">
        <w:rPr>
          <w:iCs/>
          <w:vertAlign w:val="superscript"/>
        </w:rPr>
        <w:footnoteReference w:id="9"/>
      </w:r>
      <w:r w:rsidRPr="00E20A6F">
        <w:t>, și la articolul 16 din Regulamentul (UE) 2021/691.</w:t>
      </w:r>
    </w:p>
    <w:p w14:paraId="7BEEEE14" w14:textId="77777777" w:rsidR="00F03E5B" w:rsidRPr="00E20A6F" w:rsidRDefault="00F03E5B" w:rsidP="00F03E5B">
      <w:pPr>
        <w:pStyle w:val="NormalHanging12a"/>
        <w:jc w:val="both"/>
      </w:pPr>
      <w:r w:rsidRPr="00E20A6F">
        <w:t>(3)</w:t>
      </w:r>
      <w:r w:rsidRPr="00E20A6F">
        <w:tab/>
        <w:t>Regulamentul (UE) 2021/691 prevede că, la inițiativa Comisiei, un procentaj maxim de 1,5 % din cuantumul anual maxim al FEG se poate utiliza în fiecare an pentru asistență tehnică.</w:t>
      </w:r>
    </w:p>
    <w:p w14:paraId="183074CC" w14:textId="77777777" w:rsidR="00F03E5B" w:rsidRPr="00E20A6F" w:rsidRDefault="00F03E5B" w:rsidP="00F03E5B">
      <w:pPr>
        <w:pStyle w:val="NormalHanging12a"/>
        <w:jc w:val="both"/>
      </w:pPr>
      <w:r w:rsidRPr="00E20A6F">
        <w:lastRenderedPageBreak/>
        <w:t>(4)</w:t>
      </w:r>
      <w:r w:rsidRPr="00E20A6F">
        <w:tab/>
        <w:t>Această asistență este necesară pentru a îndeplini obligațiile referitoare la execuția FEG prevăzute la articolul 11 din Regulamentul (UE) 2021/691, în special în ceea ce privește monitorizarea și colectarea de date, precum și activitățile de comunicare și cele de îmbunătățire a vizibilității FEG.</w:t>
      </w:r>
    </w:p>
    <w:p w14:paraId="15FD6F95" w14:textId="77777777" w:rsidR="00F03E5B" w:rsidRPr="00E20A6F" w:rsidRDefault="00F03E5B" w:rsidP="00F03E5B">
      <w:pPr>
        <w:pStyle w:val="NormalHanging12a"/>
        <w:jc w:val="both"/>
      </w:pPr>
      <w:r w:rsidRPr="00E20A6F">
        <w:t>(5)</w:t>
      </w:r>
      <w:r w:rsidRPr="00E20A6F">
        <w:tab/>
        <w:t>În consecință, FEG ar trebui mobilizat pentru a pune la dispoziție suma de 210 000 EUR pentru asistență tehnică la inițiativa Comisiei,</w:t>
      </w:r>
    </w:p>
    <w:p w14:paraId="36AE66D2" w14:textId="77777777" w:rsidR="00F03E5B" w:rsidRPr="00E20A6F" w:rsidRDefault="00F03E5B" w:rsidP="00F03E5B">
      <w:r w:rsidRPr="00E20A6F">
        <w:t>ADOPTĂ PREZENTA DECIZIE:</w:t>
      </w:r>
    </w:p>
    <w:p w14:paraId="5BAB48E6" w14:textId="77777777" w:rsidR="00F03E5B" w:rsidRPr="00E20A6F" w:rsidRDefault="00F03E5B" w:rsidP="00F03E5B"/>
    <w:p w14:paraId="55188BC0" w14:textId="77777777" w:rsidR="00F03E5B" w:rsidRPr="00E20A6F" w:rsidRDefault="00F03E5B" w:rsidP="00F03E5B">
      <w:pPr>
        <w:jc w:val="center"/>
        <w:rPr>
          <w:i/>
          <w:iCs/>
        </w:rPr>
      </w:pPr>
      <w:r w:rsidRPr="00E20A6F">
        <w:rPr>
          <w:i/>
        </w:rPr>
        <w:t>Articolul 1</w:t>
      </w:r>
    </w:p>
    <w:p w14:paraId="29B629AE" w14:textId="77777777" w:rsidR="00F03E5B" w:rsidRPr="00E20A6F" w:rsidRDefault="00F03E5B" w:rsidP="00F03E5B">
      <w:pPr>
        <w:jc w:val="center"/>
        <w:rPr>
          <w:i/>
          <w:iCs/>
        </w:rPr>
      </w:pPr>
    </w:p>
    <w:p w14:paraId="4C69C563" w14:textId="77777777" w:rsidR="00F03E5B" w:rsidRPr="00E20A6F" w:rsidRDefault="00F03E5B" w:rsidP="00F03E5B">
      <w:bookmarkStart w:id="9" w:name="_Hlk230695449"/>
      <w:r w:rsidRPr="00E20A6F">
        <w:t>În cadrul bugetului general al Uniunii pentru exercițiul financiar 2026, se mobilizează Fondul european de ajustare la globalizare pentru lucrătorii disponibilizați, pentru a se furniza cuantumul de 210 000 EUR, sub formă de credite de angajament și credite de plată.</w:t>
      </w:r>
      <w:bookmarkEnd w:id="9"/>
    </w:p>
    <w:p w14:paraId="10C64441" w14:textId="77777777" w:rsidR="00F03E5B" w:rsidRPr="00E20A6F" w:rsidRDefault="00F03E5B" w:rsidP="00F03E5B"/>
    <w:p w14:paraId="21352A90" w14:textId="77777777" w:rsidR="00F03E5B" w:rsidRPr="00E20A6F" w:rsidRDefault="00F03E5B" w:rsidP="00F03E5B">
      <w:pPr>
        <w:jc w:val="center"/>
        <w:rPr>
          <w:i/>
          <w:iCs/>
        </w:rPr>
      </w:pPr>
      <w:r w:rsidRPr="00E20A6F">
        <w:rPr>
          <w:i/>
        </w:rPr>
        <w:t>Articolul 2</w:t>
      </w:r>
    </w:p>
    <w:p w14:paraId="0FAE8B97" w14:textId="77777777" w:rsidR="00F03E5B" w:rsidRPr="00E20A6F" w:rsidRDefault="00F03E5B" w:rsidP="00F03E5B"/>
    <w:p w14:paraId="362DD8F4" w14:textId="37733437" w:rsidR="00F03E5B" w:rsidRPr="00E20A6F" w:rsidRDefault="00F03E5B" w:rsidP="00F03E5B">
      <w:r w:rsidRPr="00E20A6F">
        <w:t xml:space="preserve">Prezenta decizie intră în vigoare </w:t>
      </w:r>
      <w:r w:rsidR="00C877CF" w:rsidRPr="00E20A6F">
        <w:t>la data</w:t>
      </w:r>
      <w:r w:rsidRPr="00E20A6F">
        <w:t xml:space="preserve"> publicării sale în </w:t>
      </w:r>
      <w:r w:rsidRPr="00E20A6F">
        <w:rPr>
          <w:i/>
        </w:rPr>
        <w:t>Jurnalul Oficial al Uniunii Europene</w:t>
      </w:r>
      <w:r w:rsidRPr="00E20A6F">
        <w:t xml:space="preserve">. </w:t>
      </w:r>
    </w:p>
    <w:p w14:paraId="17E8CBDB" w14:textId="77777777" w:rsidR="00F03E5B" w:rsidRPr="00E20A6F" w:rsidRDefault="00F03E5B" w:rsidP="00F03E5B"/>
    <w:p w14:paraId="58E14169" w14:textId="77777777" w:rsidR="00F03E5B" w:rsidRPr="00E20A6F" w:rsidRDefault="00F03E5B" w:rsidP="00F03E5B"/>
    <w:p w14:paraId="54974378" w14:textId="59A6E27E" w:rsidR="00F03E5B" w:rsidRPr="00E20A6F" w:rsidRDefault="00F03E5B" w:rsidP="00F03E5B">
      <w:r w:rsidRPr="00E20A6F">
        <w:t>Adoptată la ,</w:t>
      </w:r>
    </w:p>
    <w:p w14:paraId="4A0422C4" w14:textId="77777777" w:rsidR="00F03E5B" w:rsidRPr="00E20A6F" w:rsidRDefault="00F03E5B" w:rsidP="00F03E5B"/>
    <w:p w14:paraId="1BB6A0AE" w14:textId="77777777" w:rsidR="00F03E5B" w:rsidRPr="00E20A6F" w:rsidRDefault="00F03E5B" w:rsidP="00F03E5B">
      <w:pPr>
        <w:rPr>
          <w:i/>
        </w:rPr>
      </w:pPr>
      <w:r w:rsidRPr="00E20A6F">
        <w:rPr>
          <w:i/>
        </w:rPr>
        <w:t>Pentru Parlamentul European</w:t>
      </w:r>
      <w:r w:rsidRPr="00E20A6F">
        <w:rPr>
          <w:i/>
        </w:rPr>
        <w:tab/>
      </w:r>
      <w:r w:rsidRPr="00E20A6F">
        <w:rPr>
          <w:i/>
        </w:rPr>
        <w:tab/>
      </w:r>
      <w:r w:rsidRPr="00E20A6F">
        <w:rPr>
          <w:i/>
        </w:rPr>
        <w:tab/>
        <w:t>Pentru Consiliu</w:t>
      </w:r>
    </w:p>
    <w:p w14:paraId="483F0721" w14:textId="7D30F708" w:rsidR="00240B61" w:rsidRPr="00E20A6F" w:rsidRDefault="00F03E5B" w:rsidP="00240B61">
      <w:r w:rsidRPr="00E20A6F">
        <w:rPr>
          <w:i/>
        </w:rPr>
        <w:t>Președinta</w:t>
      </w:r>
      <w:r w:rsidRPr="00E20A6F">
        <w:rPr>
          <w:i/>
        </w:rPr>
        <w:tab/>
      </w:r>
      <w:r w:rsidRPr="00E20A6F">
        <w:rPr>
          <w:i/>
        </w:rPr>
        <w:tab/>
      </w:r>
      <w:r w:rsidRPr="00E20A6F">
        <w:rPr>
          <w:i/>
        </w:rPr>
        <w:tab/>
      </w:r>
      <w:r w:rsidRPr="00E20A6F">
        <w:rPr>
          <w:i/>
        </w:rPr>
        <w:tab/>
      </w:r>
      <w:r w:rsidRPr="00E20A6F">
        <w:rPr>
          <w:i/>
        </w:rPr>
        <w:tab/>
      </w:r>
      <w:r w:rsidRPr="00E20A6F">
        <w:rPr>
          <w:i/>
        </w:rPr>
        <w:tab/>
        <w:t>Președintele</w:t>
      </w:r>
    </w:p>
    <w:p w14:paraId="5F261DC6" w14:textId="35D2C4E1" w:rsidR="00E365E1" w:rsidRPr="00E20A6F" w:rsidRDefault="00E365E1" w:rsidP="00AC22C0"/>
    <w:sectPr w:rsidR="00E365E1" w:rsidRPr="00E20A6F" w:rsidSect="00240B6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F0E4E" w14:textId="77777777" w:rsidR="00AC22C0" w:rsidRPr="00240B61" w:rsidRDefault="00AC22C0">
      <w:r w:rsidRPr="00240B61">
        <w:separator/>
      </w:r>
    </w:p>
  </w:endnote>
  <w:endnote w:type="continuationSeparator" w:id="0">
    <w:p w14:paraId="611FD975" w14:textId="77777777" w:rsidR="00AC22C0" w:rsidRPr="00240B61" w:rsidRDefault="00AC22C0">
      <w:r w:rsidRPr="00240B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D305" w14:textId="77777777" w:rsidR="00F03E5B" w:rsidRPr="00240B61" w:rsidRDefault="00F03E5B" w:rsidP="00E957D2">
    <w:pPr>
      <w:pStyle w:val="EPFooter"/>
    </w:pPr>
    <w:r w:rsidRPr="00240B61">
      <w:t>PE</w:t>
    </w:r>
    <w:r w:rsidRPr="00240B61">
      <w:rPr>
        <w:rStyle w:val="HideTWBExt"/>
      </w:rPr>
      <w:t>&lt;</w:t>
    </w:r>
    <w:proofErr w:type="spellStart"/>
    <w:r w:rsidRPr="00240B61">
      <w:rPr>
        <w:rStyle w:val="HideTWBExt"/>
      </w:rPr>
      <w:t>NoPE</w:t>
    </w:r>
    <w:proofErr w:type="spellEnd"/>
    <w:r w:rsidRPr="00240B61">
      <w:rPr>
        <w:rStyle w:val="HideTWBExt"/>
      </w:rPr>
      <w:t>&gt;</w:t>
    </w:r>
    <w:r w:rsidRPr="00240B61">
      <w:t>789.086</w:t>
    </w:r>
    <w:r w:rsidRPr="00240B61">
      <w:rPr>
        <w:rStyle w:val="HideTWBExt"/>
      </w:rPr>
      <w:t>&lt;/</w:t>
    </w:r>
    <w:proofErr w:type="spellStart"/>
    <w:r w:rsidRPr="00240B61">
      <w:rPr>
        <w:rStyle w:val="HideTWBExt"/>
      </w:rPr>
      <w:t>NoPE</w:t>
    </w:r>
    <w:proofErr w:type="spellEnd"/>
    <w:r w:rsidRPr="00240B61">
      <w:rPr>
        <w:rStyle w:val="HideTWBExt"/>
      </w:rPr>
      <w:t>&gt;&lt;Version&gt;</w:t>
    </w:r>
    <w:r w:rsidRPr="00240B61">
      <w:t>v02-00</w:t>
    </w:r>
    <w:r w:rsidRPr="00240B61">
      <w:rPr>
        <w:rStyle w:val="HideTWBExt"/>
      </w:rPr>
      <w:t>&lt;/</w:t>
    </w:r>
    <w:proofErr w:type="spellStart"/>
    <w:r w:rsidRPr="00240B61">
      <w:rPr>
        <w:rStyle w:val="HideTWBExt"/>
      </w:rPr>
      <w:t>Version</w:t>
    </w:r>
    <w:proofErr w:type="spellEnd"/>
    <w:r w:rsidRPr="00240B61">
      <w:rPr>
        <w:rStyle w:val="HideTWBExt"/>
      </w:rPr>
      <w:t>&gt;</w:t>
    </w:r>
    <w:r w:rsidRPr="00240B61">
      <w:tab/>
    </w:r>
    <w:r w:rsidRPr="00240B61">
      <w:fldChar w:fldCharType="begin"/>
    </w:r>
    <w:r w:rsidRPr="00240B61">
      <w:instrText xml:space="preserve"> PAGE  \* MERGEFORMAT </w:instrText>
    </w:r>
    <w:r w:rsidRPr="00240B61">
      <w:fldChar w:fldCharType="separate"/>
    </w:r>
    <w:r w:rsidRPr="00240B61">
      <w:rPr>
        <w:noProof/>
      </w:rPr>
      <w:t>1</w:t>
    </w:r>
    <w:r w:rsidRPr="00240B61">
      <w:fldChar w:fldCharType="end"/>
    </w:r>
    <w:r w:rsidRPr="00240B61">
      <w:t>/</w:t>
    </w:r>
    <w:fldSimple w:instr=" NUMPAGES  \* MERGEFORMAT ">
      <w:r w:rsidRPr="00240B61">
        <w:rPr>
          <w:noProof/>
        </w:rPr>
        <w:t>1</w:t>
      </w:r>
    </w:fldSimple>
    <w:r w:rsidRPr="00240B61">
      <w:tab/>
    </w:r>
    <w:r w:rsidRPr="00240B61">
      <w:rPr>
        <w:rStyle w:val="HideTWBExt"/>
      </w:rPr>
      <w:t>&lt;PathFdR&gt;</w:t>
    </w:r>
    <w:r w:rsidRPr="00240B61">
      <w:t>RR\1346613RO.docx</w:t>
    </w:r>
    <w:r w:rsidRPr="00240B61">
      <w:rPr>
        <w:rStyle w:val="HideTWBExt"/>
      </w:rPr>
      <w:t>&lt;/</w:t>
    </w:r>
    <w:proofErr w:type="spellStart"/>
    <w:r w:rsidRPr="00240B61">
      <w:rPr>
        <w:rStyle w:val="HideTWBExt"/>
      </w:rPr>
      <w:t>PathFdR</w:t>
    </w:r>
    <w:proofErr w:type="spellEnd"/>
    <w:r w:rsidRPr="00240B61">
      <w:rPr>
        <w:rStyle w:val="HideTWBExt"/>
      </w:rPr>
      <w:t>&gt;</w:t>
    </w:r>
  </w:p>
  <w:p w14:paraId="47C13CD5" w14:textId="77777777" w:rsidR="00F03E5B" w:rsidRPr="00240B61" w:rsidRDefault="00F03E5B" w:rsidP="00E957D2">
    <w:pPr>
      <w:pStyle w:val="EPFooter2"/>
    </w:pPr>
    <w:r w:rsidRPr="00240B6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C48A" w14:textId="26BFB356" w:rsidR="00F03E5B" w:rsidRPr="00240B61" w:rsidRDefault="00F03E5B" w:rsidP="00E957D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E01C" w14:textId="77777777" w:rsidR="00F03E5B" w:rsidRPr="00240B61" w:rsidRDefault="00F03E5B" w:rsidP="00E957D2">
    <w:pPr>
      <w:pStyle w:val="EPFooter"/>
    </w:pPr>
    <w:r w:rsidRPr="00240B61">
      <w:rPr>
        <w:rStyle w:val="HideTWBExt"/>
      </w:rPr>
      <w:t>&lt;PathFdR&gt;</w:t>
    </w:r>
    <w:r w:rsidRPr="00240B61">
      <w:t>RR\1346613RO.docx</w:t>
    </w:r>
    <w:r w:rsidRPr="00240B61">
      <w:rPr>
        <w:rStyle w:val="HideTWBExt"/>
      </w:rPr>
      <w:t>&lt;/</w:t>
    </w:r>
    <w:proofErr w:type="spellStart"/>
    <w:r w:rsidRPr="00240B61">
      <w:rPr>
        <w:rStyle w:val="HideTWBExt"/>
      </w:rPr>
      <w:t>PathFdR</w:t>
    </w:r>
    <w:proofErr w:type="spellEnd"/>
    <w:r w:rsidRPr="00240B61">
      <w:rPr>
        <w:rStyle w:val="HideTWBExt"/>
      </w:rPr>
      <w:t>&gt;</w:t>
    </w:r>
    <w:r w:rsidRPr="00240B61">
      <w:tab/>
    </w:r>
    <w:r w:rsidRPr="00240B61">
      <w:tab/>
      <w:t>PE</w:t>
    </w:r>
    <w:r w:rsidRPr="00240B61">
      <w:rPr>
        <w:rStyle w:val="HideTWBExt"/>
      </w:rPr>
      <w:t>&lt;</w:t>
    </w:r>
    <w:proofErr w:type="spellStart"/>
    <w:r w:rsidRPr="00240B61">
      <w:rPr>
        <w:rStyle w:val="HideTWBExt"/>
      </w:rPr>
      <w:t>NoPE</w:t>
    </w:r>
    <w:proofErr w:type="spellEnd"/>
    <w:r w:rsidRPr="00240B61">
      <w:rPr>
        <w:rStyle w:val="HideTWBExt"/>
      </w:rPr>
      <w:t>&gt;</w:t>
    </w:r>
    <w:r w:rsidRPr="00240B61">
      <w:t>789.086</w:t>
    </w:r>
    <w:r w:rsidRPr="00240B61">
      <w:rPr>
        <w:rStyle w:val="HideTWBExt"/>
      </w:rPr>
      <w:t>&lt;/</w:t>
    </w:r>
    <w:proofErr w:type="spellStart"/>
    <w:r w:rsidRPr="00240B61">
      <w:rPr>
        <w:rStyle w:val="HideTWBExt"/>
      </w:rPr>
      <w:t>NoPE</w:t>
    </w:r>
    <w:proofErr w:type="spellEnd"/>
    <w:r w:rsidRPr="00240B61">
      <w:rPr>
        <w:rStyle w:val="HideTWBExt"/>
      </w:rPr>
      <w:t>&gt;&lt;Version&gt;</w:t>
    </w:r>
    <w:r w:rsidRPr="00240B61">
      <w:t>v02-00</w:t>
    </w:r>
    <w:r w:rsidRPr="00240B61">
      <w:rPr>
        <w:rStyle w:val="HideTWBExt"/>
      </w:rPr>
      <w:t>&lt;/</w:t>
    </w:r>
    <w:proofErr w:type="spellStart"/>
    <w:r w:rsidRPr="00240B61">
      <w:rPr>
        <w:rStyle w:val="HideTWBExt"/>
      </w:rPr>
      <w:t>Version</w:t>
    </w:r>
    <w:proofErr w:type="spellEnd"/>
    <w:r w:rsidRPr="00240B61">
      <w:rPr>
        <w:rStyle w:val="HideTWBExt"/>
      </w:rPr>
      <w:t>&gt;</w:t>
    </w:r>
  </w:p>
  <w:p w14:paraId="15086665" w14:textId="77777777" w:rsidR="00F03E5B" w:rsidRPr="00240B61" w:rsidRDefault="00F03E5B" w:rsidP="00E957D2">
    <w:pPr>
      <w:pStyle w:val="EPFooter2"/>
    </w:pPr>
    <w:r w:rsidRPr="00240B61">
      <w:t>RO</w:t>
    </w:r>
    <w:r w:rsidRPr="00240B61">
      <w:tab/>
    </w:r>
    <w:r w:rsidRPr="00240B61">
      <w:rPr>
        <w:b w:val="0"/>
        <w:i/>
        <w:color w:val="C0C0C0"/>
        <w:sz w:val="22"/>
      </w:rPr>
      <w:t>Unită în diversitate</w:t>
    </w:r>
    <w:r w:rsidRPr="00240B61">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E4B6" w14:textId="77777777" w:rsidR="00064002" w:rsidRPr="00240B6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FF69" w14:textId="77777777" w:rsidR="00064002" w:rsidRPr="00240B6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D25E" w14:textId="77777777" w:rsidR="00064002" w:rsidRPr="00240B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71A3" w14:textId="77777777" w:rsidR="00AC22C0" w:rsidRPr="00240B61" w:rsidRDefault="00AC22C0">
      <w:r w:rsidRPr="00240B61">
        <w:separator/>
      </w:r>
    </w:p>
  </w:footnote>
  <w:footnote w:type="continuationSeparator" w:id="0">
    <w:p w14:paraId="740402FE" w14:textId="77777777" w:rsidR="00AC22C0" w:rsidRPr="00240B61" w:rsidRDefault="00AC22C0">
      <w:r w:rsidRPr="00240B61">
        <w:continuationSeparator/>
      </w:r>
    </w:p>
  </w:footnote>
  <w:footnote w:id="1">
    <w:p w14:paraId="5AC4E4D6" w14:textId="419BBF6B"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 xml:space="preserve">JO L 153, 3.5.2021, p. 48, ELI: </w:t>
      </w:r>
      <w:hyperlink r:id="rId1" w:history="1">
        <w:r w:rsidRPr="00240B61">
          <w:rPr>
            <w:rStyle w:val="Hyperlink"/>
            <w:color w:val="0070C0"/>
            <w:sz w:val="24"/>
            <w:lang w:val="ro-RO"/>
          </w:rPr>
          <w:t>http://data.europa.eu/eli/reg/2021/691/oj</w:t>
        </w:r>
      </w:hyperlink>
      <w:r w:rsidRPr="00240B61">
        <w:rPr>
          <w:color w:val="0070C0"/>
          <w:sz w:val="24"/>
          <w:lang w:val="ro-RO"/>
        </w:rPr>
        <w:t>.</w:t>
      </w:r>
    </w:p>
  </w:footnote>
  <w:footnote w:id="2">
    <w:p w14:paraId="4E8BBB29" w14:textId="4019364C"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JO L, 2026/1139, 20.5.2026, ELI: </w:t>
      </w:r>
      <w:hyperlink r:id="rId2" w:tgtFrame="_blank" w:tooltip="Oferă acces la acest document prin identificatorul său uniform de resurse ELI." w:history="1">
        <w:r w:rsidRPr="00240B61">
          <w:rPr>
            <w:rStyle w:val="Hyperlink"/>
            <w:color w:val="0070C0"/>
            <w:sz w:val="24"/>
            <w:lang w:val="ro-RO"/>
          </w:rPr>
          <w:t>http://data.europa.eu/eli/reg/2026/1139/oj</w:t>
        </w:r>
      </w:hyperlink>
      <w:r w:rsidRPr="00240B61">
        <w:rPr>
          <w:color w:val="0070C0"/>
          <w:sz w:val="24"/>
          <w:lang w:val="ro-RO"/>
        </w:rPr>
        <w:t>.</w:t>
      </w:r>
    </w:p>
  </w:footnote>
  <w:footnote w:id="3">
    <w:p w14:paraId="6197F06E" w14:textId="447E9527" w:rsidR="00F03E5B" w:rsidRPr="00240B61" w:rsidRDefault="00F03E5B" w:rsidP="00240B61">
      <w:pPr>
        <w:ind w:left="567" w:hanging="567"/>
      </w:pPr>
      <w:r w:rsidRPr="00240B61">
        <w:rPr>
          <w:rStyle w:val="FootnoteReference"/>
        </w:rPr>
        <w:footnoteRef/>
      </w:r>
      <w:r w:rsidR="00240B61" w:rsidRPr="00240B61">
        <w:t xml:space="preserve"> </w:t>
      </w:r>
      <w:r w:rsidR="00240B61" w:rsidRPr="00240B61">
        <w:tab/>
      </w:r>
      <w:r w:rsidRPr="00240B61">
        <w:t xml:space="preserve">JO L 433 I, 22.12.2020, p. 11, ELI: </w:t>
      </w:r>
      <w:hyperlink r:id="rId3" w:history="1">
        <w:r w:rsidRPr="00240B61">
          <w:rPr>
            <w:rStyle w:val="Hyperlink"/>
            <w:color w:val="0070C0"/>
          </w:rPr>
          <w:t>http://data.europa.eu/eli/reg/2020/2093/oj</w:t>
        </w:r>
      </w:hyperlink>
      <w:r w:rsidRPr="00240B61">
        <w:rPr>
          <w:color w:val="0070C0"/>
        </w:rPr>
        <w:t>.</w:t>
      </w:r>
    </w:p>
  </w:footnote>
  <w:footnote w:id="4">
    <w:p w14:paraId="1CEF9251" w14:textId="1AD0861F" w:rsidR="00F03E5B" w:rsidRPr="00240B61" w:rsidRDefault="00F03E5B" w:rsidP="00240B61">
      <w:pPr>
        <w:ind w:left="567" w:hanging="567"/>
      </w:pPr>
      <w:r w:rsidRPr="00240B61">
        <w:rPr>
          <w:rStyle w:val="FootnoteReference"/>
        </w:rPr>
        <w:footnoteRef/>
      </w:r>
      <w:r w:rsidR="00240B61" w:rsidRPr="00240B61">
        <w:t xml:space="preserve"> </w:t>
      </w:r>
      <w:r w:rsidR="00240B61" w:rsidRPr="00240B61">
        <w:tab/>
      </w:r>
      <w:r w:rsidRPr="00240B61">
        <w:t xml:space="preserve">JO L, 2024/765, 29.2.2024, ELI: </w:t>
      </w:r>
      <w:hyperlink r:id="rId4" w:history="1">
        <w:r w:rsidRPr="00240B61">
          <w:rPr>
            <w:rStyle w:val="Hyperlink"/>
          </w:rPr>
          <w:t>https://eur-lex.europa.eu/eli/reg/2024/765/oj</w:t>
        </w:r>
      </w:hyperlink>
      <w:r w:rsidRPr="00240B61">
        <w:t>.</w:t>
      </w:r>
    </w:p>
  </w:footnote>
  <w:footnote w:id="5">
    <w:p w14:paraId="2DCCE58C" w14:textId="0E905346"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 xml:space="preserve">JO L 433 I, 22.12.2020, p. </w:t>
      </w:r>
      <w:r w:rsidRPr="00240B61">
        <w:rPr>
          <w:sz w:val="24"/>
          <w:lang w:val="ro-RO"/>
        </w:rPr>
        <w:t>28, ELI:</w:t>
      </w:r>
      <w:r w:rsidR="00831ADF">
        <w:rPr>
          <w:sz w:val="24"/>
          <w:lang w:val="ro-RO"/>
        </w:rPr>
        <w:t> </w:t>
      </w:r>
      <w:hyperlink r:id="rId5" w:history="1">
        <w:r w:rsidRPr="00240B61">
          <w:rPr>
            <w:rStyle w:val="Hyperlink"/>
            <w:sz w:val="24"/>
            <w:lang w:val="ro-RO"/>
          </w:rPr>
          <w:t>http://data.europa.eu/eli/agree_interinstit/2020/1222/oj</w:t>
        </w:r>
      </w:hyperlink>
      <w:r w:rsidRPr="00240B61">
        <w:rPr>
          <w:sz w:val="24"/>
          <w:lang w:val="ro-RO"/>
        </w:rPr>
        <w:t>.</w:t>
      </w:r>
    </w:p>
  </w:footnote>
  <w:footnote w:id="6">
    <w:p w14:paraId="288F0793" w14:textId="0D1CA6AE"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 xml:space="preserve">JO L 153, 3.5.2021, p. </w:t>
      </w:r>
      <w:r w:rsidRPr="00240B61">
        <w:rPr>
          <w:sz w:val="24"/>
          <w:lang w:val="ro-RO"/>
        </w:rPr>
        <w:t xml:space="preserve">48, ELI: </w:t>
      </w:r>
      <w:hyperlink r:id="rId6" w:history="1">
        <w:r w:rsidRPr="00240B61">
          <w:rPr>
            <w:rStyle w:val="Hyperlink"/>
            <w:sz w:val="24"/>
            <w:lang w:val="ro-RO"/>
          </w:rPr>
          <w:t>http://data.europa.eu/eli/reg/2021/691/oj</w:t>
        </w:r>
      </w:hyperlink>
      <w:r w:rsidRPr="00240B61">
        <w:rPr>
          <w:sz w:val="24"/>
          <w:lang w:val="ro-RO"/>
        </w:rPr>
        <w:t>.</w:t>
      </w:r>
    </w:p>
  </w:footnote>
  <w:footnote w:id="7">
    <w:p w14:paraId="12225278" w14:textId="724BE4AC"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 xml:space="preserve">JO L 433 I, 22.12.2020, p. </w:t>
      </w:r>
      <w:r w:rsidRPr="00240B61">
        <w:rPr>
          <w:sz w:val="24"/>
          <w:lang w:val="ro-RO"/>
        </w:rPr>
        <w:t>28, ELI:</w:t>
      </w:r>
      <w:r w:rsidR="00831ADF">
        <w:rPr>
          <w:sz w:val="24"/>
          <w:lang w:val="ro-RO"/>
        </w:rPr>
        <w:t> </w:t>
      </w:r>
      <w:hyperlink r:id="rId7" w:history="1">
        <w:r w:rsidRPr="00240B61">
          <w:rPr>
            <w:rStyle w:val="Hyperlink"/>
            <w:sz w:val="24"/>
            <w:lang w:val="ro-RO"/>
          </w:rPr>
          <w:t>http://data.europa.eu/eli/agree_interinstit/2020/1222/oj</w:t>
        </w:r>
      </w:hyperlink>
      <w:r w:rsidRPr="00240B61">
        <w:rPr>
          <w:sz w:val="24"/>
          <w:lang w:val="ro-RO"/>
        </w:rPr>
        <w:t xml:space="preserve">. </w:t>
      </w:r>
    </w:p>
  </w:footnote>
  <w:footnote w:id="8">
    <w:p w14:paraId="49C284AF" w14:textId="6DE9271C"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Regulamentul (UE, Euratom) 2020/2093 al Consiliului din 17 decembrie 2020 de stabilire a cadrului financiar multianual pentru perioada 2021-2027 (JO L 433 I, 22.12.2020, p. </w:t>
      </w:r>
      <w:r w:rsidRPr="00240B61">
        <w:rPr>
          <w:sz w:val="24"/>
          <w:lang w:val="ro-RO"/>
        </w:rPr>
        <w:t>11, ELI: </w:t>
      </w:r>
      <w:hyperlink r:id="rId8" w:tooltip="Oferă acces la acest document prin identificatorul său uniform de resurse ELI." w:history="1">
        <w:r w:rsidRPr="00240B61">
          <w:rPr>
            <w:rStyle w:val="Hyperlink"/>
            <w:sz w:val="24"/>
            <w:lang w:val="ro-RO"/>
          </w:rPr>
          <w:t>http://data.europa.eu/eli/reg/2020/2093/oj</w:t>
        </w:r>
      </w:hyperlink>
      <w:r w:rsidRPr="00240B61">
        <w:rPr>
          <w:sz w:val="24"/>
          <w:lang w:val="ro-RO"/>
        </w:rPr>
        <w:t>).</w:t>
      </w:r>
    </w:p>
  </w:footnote>
  <w:footnote w:id="9">
    <w:p w14:paraId="4669052A" w14:textId="64907FB6" w:rsidR="00F03E5B" w:rsidRPr="00240B61" w:rsidRDefault="00F03E5B" w:rsidP="00240B61">
      <w:pPr>
        <w:pStyle w:val="FootnoteText"/>
        <w:ind w:left="567" w:hanging="567"/>
        <w:rPr>
          <w:sz w:val="24"/>
          <w:lang w:val="ro-RO"/>
        </w:rPr>
      </w:pPr>
      <w:r w:rsidRPr="00240B61">
        <w:rPr>
          <w:rStyle w:val="FootnoteReference"/>
          <w:sz w:val="24"/>
          <w:lang w:val="ro-RO"/>
        </w:rPr>
        <w:footnoteRef/>
      </w:r>
      <w:r w:rsidR="00240B61" w:rsidRPr="00240B61">
        <w:rPr>
          <w:sz w:val="24"/>
          <w:lang w:val="ro-RO"/>
        </w:rPr>
        <w:t xml:space="preserve"> </w:t>
      </w:r>
      <w:r w:rsidR="00240B61" w:rsidRPr="00240B61">
        <w:rPr>
          <w:sz w:val="24"/>
          <w:lang w:val="ro-RO"/>
        </w:rPr>
        <w:tab/>
      </w:r>
      <w:r w:rsidRPr="00240B61">
        <w:rPr>
          <w:sz w:val="24"/>
          <w:lang w:val="ro-RO"/>
        </w:rPr>
        <w:t>Regulamentul (UE, Euratom) 2024/765 al Consiliului din 29 februarie 2024 de modificare a Regulamentului (UE, Euratom) 2020/2093 de stabilire a cadrului financiar multianual pentru perioada 2021-2027 (JO L, 2024/765, 29.2.2024, ELI:</w:t>
      </w:r>
      <w:r w:rsidR="00831ADF">
        <w:rPr>
          <w:sz w:val="24"/>
          <w:lang w:val="ro-RO"/>
        </w:rPr>
        <w:t> </w:t>
      </w:r>
      <w:hyperlink r:id="rId9" w:history="1">
        <w:r w:rsidRPr="00240B61">
          <w:rPr>
            <w:rStyle w:val="Hyperlink"/>
            <w:sz w:val="24"/>
            <w:lang w:val="ro-RO"/>
          </w:rPr>
          <w:t>http://data.europa.eu/eli/reg/2024/765/oj</w:t>
        </w:r>
      </w:hyperlink>
      <w:r w:rsidRPr="00240B6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030F" w14:textId="77777777" w:rsidR="00F03E5B" w:rsidRPr="00240B61" w:rsidRDefault="00F03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CA96" w14:textId="77777777" w:rsidR="00F03E5B" w:rsidRPr="00240B61" w:rsidRDefault="00F03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DC4E" w14:textId="77777777" w:rsidR="00F03E5B" w:rsidRPr="00240B61" w:rsidRDefault="00F03E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A5AE" w14:textId="77777777" w:rsidR="00064002" w:rsidRPr="00240B6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367E" w14:textId="77777777" w:rsidR="00064002" w:rsidRPr="00240B6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59F7" w14:textId="77777777" w:rsidR="00064002" w:rsidRPr="00240B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213252">
    <w:abstractNumId w:val="9"/>
  </w:num>
  <w:num w:numId="2" w16cid:durableId="1972511843">
    <w:abstractNumId w:val="9"/>
  </w:num>
  <w:num w:numId="3" w16cid:durableId="1887907191">
    <w:abstractNumId w:val="7"/>
  </w:num>
  <w:num w:numId="4" w16cid:durableId="2139490717">
    <w:abstractNumId w:val="7"/>
  </w:num>
  <w:num w:numId="5" w16cid:durableId="1377970780">
    <w:abstractNumId w:val="6"/>
  </w:num>
  <w:num w:numId="6" w16cid:durableId="1047099417">
    <w:abstractNumId w:val="6"/>
  </w:num>
  <w:num w:numId="7" w16cid:durableId="1415782884">
    <w:abstractNumId w:val="5"/>
  </w:num>
  <w:num w:numId="8" w16cid:durableId="2057779611">
    <w:abstractNumId w:val="5"/>
  </w:num>
  <w:num w:numId="9" w16cid:durableId="1528833555">
    <w:abstractNumId w:val="4"/>
  </w:num>
  <w:num w:numId="10" w16cid:durableId="1313169578">
    <w:abstractNumId w:val="4"/>
  </w:num>
  <w:num w:numId="11" w16cid:durableId="677197444">
    <w:abstractNumId w:val="8"/>
  </w:num>
  <w:num w:numId="12" w16cid:durableId="385570776">
    <w:abstractNumId w:val="8"/>
  </w:num>
  <w:num w:numId="13" w16cid:durableId="775254394">
    <w:abstractNumId w:val="3"/>
  </w:num>
  <w:num w:numId="14" w16cid:durableId="1159929390">
    <w:abstractNumId w:val="3"/>
  </w:num>
  <w:num w:numId="15" w16cid:durableId="1442148252">
    <w:abstractNumId w:val="2"/>
  </w:num>
  <w:num w:numId="16" w16cid:durableId="357897982">
    <w:abstractNumId w:val="2"/>
  </w:num>
  <w:num w:numId="17" w16cid:durableId="864441193">
    <w:abstractNumId w:val="1"/>
  </w:num>
  <w:num w:numId="18" w16cid:durableId="671567832">
    <w:abstractNumId w:val="1"/>
  </w:num>
  <w:num w:numId="19" w16cid:durableId="2140487986">
    <w:abstractNumId w:val="0"/>
  </w:num>
  <w:num w:numId="20" w16cid:durableId="748502477">
    <w:abstractNumId w:val="0"/>
  </w:num>
  <w:num w:numId="21" w16cid:durableId="1829051515">
    <w:abstractNumId w:val="9"/>
  </w:num>
  <w:num w:numId="22" w16cid:durableId="1216772544">
    <w:abstractNumId w:val="7"/>
  </w:num>
  <w:num w:numId="23" w16cid:durableId="287125216">
    <w:abstractNumId w:val="6"/>
  </w:num>
  <w:num w:numId="24" w16cid:durableId="1699354147">
    <w:abstractNumId w:val="5"/>
  </w:num>
  <w:num w:numId="25" w16cid:durableId="471950005">
    <w:abstractNumId w:val="4"/>
  </w:num>
  <w:num w:numId="26" w16cid:durableId="1160997813">
    <w:abstractNumId w:val="8"/>
  </w:num>
  <w:num w:numId="27" w16cid:durableId="837430735">
    <w:abstractNumId w:val="3"/>
  </w:num>
  <w:num w:numId="28" w16cid:durableId="1966350841">
    <w:abstractNumId w:val="2"/>
  </w:num>
  <w:num w:numId="29" w16cid:durableId="150299355">
    <w:abstractNumId w:val="1"/>
  </w:num>
  <w:num w:numId="30" w16cid:durableId="761415966">
    <w:abstractNumId w:val="0"/>
  </w:num>
  <w:num w:numId="31" w16cid:durableId="946277767">
    <w:abstractNumId w:val="9"/>
  </w:num>
  <w:num w:numId="32" w16cid:durableId="480317886">
    <w:abstractNumId w:val="7"/>
  </w:num>
  <w:num w:numId="33" w16cid:durableId="1127163924">
    <w:abstractNumId w:val="6"/>
  </w:num>
  <w:num w:numId="34" w16cid:durableId="1325664161">
    <w:abstractNumId w:val="5"/>
  </w:num>
  <w:num w:numId="35" w16cid:durableId="40713845">
    <w:abstractNumId w:val="4"/>
  </w:num>
  <w:num w:numId="36" w16cid:durableId="235745989">
    <w:abstractNumId w:val="8"/>
  </w:num>
  <w:num w:numId="37" w16cid:durableId="1811170197">
    <w:abstractNumId w:val="3"/>
  </w:num>
  <w:num w:numId="38" w16cid:durableId="865561263">
    <w:abstractNumId w:val="2"/>
  </w:num>
  <w:num w:numId="39" w16cid:durableId="972834485">
    <w:abstractNumId w:val="1"/>
  </w:num>
  <w:num w:numId="40" w16cid:durableId="222327548">
    <w:abstractNumId w:val="0"/>
  </w:num>
  <w:num w:numId="41" w16cid:durableId="756025236">
    <w:abstractNumId w:val="10"/>
  </w:num>
  <w:num w:numId="42" w16cid:durableId="595402644">
    <w:abstractNumId w:val="10"/>
  </w:num>
  <w:num w:numId="43" w16cid:durableId="1662275249">
    <w:abstractNumId w:val="10"/>
  </w:num>
  <w:num w:numId="44" w16cid:durableId="1833712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RO"/>
    <w:docVar w:name="dvnumam" w:val="0"/>
    <w:docVar w:name="dvpe" w:val="789.086"/>
    <w:docVar w:name="dvrapporteur" w:val="Raportoare: "/>
    <w:docVar w:name="dvtitre" w:val="Rezoluția Parlamentului European din 7 iulie 2026 referitoare la propunerea de decizie a Parlamentului European și a Consiliului privind mobilizarea Fondului european de ajustare la globalizare pentru lucrătorii disponibilizați la inițiativa Comisiei (FEG/2026/000 TA 2026 – Asistență tehnică)(COM(2026)0360 – C10-0124/2026 – 2026/0126(BUD))"/>
  </w:docVars>
  <w:rsids>
    <w:rsidRoot w:val="00AC22C0"/>
    <w:rsid w:val="00002272"/>
    <w:rsid w:val="00064002"/>
    <w:rsid w:val="000677B9"/>
    <w:rsid w:val="000831BA"/>
    <w:rsid w:val="000A42CC"/>
    <w:rsid w:val="000E7DD9"/>
    <w:rsid w:val="0010095E"/>
    <w:rsid w:val="00125B37"/>
    <w:rsid w:val="00187494"/>
    <w:rsid w:val="001F32AE"/>
    <w:rsid w:val="00240B61"/>
    <w:rsid w:val="002767FF"/>
    <w:rsid w:val="002B18FE"/>
    <w:rsid w:val="002B5493"/>
    <w:rsid w:val="00343214"/>
    <w:rsid w:val="00353484"/>
    <w:rsid w:val="00361C00"/>
    <w:rsid w:val="00395FA1"/>
    <w:rsid w:val="003E15D4"/>
    <w:rsid w:val="00411CCE"/>
    <w:rsid w:val="0041666E"/>
    <w:rsid w:val="00421060"/>
    <w:rsid w:val="00444783"/>
    <w:rsid w:val="00471C19"/>
    <w:rsid w:val="004819B6"/>
    <w:rsid w:val="004867E3"/>
    <w:rsid w:val="00494A28"/>
    <w:rsid w:val="004C0004"/>
    <w:rsid w:val="004C5D52"/>
    <w:rsid w:val="0050519A"/>
    <w:rsid w:val="005072A1"/>
    <w:rsid w:val="00514517"/>
    <w:rsid w:val="00545827"/>
    <w:rsid w:val="00560270"/>
    <w:rsid w:val="005C2568"/>
    <w:rsid w:val="005D0FC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ADF"/>
    <w:rsid w:val="00842779"/>
    <w:rsid w:val="00865F67"/>
    <w:rsid w:val="00881A7B"/>
    <w:rsid w:val="008840E5"/>
    <w:rsid w:val="00887B3E"/>
    <w:rsid w:val="008C2AC6"/>
    <w:rsid w:val="00930C23"/>
    <w:rsid w:val="0093193B"/>
    <w:rsid w:val="009509D8"/>
    <w:rsid w:val="00950B64"/>
    <w:rsid w:val="00981893"/>
    <w:rsid w:val="009A39C1"/>
    <w:rsid w:val="00A1687D"/>
    <w:rsid w:val="00A43E52"/>
    <w:rsid w:val="00A45DF0"/>
    <w:rsid w:val="00A4678D"/>
    <w:rsid w:val="00A778C7"/>
    <w:rsid w:val="00AB441E"/>
    <w:rsid w:val="00AB6293"/>
    <w:rsid w:val="00AC22C0"/>
    <w:rsid w:val="00AE0928"/>
    <w:rsid w:val="00AF3B82"/>
    <w:rsid w:val="00B12E95"/>
    <w:rsid w:val="00B22876"/>
    <w:rsid w:val="00B558F0"/>
    <w:rsid w:val="00BD48FE"/>
    <w:rsid w:val="00BD7BD8"/>
    <w:rsid w:val="00BE6ADC"/>
    <w:rsid w:val="00C05BFE"/>
    <w:rsid w:val="00C12B30"/>
    <w:rsid w:val="00C23CD4"/>
    <w:rsid w:val="00C61C0C"/>
    <w:rsid w:val="00C877CF"/>
    <w:rsid w:val="00C941CB"/>
    <w:rsid w:val="00CC2357"/>
    <w:rsid w:val="00CF071A"/>
    <w:rsid w:val="00D058B8"/>
    <w:rsid w:val="00D56C11"/>
    <w:rsid w:val="00D834A0"/>
    <w:rsid w:val="00D872DF"/>
    <w:rsid w:val="00D91E21"/>
    <w:rsid w:val="00DA7FCD"/>
    <w:rsid w:val="00E20A6F"/>
    <w:rsid w:val="00E365E1"/>
    <w:rsid w:val="00E820A4"/>
    <w:rsid w:val="00EB006A"/>
    <w:rsid w:val="00EB4772"/>
    <w:rsid w:val="00ED169E"/>
    <w:rsid w:val="00ED4235"/>
    <w:rsid w:val="00F03E5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1539A"/>
  <w15:chartTrackingRefBased/>
  <w15:docId w15:val="{AE431E5B-314C-4E5E-8757-90D025189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3E5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03E5B"/>
    <w:pPr>
      <w:keepNext/>
      <w:spacing w:after="480"/>
      <w:jc w:val="center"/>
    </w:pPr>
    <w:rPr>
      <w:rFonts w:ascii="Arial" w:hAnsi="Arial" w:cs="Arial"/>
      <w:b/>
    </w:rPr>
  </w:style>
  <w:style w:type="paragraph" w:customStyle="1" w:styleId="NormalHanging12a">
    <w:name w:val="NormalHanging12a"/>
    <w:basedOn w:val="Normal"/>
    <w:link w:val="NormalHanging12aChar"/>
    <w:rsid w:val="00F03E5B"/>
    <w:pPr>
      <w:spacing w:after="240"/>
      <w:ind w:left="567" w:hanging="567"/>
    </w:pPr>
  </w:style>
  <w:style w:type="paragraph" w:styleId="Header">
    <w:name w:val="header"/>
    <w:basedOn w:val="Normal"/>
    <w:link w:val="HeaderChar"/>
    <w:rsid w:val="00F03E5B"/>
    <w:pPr>
      <w:tabs>
        <w:tab w:val="center" w:pos="4513"/>
        <w:tab w:val="right" w:pos="9026"/>
      </w:tabs>
    </w:pPr>
  </w:style>
  <w:style w:type="character" w:customStyle="1" w:styleId="HeaderChar">
    <w:name w:val="Header Char"/>
    <w:basedOn w:val="DefaultParagraphFont"/>
    <w:link w:val="Header"/>
    <w:rsid w:val="00F03E5B"/>
    <w:rPr>
      <w:sz w:val="24"/>
      <w:lang w:val="ro-RO"/>
    </w:rPr>
  </w:style>
  <w:style w:type="paragraph" w:customStyle="1" w:styleId="NormalBold24a">
    <w:name w:val="NormalBold24a"/>
    <w:basedOn w:val="Normal"/>
    <w:rsid w:val="00F03E5B"/>
    <w:pPr>
      <w:spacing w:after="480"/>
    </w:pPr>
    <w:rPr>
      <w:b/>
      <w:bCs/>
    </w:rPr>
  </w:style>
  <w:style w:type="paragraph" w:customStyle="1" w:styleId="EPFooter">
    <w:name w:val="EPFooter"/>
    <w:basedOn w:val="Normal"/>
    <w:rsid w:val="00F03E5B"/>
    <w:pPr>
      <w:tabs>
        <w:tab w:val="center" w:pos="4535"/>
        <w:tab w:val="right" w:pos="9071"/>
      </w:tabs>
      <w:spacing w:before="240" w:after="240"/>
    </w:pPr>
    <w:rPr>
      <w:color w:val="010000"/>
      <w:sz w:val="22"/>
    </w:rPr>
  </w:style>
  <w:style w:type="paragraph" w:customStyle="1" w:styleId="EPComma">
    <w:name w:val="EPComma"/>
    <w:basedOn w:val="Normal"/>
    <w:rsid w:val="00F03E5B"/>
    <w:pPr>
      <w:spacing w:before="480" w:after="240"/>
    </w:pPr>
  </w:style>
  <w:style w:type="character" w:styleId="Hyperlink">
    <w:name w:val="Hyperlink"/>
    <w:basedOn w:val="DefaultParagraphFont"/>
    <w:uiPriority w:val="99"/>
    <w:rsid w:val="00F03E5B"/>
    <w:rPr>
      <w:color w:val="0563C1" w:themeColor="hyperlink"/>
      <w:u w:val="single"/>
    </w:rPr>
  </w:style>
  <w:style w:type="character" w:customStyle="1" w:styleId="NormalHanging12aChar">
    <w:name w:val="NormalHanging12a Char"/>
    <w:basedOn w:val="DefaultParagraphFont"/>
    <w:link w:val="NormalHanging12a"/>
    <w:locked/>
    <w:rsid w:val="00F03E5B"/>
    <w:rPr>
      <w:sz w:val="24"/>
      <w:lang w:val="ro-RO"/>
    </w:rPr>
  </w:style>
  <w:style w:type="paragraph" w:styleId="Revision">
    <w:name w:val="Revision"/>
    <w:hidden/>
    <w:uiPriority w:val="99"/>
    <w:semiHidden/>
    <w:rsid w:val="00831ADF"/>
    <w:rPr>
      <w:sz w:val="24"/>
      <w:lang w:val="ro-RO"/>
    </w:rPr>
  </w:style>
  <w:style w:type="character" w:styleId="CommentReference">
    <w:name w:val="annotation reference"/>
    <w:basedOn w:val="DefaultParagraphFont"/>
    <w:rsid w:val="00831ADF"/>
    <w:rPr>
      <w:sz w:val="16"/>
      <w:szCs w:val="16"/>
    </w:rPr>
  </w:style>
  <w:style w:type="paragraph" w:styleId="CommentText">
    <w:name w:val="annotation text"/>
    <w:basedOn w:val="Normal"/>
    <w:link w:val="CommentTextChar"/>
    <w:rsid w:val="00831ADF"/>
    <w:rPr>
      <w:sz w:val="20"/>
    </w:rPr>
  </w:style>
  <w:style w:type="character" w:customStyle="1" w:styleId="CommentTextChar">
    <w:name w:val="Comment Text Char"/>
    <w:basedOn w:val="DefaultParagraphFont"/>
    <w:link w:val="CommentText"/>
    <w:rsid w:val="00831ADF"/>
    <w:rPr>
      <w:lang w:val="ro-RO"/>
    </w:rPr>
  </w:style>
  <w:style w:type="paragraph" w:styleId="CommentSubject">
    <w:name w:val="annotation subject"/>
    <w:basedOn w:val="CommentText"/>
    <w:next w:val="CommentText"/>
    <w:link w:val="CommentSubjectChar"/>
    <w:rsid w:val="00831ADF"/>
    <w:rPr>
      <w:b/>
      <w:bCs/>
    </w:rPr>
  </w:style>
  <w:style w:type="character" w:customStyle="1" w:styleId="CommentSubjectChar">
    <w:name w:val="Comment Subject Char"/>
    <w:basedOn w:val="CommentTextChar"/>
    <w:link w:val="CommentSubject"/>
    <w:rsid w:val="00831AD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1690</Words>
  <Characters>10264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2026-07-07T13:07:00Z</dcterms:created>
  <dcterms:modified xsi:type="dcterms:W3CDTF">2026-07-07T13:07:00Z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A10-0179/2026</vt:lpwstr>
  </property>
  <property fmtid="{D5CDD505-2E9C-101B-9397-08002B2CF9AE}" pid="4" name="&lt;Type&gt;">
    <vt:lpwstr>RR</vt:lpwstr>
  </property>
</Properties>
</file>