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2376" w14:paraId="536153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DCE5E4" w14:textId="356EF75D" w:rsidR="00751A4A" w:rsidRPr="00822376" w:rsidRDefault="00474569" w:rsidP="0010095E">
            <w:pPr>
              <w:pStyle w:val="EPName"/>
            </w:pPr>
            <w:r w:rsidRPr="00822376">
              <w:t>Európsky parlament</w:t>
            </w:r>
          </w:p>
          <w:p w14:paraId="706C562F" w14:textId="77777777" w:rsidR="00751A4A" w:rsidRPr="008223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2376">
              <w:t>2024</w:t>
            </w:r>
            <w:r w:rsidR="00817416" w:rsidRPr="00822376">
              <w:t>-202</w:t>
            </w:r>
            <w:r w:rsidRPr="00822376">
              <w:t>9</w:t>
            </w:r>
          </w:p>
        </w:tc>
        <w:tc>
          <w:tcPr>
            <w:tcW w:w="2268" w:type="dxa"/>
            <w:shd w:val="clear" w:color="auto" w:fill="auto"/>
          </w:tcPr>
          <w:p w14:paraId="07333ABF" w14:textId="77777777" w:rsidR="00751A4A" w:rsidRPr="00822376" w:rsidRDefault="00187494" w:rsidP="0010095E">
            <w:pPr>
              <w:pStyle w:val="EPLogo"/>
            </w:pPr>
            <w:r w:rsidRPr="00822376">
              <w:rPr>
                <w:noProof/>
                <w:lang w:eastAsia="ja-JP"/>
              </w:rPr>
              <w:drawing>
                <wp:inline distT="0" distB="0" distL="0" distR="0" wp14:anchorId="672D3EA1" wp14:editId="4DC885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D221B3" w14:textId="77777777" w:rsidR="00D058B8" w:rsidRPr="00822376" w:rsidRDefault="00D058B8" w:rsidP="004C5D52">
      <w:pPr>
        <w:pStyle w:val="LineTop"/>
      </w:pPr>
    </w:p>
    <w:p w14:paraId="3363C48B" w14:textId="15E34ECD" w:rsidR="00680577" w:rsidRPr="00822376" w:rsidRDefault="00474569" w:rsidP="00680577">
      <w:pPr>
        <w:pStyle w:val="EPBodyTA1"/>
      </w:pPr>
      <w:r w:rsidRPr="00822376">
        <w:t>PRIJATÉ TEXTY</w:t>
      </w:r>
    </w:p>
    <w:p w14:paraId="1577CD48" w14:textId="77777777" w:rsidR="00D058B8" w:rsidRPr="00822376" w:rsidRDefault="00D058B8" w:rsidP="00D058B8">
      <w:pPr>
        <w:pStyle w:val="LineBottom"/>
      </w:pPr>
    </w:p>
    <w:p w14:paraId="3F1C324D" w14:textId="6F3AF320" w:rsidR="00474569" w:rsidRPr="00822376" w:rsidRDefault="00474569" w:rsidP="00474569">
      <w:pPr>
        <w:pStyle w:val="ATHeading1"/>
      </w:pPr>
      <w:bookmarkStart w:id="0" w:name="TANumber"/>
      <w:r w:rsidRPr="00822376">
        <w:t>P10_TA(2026)0</w:t>
      </w:r>
      <w:r w:rsidR="00822376" w:rsidRPr="00822376">
        <w:t>243</w:t>
      </w:r>
      <w:bookmarkEnd w:id="0"/>
    </w:p>
    <w:p w14:paraId="6F3E9943" w14:textId="77777777" w:rsidR="00474569" w:rsidRPr="00822376" w:rsidRDefault="00474569" w:rsidP="00474569">
      <w:pPr>
        <w:pStyle w:val="ATHeading2"/>
      </w:pPr>
      <w:bookmarkStart w:id="1" w:name="title"/>
      <w:r w:rsidRPr="00822376">
        <w:t>Mobilizácia Európskeho fondu na prispôsobenie sa globalizácii: žiadosť EGF/2026/000 TA 2026 – Technická pomoc na podnet Komisie</w:t>
      </w:r>
      <w:bookmarkEnd w:id="1"/>
    </w:p>
    <w:p w14:paraId="5C193D72" w14:textId="77777777" w:rsidR="00474569" w:rsidRPr="00822376" w:rsidRDefault="00474569" w:rsidP="00474569">
      <w:pPr>
        <w:rPr>
          <w:i/>
          <w:vanish/>
        </w:rPr>
      </w:pPr>
      <w:r w:rsidRPr="00822376">
        <w:rPr>
          <w:i/>
        </w:rPr>
        <w:fldChar w:fldCharType="begin"/>
      </w:r>
      <w:r w:rsidRPr="00822376">
        <w:rPr>
          <w:i/>
        </w:rPr>
        <w:instrText xml:space="preserve"> TC"(</w:instrText>
      </w:r>
      <w:bookmarkStart w:id="2" w:name="DocNumber"/>
      <w:r w:rsidRPr="00822376">
        <w:rPr>
          <w:i/>
        </w:rPr>
        <w:instrText>A10-0179/2026</w:instrText>
      </w:r>
      <w:bookmarkEnd w:id="2"/>
      <w:r w:rsidRPr="00822376">
        <w:rPr>
          <w:i/>
        </w:rPr>
        <w:instrText xml:space="preserve"> - Spravodajkyňa: Lucia </w:instrText>
      </w:r>
      <w:proofErr w:type="spellStart"/>
      <w:r w:rsidRPr="00822376">
        <w:rPr>
          <w:i/>
        </w:rPr>
        <w:instrText>Yar</w:instrText>
      </w:r>
      <w:proofErr w:type="spellEnd"/>
      <w:r w:rsidRPr="00822376">
        <w:rPr>
          <w:i/>
        </w:rPr>
        <w:instrText xml:space="preserve">)"\l3 \n&gt; \* MERGEFORMAT </w:instrText>
      </w:r>
      <w:r w:rsidRPr="00822376">
        <w:rPr>
          <w:i/>
        </w:rPr>
        <w:fldChar w:fldCharType="end"/>
      </w:r>
    </w:p>
    <w:p w14:paraId="3780A64F" w14:textId="77777777" w:rsidR="00474569" w:rsidRPr="00822376" w:rsidRDefault="00474569" w:rsidP="00474569">
      <w:pPr>
        <w:rPr>
          <w:vanish/>
        </w:rPr>
      </w:pPr>
      <w:bookmarkStart w:id="3" w:name="Commission"/>
      <w:r w:rsidRPr="00822376">
        <w:rPr>
          <w:vanish/>
        </w:rPr>
        <w:t>Výbor pre rozpočet</w:t>
      </w:r>
      <w:bookmarkEnd w:id="3"/>
    </w:p>
    <w:p w14:paraId="65DBF321" w14:textId="77777777" w:rsidR="00474569" w:rsidRPr="00822376" w:rsidRDefault="00474569" w:rsidP="00474569">
      <w:pPr>
        <w:rPr>
          <w:vanish/>
        </w:rPr>
      </w:pPr>
      <w:bookmarkStart w:id="4" w:name="PE"/>
      <w:r w:rsidRPr="00822376">
        <w:rPr>
          <w:vanish/>
        </w:rPr>
        <w:t>PE789.086</w:t>
      </w:r>
      <w:bookmarkEnd w:id="4"/>
    </w:p>
    <w:p w14:paraId="5E48D021" w14:textId="2A975E3A" w:rsidR="00474569" w:rsidRPr="00822376" w:rsidRDefault="00474569" w:rsidP="00474569">
      <w:pPr>
        <w:pStyle w:val="ATHeading3"/>
      </w:pPr>
      <w:bookmarkStart w:id="5" w:name="Sujet"/>
      <w:r w:rsidRPr="00822376">
        <w:t xml:space="preserve">Uznesenie Európskeho parlamentu zo </w:t>
      </w:r>
      <w:r w:rsidR="00FF5B63" w:rsidRPr="00822376">
        <w:t>7. júla</w:t>
      </w:r>
      <w:r w:rsidRPr="00822376">
        <w:t xml:space="preserve"> 2026 o návrhu rozhodnutia Európskeho parlamentu a Rady o mobilizácii Európskeho fondu na prispôsobenie sa globalizácii na pomoc pracovníkom, ktorí prišli o zamestnanie, na podnet Komisie (EGF/2026/000 TA 2026 – Technická pomoc)</w:t>
      </w:r>
      <w:bookmarkEnd w:id="5"/>
      <w:r w:rsidRPr="00822376">
        <w:t xml:space="preserve"> </w:t>
      </w:r>
      <w:bookmarkStart w:id="6" w:name="References"/>
      <w:r w:rsidRPr="00822376">
        <w:t>(COM(2026)0360 – C10-0124/2026 – 2026/0126(BUD))</w:t>
      </w:r>
      <w:bookmarkEnd w:id="6"/>
    </w:p>
    <w:p w14:paraId="23C23C01" w14:textId="77777777" w:rsidR="006D5417" w:rsidRPr="00822376" w:rsidRDefault="006D5417" w:rsidP="006D5417">
      <w:pPr>
        <w:pStyle w:val="EPComma"/>
        <w:rPr>
          <w:noProof/>
        </w:rPr>
      </w:pPr>
      <w:r w:rsidRPr="00822376">
        <w:rPr>
          <w:i/>
        </w:rPr>
        <w:t>Európsky parlament</w:t>
      </w:r>
      <w:r w:rsidRPr="00822376">
        <w:t>,</w:t>
      </w:r>
    </w:p>
    <w:p w14:paraId="6D84C083" w14:textId="77777777" w:rsidR="006D5417" w:rsidRPr="00822376" w:rsidRDefault="006D5417" w:rsidP="006D5417">
      <w:pPr>
        <w:pStyle w:val="NormalHanging12a"/>
        <w:rPr>
          <w:noProof/>
        </w:rPr>
      </w:pPr>
      <w:r w:rsidRPr="00822376">
        <w:t>–</w:t>
      </w:r>
      <w:r w:rsidRPr="00822376">
        <w:tab/>
        <w:t>so zreteľom na návrh Komisie pre Európsky parlament a Radu (COM(2026)0360 – C10</w:t>
      </w:r>
      <w:r w:rsidRPr="00822376">
        <w:noBreakHyphen/>
        <w:t>0124/2026),</w:t>
      </w:r>
    </w:p>
    <w:p w14:paraId="18DA4CBD" w14:textId="5D63B42C" w:rsidR="006D5417" w:rsidRPr="00822376" w:rsidRDefault="006D5417" w:rsidP="006D5417">
      <w:pPr>
        <w:pStyle w:val="NormalHanging12a"/>
        <w:rPr>
          <w:noProof/>
        </w:rPr>
      </w:pPr>
      <w:bookmarkStart w:id="7" w:name="_Hlk230701067"/>
      <w:r w:rsidRPr="00822376">
        <w:t>–</w:t>
      </w:r>
      <w:r w:rsidRPr="00822376">
        <w:tab/>
        <w:t>so zreteľom na nariadenie Európskeho parlamentu a Rady (EÚ) 2021/691 z 28. apríla 2021 o Európskom fonde na prispôsobenie sa globalizácii na pomoc pracovníkom, ktorí prišli o zamestnanie (</w:t>
      </w:r>
      <w:r w:rsidR="00FF5B63" w:rsidRPr="00822376">
        <w:t>ďalej len „</w:t>
      </w:r>
      <w:r w:rsidRPr="00822376">
        <w:t>EGF</w:t>
      </w:r>
      <w:r w:rsidR="00FF5B63" w:rsidRPr="00822376">
        <w:t>“</w:t>
      </w:r>
      <w:r w:rsidRPr="00822376">
        <w:t>), ktorým sa zrušuje nariadenie (EÚ) č. 1309/2013</w:t>
      </w:r>
      <w:r w:rsidRPr="00822376">
        <w:rPr>
          <w:rStyle w:val="FootnoteReference"/>
        </w:rPr>
        <w:footnoteReference w:id="1"/>
      </w:r>
      <w:r w:rsidRPr="00822376">
        <w:t xml:space="preserve"> (ďalej len „nariadenie o EGF“), zmenené nariadením (EÚ) 2026/1139</w:t>
      </w:r>
      <w:r w:rsidRPr="00822376">
        <w:rPr>
          <w:rStyle w:val="FootnoteReference"/>
          <w:noProof/>
        </w:rPr>
        <w:footnoteReference w:id="2"/>
      </w:r>
      <w:r w:rsidRPr="00822376">
        <w:t>,</w:t>
      </w:r>
    </w:p>
    <w:bookmarkEnd w:id="7"/>
    <w:p w14:paraId="09BEBEE9" w14:textId="77777777" w:rsidR="006D5417" w:rsidRPr="00822376" w:rsidRDefault="006D5417" w:rsidP="006D5417">
      <w:pPr>
        <w:pStyle w:val="NormalHanging12a"/>
        <w:rPr>
          <w:noProof/>
        </w:rPr>
      </w:pPr>
      <w:r w:rsidRPr="00822376">
        <w:t>–</w:t>
      </w:r>
      <w:r w:rsidRPr="00822376">
        <w:tab/>
      </w:r>
      <w:r w:rsidRPr="00822376">
        <w:rPr>
          <w:snapToGrid w:val="0"/>
        </w:rPr>
        <w:t xml:space="preserve">so zreteľom na nariadenie Rady (EÚ, </w:t>
      </w:r>
      <w:proofErr w:type="spellStart"/>
      <w:r w:rsidRPr="00822376">
        <w:rPr>
          <w:snapToGrid w:val="0"/>
        </w:rPr>
        <w:t>Euratom</w:t>
      </w:r>
      <w:proofErr w:type="spellEnd"/>
      <w:r w:rsidRPr="00822376">
        <w:rPr>
          <w:snapToGrid w:val="0"/>
        </w:rPr>
        <w:t>) 2020/2093 zo 17. decembra 2020, ktorým sa stanovuje viacročný finančný rámec na roky 2021 až 2027</w:t>
      </w:r>
      <w:r w:rsidRPr="00822376">
        <w:rPr>
          <w:rStyle w:val="FootnoteReference"/>
          <w:snapToGrid w:val="0"/>
        </w:rPr>
        <w:footnoteReference w:id="3"/>
      </w:r>
      <w:r w:rsidRPr="00822376">
        <w:rPr>
          <w:snapToGrid w:val="0"/>
        </w:rPr>
        <w:t xml:space="preserve">, </w:t>
      </w:r>
      <w:r w:rsidRPr="00822376">
        <w:rPr>
          <w:snapToGrid w:val="0"/>
          <w:color w:val="000000"/>
          <w:bdr w:val="none" w:sz="0" w:space="0" w:color="auto" w:frame="1"/>
        </w:rPr>
        <w:t xml:space="preserve">zmenené nariadením (EÚ, </w:t>
      </w:r>
      <w:proofErr w:type="spellStart"/>
      <w:r w:rsidRPr="00822376">
        <w:rPr>
          <w:snapToGrid w:val="0"/>
          <w:color w:val="000000"/>
          <w:bdr w:val="none" w:sz="0" w:space="0" w:color="auto" w:frame="1"/>
        </w:rPr>
        <w:t>Euratom</w:t>
      </w:r>
      <w:proofErr w:type="spellEnd"/>
      <w:r w:rsidRPr="00822376">
        <w:rPr>
          <w:snapToGrid w:val="0"/>
          <w:color w:val="000000"/>
          <w:bdr w:val="none" w:sz="0" w:space="0" w:color="auto" w:frame="1"/>
        </w:rPr>
        <w:t>)</w:t>
      </w:r>
      <w:r w:rsidRPr="00822376">
        <w:rPr>
          <w:snapToGrid w:val="0"/>
          <w:bdr w:val="none" w:sz="0" w:space="0" w:color="auto" w:frame="1"/>
        </w:rPr>
        <w:t xml:space="preserve"> 2024/765</w:t>
      </w:r>
      <w:r w:rsidRPr="00822376">
        <w:rPr>
          <w:rStyle w:val="FootnoteReference"/>
          <w:snapToGrid w:val="0"/>
          <w:bdr w:val="none" w:sz="0" w:space="0" w:color="auto" w:frame="1"/>
        </w:rPr>
        <w:footnoteReference w:id="4"/>
      </w:r>
      <w:r w:rsidRPr="00822376">
        <w:rPr>
          <w:snapToGrid w:val="0"/>
          <w:bdr w:val="none" w:sz="0" w:space="0" w:color="auto" w:frame="1"/>
        </w:rPr>
        <w:t xml:space="preserve">, </w:t>
      </w:r>
      <w:r w:rsidRPr="00822376">
        <w:rPr>
          <w:snapToGrid w:val="0"/>
        </w:rPr>
        <w:t>a najmä na jeho článok 8</w:t>
      </w:r>
      <w:r w:rsidRPr="00822376">
        <w:t>,</w:t>
      </w:r>
    </w:p>
    <w:p w14:paraId="75AEB8B9" w14:textId="77777777" w:rsidR="006D5417" w:rsidRPr="00822376" w:rsidRDefault="006D5417" w:rsidP="006D5417">
      <w:pPr>
        <w:pStyle w:val="NormalHanging12a"/>
        <w:rPr>
          <w:noProof/>
        </w:rPr>
      </w:pPr>
      <w:r w:rsidRPr="00822376">
        <w:t>–</w:t>
      </w:r>
      <w:r w:rsidRPr="00822376">
        <w:tab/>
        <w:t xml:space="preserve">so zreteľom na </w:t>
      </w:r>
      <w:proofErr w:type="spellStart"/>
      <w:r w:rsidRPr="00822376">
        <w:t>Medziinštitucionálnu</w:t>
      </w:r>
      <w:proofErr w:type="spellEnd"/>
      <w:r w:rsidRPr="00822376">
        <w:t xml:space="preserve"> dohodu zo 16. decembra 2020 medzi Európskym parlamentom, Radou Európskej únie a Európskou komisiou o rozpočtovej disciplíne, spolupráci v rozpočtových záležitostiach a správnom finančnom riadení, ako aj o nových vlastných zdrojoch vrátane plánu na zavedenie nových vlastných zdrojov</w:t>
      </w:r>
      <w:r w:rsidRPr="00822376">
        <w:rPr>
          <w:rStyle w:val="FootnoteReference"/>
          <w:noProof/>
        </w:rPr>
        <w:footnoteReference w:id="5"/>
      </w:r>
      <w:r w:rsidRPr="00822376">
        <w:t>, a najmä na jej bod 9,</w:t>
      </w:r>
    </w:p>
    <w:p w14:paraId="4AF1875E" w14:textId="77777777" w:rsidR="006D5417" w:rsidRPr="00822376" w:rsidRDefault="006D5417" w:rsidP="006D5417">
      <w:pPr>
        <w:pStyle w:val="NormalHanging12a"/>
      </w:pPr>
      <w:r w:rsidRPr="00822376">
        <w:lastRenderedPageBreak/>
        <w:t>–</w:t>
      </w:r>
      <w:r w:rsidRPr="00822376">
        <w:tab/>
        <w:t>so zreteľom na správu Výboru pre rozpočet (A10-0179/2026),</w:t>
      </w:r>
    </w:p>
    <w:p w14:paraId="2EE30C39" w14:textId="77777777" w:rsidR="006D5417" w:rsidRPr="00822376" w:rsidRDefault="006D5417" w:rsidP="006D5417">
      <w:pPr>
        <w:pStyle w:val="NormalHanging12a"/>
        <w:rPr>
          <w:noProof/>
        </w:rPr>
      </w:pPr>
      <w:r w:rsidRPr="00822376">
        <w:t>A.</w:t>
      </w:r>
      <w:r w:rsidRPr="00822376">
        <w:tab/>
        <w:t>keďže Únia vytvorila legislatívne a rozpočtové nástroje s cieľom poskytovať dodatočnú podporu pracovníkom, ktorí pociťujú dôsledky veľkých štrukturálnych udalostí a zmien v usporiadaní svetového obchodu alebo ktorým hrozí prepustenie v podniku v reštrukturalizácii, a pomôcť pri ich opätovnom začleňovaní do trhu práce alebo pri zmene zamestnania; keďže táto pomoc sa uskutočňuje formou finančnej podpory poskytovanej pracovníkom;</w:t>
      </w:r>
    </w:p>
    <w:p w14:paraId="5758AFD6" w14:textId="77777777" w:rsidR="006D5417" w:rsidRPr="00822376" w:rsidRDefault="006D5417" w:rsidP="006D5417">
      <w:pPr>
        <w:pStyle w:val="NormalHanging12a"/>
      </w:pPr>
      <w:r w:rsidRPr="00822376">
        <w:t>B.</w:t>
      </w:r>
      <w:r w:rsidRPr="00822376">
        <w:tab/>
        <w:t xml:space="preserve">keďže finančné príspevky z EGF by mali byť zacielené predovšetkým na aktívne politiky trhu práce a </w:t>
      </w:r>
      <w:proofErr w:type="spellStart"/>
      <w:r w:rsidRPr="00822376">
        <w:t>personalizované</w:t>
      </w:r>
      <w:proofErr w:type="spellEnd"/>
      <w:r w:rsidRPr="00822376">
        <w:t xml:space="preserve"> služby zamerané na rýchle opätovné začlenenie prijímateľov do trhu práce a mali by im ponúkať odbornú prípravu na získanie zručností, ktoré im uľahčia prístup na trh práce alebo ich podporia pri zmene zamestnania;</w:t>
      </w:r>
    </w:p>
    <w:p w14:paraId="005E8960" w14:textId="77777777" w:rsidR="006D5417" w:rsidRPr="00822376" w:rsidRDefault="006D5417" w:rsidP="006D5417">
      <w:pPr>
        <w:pStyle w:val="NormalHanging12a"/>
      </w:pPr>
      <w:r w:rsidRPr="00822376">
        <w:t>C.</w:t>
      </w:r>
      <w:r w:rsidRPr="00822376">
        <w:tab/>
        <w:t xml:space="preserve">keďže v článku 11 ods. 1 nariadenia o EGF sa stanovuje, že na podnet Komisie sa najviac 1,5 % ročného stropu EGF môže poskytnúť na technickú pomoc; </w:t>
      </w:r>
    </w:p>
    <w:p w14:paraId="45C8D92E" w14:textId="77777777" w:rsidR="006D5417" w:rsidRPr="00822376" w:rsidRDefault="006D5417" w:rsidP="006D5417">
      <w:pPr>
        <w:pStyle w:val="NormalHanging12a"/>
        <w:rPr>
          <w:color w:val="000000"/>
          <w:bdr w:val="none" w:sz="0" w:space="0" w:color="auto" w:frame="1"/>
        </w:rPr>
      </w:pPr>
      <w:r w:rsidRPr="00822376">
        <w:t>D.</w:t>
      </w:r>
      <w:r w:rsidRPr="00822376">
        <w:tab/>
      </w:r>
      <w:r w:rsidRPr="00822376">
        <w:rPr>
          <w:color w:val="000000"/>
          <w:bdr w:val="none" w:sz="0" w:space="0" w:color="auto" w:frame="1"/>
        </w:rPr>
        <w:t>keďže technická pomoc môže zahŕňať technické a administratívne výdavky na vykonávanie EGF, ako sú napríklad činnosti prípravy, monitorovania, kontroly, auditu a hodnotenia, ako aj zber údajov, komunikačné činnosti a činnosti, ktoré zlepšujú viditeľnosť EGF ako fondu, alebo v súvislosti s osobitnými projektmi a inými opatreniami technickej pomoci; keďže technická pomoc zahŕňa poskytovanie informácií a usmernení členským štátom a sociálnym partnerom o EGF, ako aj cielenú osvetovú činnosť zameranú na členské štáty, ktoré nevyužívali podporu EGF vôbec alebo ju využívali len v malej miere;</w:t>
      </w:r>
      <w:r w:rsidRPr="00822376">
        <w:t xml:space="preserve"> keďže činnosti technickej pomoci by mali prispieť k zlepšeniu účinnosti, dostupnosti a viditeľnosti EGF s osobitným zameraním na merateľné výsledky, administratívne zjednodušenie a vykonávanie orientované na používateľa pre členské štáty a prijímateľov; keďže viaceré členské štáty ešte stále nevyužili EGF napriek tomu, že čelia procesom reštrukturalizácie a prepúšťaniu porovnateľným s tými, ku ktorým dochádza v prijímajúcich členských štátoch; keďže na zabezpečenie rovnakého prístupu k príležitostiam, ktoré EGF ponúka v celej Únii, sú preto potrebné cielené činnosti na zvyšovanie informovanosti a osvetové činnosti;</w:t>
      </w:r>
    </w:p>
    <w:p w14:paraId="4540811E" w14:textId="1F79C5A4" w:rsidR="006D5417" w:rsidRPr="00822376" w:rsidRDefault="006D5417" w:rsidP="006D5417">
      <w:pPr>
        <w:pStyle w:val="NormalHanging12a"/>
      </w:pPr>
      <w:r w:rsidRPr="00822376">
        <w:t>E.</w:t>
      </w:r>
      <w:r w:rsidRPr="00822376">
        <w:tab/>
        <w:t xml:space="preserve">keďže </w:t>
      </w:r>
      <w:r w:rsidRPr="00822376">
        <w:rPr>
          <w:color w:val="000000"/>
          <w:bdr w:val="none" w:sz="0" w:space="0" w:color="auto" w:frame="1"/>
        </w:rPr>
        <w:t xml:space="preserve">navrhovaná suma 210 000 EUR zodpovedá približne </w:t>
      </w:r>
      <w:r w:rsidRPr="00822376">
        <w:t>0,60 %</w:t>
      </w:r>
      <w:r w:rsidRPr="00822376">
        <w:rPr>
          <w:color w:val="000000"/>
          <w:bdr w:val="none" w:sz="0" w:space="0" w:color="auto" w:frame="1"/>
        </w:rPr>
        <w:t xml:space="preserve"> maximálneho ročného rozpočtu vyčleneného pre EGF v roku 2026;</w:t>
      </w:r>
      <w:r w:rsidRPr="00822376">
        <w:t xml:space="preserve"> keďže EGF poskytuje významnú podporu pracovníkom postihnutým reštrukturalizáciou a prepúšťaním; keďže konkurencieschopné európske hospodárstvo, znížená administratívna záťaž a podnikateľské prostredie priaznivé pre investície a inovácie sú naďalej nevyhnutné na zachovanie kvalitných pracovných miest a zníženie počtu pracovníkov, ktorí potrebujú podporu v rámci EGF;</w:t>
      </w:r>
    </w:p>
    <w:p w14:paraId="56A64818" w14:textId="1D9FF966" w:rsidR="006D5417" w:rsidRPr="00822376" w:rsidRDefault="006D5417" w:rsidP="006D5417">
      <w:pPr>
        <w:pStyle w:val="NormalHanging12a"/>
      </w:pPr>
      <w:r w:rsidRPr="00822376">
        <w:t>1.</w:t>
      </w:r>
      <w:r w:rsidRPr="00822376">
        <w:tab/>
      </w:r>
      <w:r w:rsidRPr="00822376">
        <w:rPr>
          <w:bdr w:val="none" w:sz="0" w:space="0" w:color="auto" w:frame="1"/>
        </w:rPr>
        <w:t xml:space="preserve">súhlasí s </w:t>
      </w:r>
      <w:r w:rsidRPr="00822376">
        <w:rPr>
          <w:color w:val="000000"/>
          <w:bdr w:val="none" w:sz="0" w:space="0" w:color="auto" w:frame="1"/>
        </w:rPr>
        <w:t>mobilizáciou 210 000 EUR a</w:t>
      </w:r>
      <w:r w:rsidRPr="00822376">
        <w:rPr>
          <w:bdr w:val="none" w:sz="0" w:space="0" w:color="auto" w:frame="1"/>
        </w:rPr>
        <w:t xml:space="preserve"> opatreniami, ktoré Komisia navrhuje financovať ako technickú pomoc v súlade s článkom 11 ods. 1 a 4, ako aj článkom 12 ods. 2, 3 a 4 nariadenia o EGF;</w:t>
      </w:r>
      <w:r w:rsidRPr="00822376">
        <w:t xml:space="preserve"> zdôrazňuje, že výdavky na technickú pomoc by mali zostať primerané, efektívne a zamerané na činnosti, ktoré preukázateľne zlepšujú prístup k podpore prepustených pracovníkov a celkovú účinnosť EGF;</w:t>
      </w:r>
    </w:p>
    <w:p w14:paraId="4428A5A6" w14:textId="77777777" w:rsidR="006D5417" w:rsidRPr="00822376" w:rsidRDefault="006D5417" w:rsidP="006D5417">
      <w:pPr>
        <w:spacing w:after="240"/>
        <w:ind w:left="567" w:hanging="567"/>
      </w:pPr>
      <w:r w:rsidRPr="00822376">
        <w:t>2.</w:t>
      </w:r>
      <w:r w:rsidRPr="00822376">
        <w:tab/>
        <w:t xml:space="preserve">berie na vedomie, že Komisia využije dostupný rozpočet v rámci administratívnej podpory na konanie zasadnutí expertnej skupiny kontaktných osôb EGF (dvaja členovia z každého členského štátu) a jedného seminára za účasti implementujúcich orgánov EGF a sociálnych partnerov na podporu vytvárania sietí medzi členskými štátmi; </w:t>
      </w:r>
      <w:r w:rsidRPr="00822376">
        <w:lastRenderedPageBreak/>
        <w:t>vyzýva Komisiu, aby na tieto schôdze a semináre naďalej systematicky pozývala Európsky parlament v súlade s príslušnými ustanoveniami rámcovej dohody o vzťahoch medzi Európskym parlamentom a Komisiou;</w:t>
      </w:r>
    </w:p>
    <w:p w14:paraId="66679E7B" w14:textId="77777777" w:rsidR="006D5417" w:rsidRPr="00822376" w:rsidRDefault="006D5417" w:rsidP="006D5417">
      <w:pPr>
        <w:pStyle w:val="NormalHanging12a"/>
        <w:rPr>
          <w:bCs/>
          <w:iCs/>
        </w:rPr>
      </w:pPr>
      <w:r w:rsidRPr="00822376">
        <w:t>3.</w:t>
      </w:r>
      <w:r w:rsidRPr="00822376">
        <w:tab/>
        <w:t xml:space="preserve">zdôrazňuje, že treba ďalej posilňovať všeobecnú informovanosť o EGF a jeho viditeľnosť; poukazuje na skutočnosť, že takýto cieľ sa dá dosiahnuť uvádzaním EGF v rozličných publikáciách a audiovizuálnych aktivitách Komisie, ako je stanovené v článku 11 ods. 1 nariadenia o EGF, a šírením cielených informácií vnútroštátnym, regionálnym a miestnym orgánom, sociálnym partnerom a širšej verejnosti; </w:t>
      </w:r>
      <w:r w:rsidRPr="00822376">
        <w:rPr>
          <w:bdr w:val="none" w:sz="0" w:space="0" w:color="auto" w:frame="1"/>
        </w:rPr>
        <w:t>v tejto súvislosti víta prevádzku osobitnej webovej stránky pre EGF a vyzýva Komisiu, aby ju pravidelne aktualizovala a rozširovala;</w:t>
      </w:r>
      <w:r w:rsidRPr="00822376">
        <w:t xml:space="preserve"> vyzýva Komisiu, aby pri zvyšovaní informovanosti a komunikačných činnostiach venovala osobitnú pozornosť členským štátom, ktoré EGF ešte nevyužili alebo ho využili len v obmedzenej miere, vrátane tých, ktoré čelia významným procesom reštrukturalizácie a prepúšťaniu, s cieľom zlepšiť znalosti o EGF a uľahčiť prístup k podpore z EGF;</w:t>
      </w:r>
    </w:p>
    <w:p w14:paraId="3037B1F8" w14:textId="1D2F8936" w:rsidR="006D5417" w:rsidRPr="00822376" w:rsidRDefault="006D5417" w:rsidP="006D5417">
      <w:pPr>
        <w:pStyle w:val="NormalHanging12a"/>
        <w:rPr>
          <w:bCs/>
          <w:iCs/>
        </w:rPr>
      </w:pPr>
      <w:r w:rsidRPr="00822376">
        <w:rPr>
          <w:bdr w:val="none" w:sz="0" w:space="0" w:color="auto" w:frame="1"/>
        </w:rPr>
        <w:t>4.</w:t>
      </w:r>
      <w:r w:rsidRPr="00822376">
        <w:rPr>
          <w:bdr w:val="none" w:sz="0" w:space="0" w:color="auto" w:frame="1"/>
        </w:rPr>
        <w:tab/>
        <w:t>zdôrazňuje potrebu ďalšieho zjednodušenia postupu podávania žiadostí o príspevok z EGF; v tejto súvislosti víta prevádzku systému elektronickej výmeny údajov a prácu na štandardizovaných postupoch pre žiadosti o príspevok z EGF, ktorú vykonáva Komisia;</w:t>
      </w:r>
      <w:r w:rsidRPr="00822376">
        <w:t xml:space="preserve"> vyzýva Komisiu, aby naďalej znižovala administratívnu záťaž a skracovala čas medzi podaním žiadosti a poskytnutím podpory prijímateľom a zároveň zabezpečila úplnú transparentnosť a rozpočtovú kontrolu Európskeho parlamentu ako jednej zložky rozpočtového orgánu;</w:t>
      </w:r>
    </w:p>
    <w:p w14:paraId="63B35667" w14:textId="77777777" w:rsidR="006D5417" w:rsidRPr="00822376" w:rsidRDefault="006D5417" w:rsidP="006D5417">
      <w:pPr>
        <w:pStyle w:val="NormalHanging12a"/>
        <w:rPr>
          <w:bCs/>
          <w:iCs/>
        </w:rPr>
      </w:pPr>
      <w:r w:rsidRPr="00822376">
        <w:t>5.</w:t>
      </w:r>
      <w:r w:rsidRPr="00822376">
        <w:tab/>
        <w:t>zdôrazňuje, že je dôležité zabezpečiť, aby si pracovníci zasiahnutí hromadným prepúšťaním, zatváraním a premiestňovaním podnikov mohli nájsť zamestnanie a nové príležitosti; zdôrazňuje preto, že EGF by mal naďalej uprednostňovať opatrenia v oblasti odbornej prípravy a rekvalifikácie pre prepustených pracovníkov a ponúkať možnosti odbornej prípravy a kvalifikácie, ktoré uľahčujú ich opätovné začlenenie do trhu práce; zdôrazňuje, že hodnotenia vplyvu EGF by sa mali zamerať na meranie opätovného začlenenia prijímateľov do zamestnania a účinnosti poskytovanej odbornej prípravy s cieľom priebežne zlepšovať a prispôsobovať spôsoby odbornej prípravy a podporné opatrenia;</w:t>
      </w:r>
    </w:p>
    <w:p w14:paraId="7206890D" w14:textId="77777777" w:rsidR="006D5417" w:rsidRPr="00822376" w:rsidRDefault="006D5417" w:rsidP="006D5417">
      <w:pPr>
        <w:pStyle w:val="NormalHanging12a"/>
        <w:rPr>
          <w:noProof/>
        </w:rPr>
      </w:pPr>
      <w:r w:rsidRPr="00822376">
        <w:t>6.</w:t>
      </w:r>
      <w:r w:rsidRPr="00822376">
        <w:tab/>
        <w:t>víta činnosti, ktoré zvyšujú informovanosť členských štátov, sociálnych partnerov a podnikov o zmenách nariadenia o EGF, ktoré zahŕňajú možnosť poskytovať podporu aj pracovníkom, ktorým hrozí prepustenie v podniku v reštrukturalizácii;</w:t>
      </w:r>
    </w:p>
    <w:p w14:paraId="7FC4BD8B" w14:textId="77777777" w:rsidR="006D5417" w:rsidRPr="00822376" w:rsidRDefault="006D5417" w:rsidP="006D5417">
      <w:pPr>
        <w:pStyle w:val="NormalHanging12a"/>
        <w:rPr>
          <w:bdr w:val="none" w:sz="0" w:space="0" w:color="auto" w:frame="1"/>
        </w:rPr>
      </w:pPr>
      <w:r w:rsidRPr="00822376">
        <w:t>7.</w:t>
      </w:r>
      <w:r w:rsidRPr="00822376">
        <w:tab/>
        <w:t>zdôrazňuje, že výdavky financované v rámci technickej pomoci by mali podliehať prísnemu monitorovaniu a pravidelnému hodnoteniu s cieľom zabezpečiť správne finančné riadenie, nákladovú efektívnosť a citeľnú pridanú hodnotu pre členské štáty a prijímateľov; vyzýva Komisiu, aby poskytla podrobné informácie o využívaní zdrojov technickej pomoci a o konkrétnych výsledkoch dosiahnutých prostredníctvom financovaných činností;</w:t>
      </w:r>
    </w:p>
    <w:p w14:paraId="0C8CB493" w14:textId="77777777" w:rsidR="006D5417" w:rsidRPr="00822376" w:rsidRDefault="006D5417" w:rsidP="006D5417">
      <w:pPr>
        <w:spacing w:after="240"/>
        <w:ind w:left="567" w:hanging="567"/>
      </w:pPr>
      <w:r w:rsidRPr="00822376">
        <w:t>8.</w:t>
      </w:r>
      <w:r w:rsidRPr="00822376">
        <w:tab/>
        <w:t>schvaľuje rozhodnutie, ktoré je uvedené v prílohe k tomuto uzneseniu;</w:t>
      </w:r>
    </w:p>
    <w:p w14:paraId="0CF82E18" w14:textId="77777777" w:rsidR="006D5417" w:rsidRPr="00822376" w:rsidRDefault="006D5417" w:rsidP="006D5417">
      <w:pPr>
        <w:spacing w:after="240"/>
        <w:ind w:left="567" w:hanging="567"/>
        <w:rPr>
          <w:bdr w:val="none" w:sz="0" w:space="0" w:color="auto" w:frame="1"/>
        </w:rPr>
      </w:pPr>
      <w:r w:rsidRPr="00822376">
        <w:t>9.</w:t>
      </w:r>
      <w:r w:rsidRPr="00822376">
        <w:tab/>
      </w:r>
      <w:r w:rsidRPr="00822376">
        <w:rPr>
          <w:bdr w:val="none" w:sz="0" w:space="0" w:color="auto" w:frame="1"/>
        </w:rPr>
        <w:t xml:space="preserve">poveruje svoju predsedníčku, aby podpísala toto rozhodnutie spoločne s predsedom Rady a aby zabezpečila jeho uverejnenie v </w:t>
      </w:r>
      <w:r w:rsidRPr="00822376">
        <w:rPr>
          <w:i/>
          <w:bdr w:val="none" w:sz="0" w:space="0" w:color="auto" w:frame="1"/>
        </w:rPr>
        <w:t>Úradnom vestníku Európskej únie</w:t>
      </w:r>
      <w:r w:rsidRPr="00822376">
        <w:rPr>
          <w:bdr w:val="none" w:sz="0" w:space="0" w:color="auto" w:frame="1"/>
        </w:rPr>
        <w:t>;</w:t>
      </w:r>
    </w:p>
    <w:p w14:paraId="1425E057" w14:textId="75767319" w:rsidR="006D5417" w:rsidRPr="00822376" w:rsidRDefault="006D5417" w:rsidP="00FF5B63">
      <w:pPr>
        <w:pStyle w:val="NormalHanging12a"/>
        <w:rPr>
          <w:noProof/>
        </w:rPr>
      </w:pPr>
      <w:r w:rsidRPr="00822376">
        <w:t>10.</w:t>
      </w:r>
      <w:r w:rsidRPr="00822376">
        <w:tab/>
      </w:r>
      <w:r w:rsidRPr="00822376">
        <w:rPr>
          <w:bdr w:val="none" w:sz="0" w:space="0" w:color="auto" w:frame="1"/>
        </w:rPr>
        <w:t>poveruje svoju predsedníčku, aby postúpila toto uznesenie spolu s prílohou Rade a Komisii.</w:t>
      </w:r>
    </w:p>
    <w:p w14:paraId="0C1C3729" w14:textId="77777777" w:rsidR="006D5417" w:rsidRPr="00822376" w:rsidRDefault="006D5417" w:rsidP="006D5417">
      <w:pPr>
        <w:pStyle w:val="PageHeading"/>
        <w:rPr>
          <w:noProof/>
        </w:rPr>
        <w:sectPr w:rsidR="006D5417" w:rsidRPr="00822376" w:rsidSect="00DA455F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7CD34C" w14:textId="77777777" w:rsidR="006D5417" w:rsidRPr="00822376" w:rsidRDefault="006D5417" w:rsidP="006D5417">
      <w:pPr>
        <w:pStyle w:val="PageHeading"/>
        <w:rPr>
          <w:noProof/>
        </w:rPr>
      </w:pPr>
      <w:bookmarkStart w:id="8" w:name="_Toc233795105"/>
      <w:r w:rsidRPr="00822376">
        <w:lastRenderedPageBreak/>
        <w:t>PRÍLOHA: ROZHODNUTIE EURÓPSKEHO PARLAMENTU A RADY</w:t>
      </w:r>
      <w:bookmarkEnd w:id="8"/>
    </w:p>
    <w:p w14:paraId="1CC2D551" w14:textId="77777777" w:rsidR="006D5417" w:rsidRPr="00822376" w:rsidRDefault="006D5417" w:rsidP="006D5417">
      <w:pPr>
        <w:pStyle w:val="NormalBold24a"/>
      </w:pPr>
      <w:r w:rsidRPr="00822376">
        <w:t>o mobilizácii Európskeho fondu na prispôsobenie sa globalizácii na pomoc pracovníkom, ktorí prišli o zamestnanie, na podnet Komisie (EGF/2026/000 TA 2026 – Technická pomoc)</w:t>
      </w:r>
    </w:p>
    <w:p w14:paraId="797E3B92" w14:textId="77777777" w:rsidR="006D5417" w:rsidRPr="00822376" w:rsidRDefault="006D5417" w:rsidP="006D5417">
      <w:pPr>
        <w:pStyle w:val="NormalHanging12a"/>
      </w:pPr>
      <w:r w:rsidRPr="00822376">
        <w:t>EURÓPSKY PARLAMENT A RADA EURÓPSKEJ ÚNIE,</w:t>
      </w:r>
    </w:p>
    <w:p w14:paraId="7AC04440" w14:textId="77777777" w:rsidR="006D5417" w:rsidRPr="00822376" w:rsidRDefault="006D5417" w:rsidP="006D5417">
      <w:pPr>
        <w:pStyle w:val="NormalHanging12a"/>
      </w:pPr>
      <w:r w:rsidRPr="00822376">
        <w:t>so zreteľom na Zmluvu o fungovaní Európskej únie,</w:t>
      </w:r>
    </w:p>
    <w:p w14:paraId="3D0740F6" w14:textId="77777777" w:rsidR="006D5417" w:rsidRPr="00822376" w:rsidRDefault="006D5417" w:rsidP="006D5417">
      <w:pPr>
        <w:pStyle w:val="NormalHanging12a"/>
        <w:ind w:left="0" w:firstLine="0"/>
      </w:pPr>
      <w:r w:rsidRPr="00822376">
        <w:t>so zreteľom na nariadenie Európskeho parlamentu a Rady (EÚ) 2021/691 z 28. apríla 2021 o Európskom fonde na prispôsobenie sa globalizácii na pomoc pracovníkom, ktorí prišli o zamestnanie (EGF), ktorým sa zrušuje nariadenie (EÚ) č. 1309/2013</w:t>
      </w:r>
      <w:r w:rsidRPr="00822376">
        <w:rPr>
          <w:vertAlign w:val="superscript"/>
        </w:rPr>
        <w:footnoteReference w:id="6"/>
      </w:r>
      <w:r w:rsidRPr="00822376">
        <w:t xml:space="preserve">, a najmä na jeho článok 15 ods. 1 prvý </w:t>
      </w:r>
      <w:proofErr w:type="spellStart"/>
      <w:r w:rsidRPr="00822376">
        <w:t>pododsek</w:t>
      </w:r>
      <w:proofErr w:type="spellEnd"/>
      <w:r w:rsidRPr="00822376">
        <w:t>,</w:t>
      </w:r>
    </w:p>
    <w:p w14:paraId="5A5404FE" w14:textId="77777777" w:rsidR="006D5417" w:rsidRPr="00822376" w:rsidRDefault="006D5417" w:rsidP="006D5417">
      <w:pPr>
        <w:pStyle w:val="NormalHanging12a"/>
        <w:ind w:left="0" w:firstLine="0"/>
      </w:pPr>
      <w:r w:rsidRPr="00822376">
        <w:t xml:space="preserve">so zreteľom na </w:t>
      </w:r>
      <w:proofErr w:type="spellStart"/>
      <w:r w:rsidRPr="00822376">
        <w:t>Medziinštitucionálnu</w:t>
      </w:r>
      <w:proofErr w:type="spellEnd"/>
      <w:r w:rsidRPr="00822376">
        <w:t xml:space="preserve"> dohodu zo 16. decembra 2020 medzi Európskym parlamentom, Radou Európskej únie a Európskou komisiou o rozpočtovej disciplíne, spolupráci v rozpočtových záležitostiach a správnom finančnom riadení, ako aj o nových vlastných zdrojoch vrátane plánu na zavedenie nových vlastných zdrojov</w:t>
      </w:r>
      <w:r w:rsidRPr="00822376">
        <w:rPr>
          <w:vertAlign w:val="superscript"/>
        </w:rPr>
        <w:footnoteReference w:id="7"/>
      </w:r>
      <w:r w:rsidRPr="00822376">
        <w:t>, a najmä na jej bod 9,</w:t>
      </w:r>
    </w:p>
    <w:p w14:paraId="64506621" w14:textId="77777777" w:rsidR="006D5417" w:rsidRPr="00822376" w:rsidRDefault="006D5417" w:rsidP="006D5417">
      <w:pPr>
        <w:pStyle w:val="NormalHanging12a"/>
      </w:pPr>
      <w:r w:rsidRPr="00822376">
        <w:t>so zreteľom na návrh Európskej komisie,</w:t>
      </w:r>
    </w:p>
    <w:p w14:paraId="7B6AE25E" w14:textId="77777777" w:rsidR="006D5417" w:rsidRPr="00822376" w:rsidRDefault="006D5417" w:rsidP="006D5417">
      <w:pPr>
        <w:pStyle w:val="NormalHanging12a"/>
        <w:jc w:val="both"/>
      </w:pPr>
      <w:r w:rsidRPr="00822376">
        <w:t>keďže:</w:t>
      </w:r>
    </w:p>
    <w:p w14:paraId="4E7B1CF2" w14:textId="30902567" w:rsidR="006D5417" w:rsidRPr="00822376" w:rsidRDefault="006D5417" w:rsidP="006D5417">
      <w:pPr>
        <w:pStyle w:val="NormalHanging12a"/>
        <w:jc w:val="both"/>
      </w:pPr>
      <w:r w:rsidRPr="00822376">
        <w:t>(1)</w:t>
      </w:r>
      <w:r w:rsidRPr="00822376">
        <w:tab/>
        <w:t>Európsky fond na prispôsobenie sa globalizácii na pomoc pracovníkom, ktorí prišli o zamestnanie (</w:t>
      </w:r>
      <w:r w:rsidR="0031326F" w:rsidRPr="00822376">
        <w:t>ďalej len „</w:t>
      </w:r>
      <w:r w:rsidRPr="00822376">
        <w:t>EGF</w:t>
      </w:r>
      <w:r w:rsidR="0031326F" w:rsidRPr="00822376">
        <w:t>“</w:t>
      </w:r>
      <w:r w:rsidRPr="00822376">
        <w:t>), má za cieľ preukázať solidaritu a podporovať dôstojné a udržateľné zamestnanie v Únii tým, že bude v prípade veľkých reštrukturalizačných udalostí poskytovať podporu pracovníkom, ktorí boli prepustení, a samostatne zárobkovo činným osobám, ktorých činnosť bola ukončená, a že im bude pomáhať v tom, aby si čo najskôr našli dôstojné a udržateľné zamestnanie.</w:t>
      </w:r>
    </w:p>
    <w:p w14:paraId="64123FDC" w14:textId="77777777" w:rsidR="006D5417" w:rsidRPr="00822376" w:rsidRDefault="006D5417" w:rsidP="006D5417">
      <w:pPr>
        <w:pStyle w:val="NormalHanging12a"/>
        <w:jc w:val="both"/>
      </w:pPr>
      <w:r w:rsidRPr="00822376">
        <w:t>(2)</w:t>
      </w:r>
      <w:r w:rsidRPr="00822376">
        <w:tab/>
        <w:t xml:space="preserve">Podľa článku 8 nariadenia Rady (EÚ, </w:t>
      </w:r>
      <w:proofErr w:type="spellStart"/>
      <w:r w:rsidRPr="00822376">
        <w:t>Euratom</w:t>
      </w:r>
      <w:proofErr w:type="spellEnd"/>
      <w:r w:rsidRPr="00822376">
        <w:t>) 2020/2093</w:t>
      </w:r>
      <w:r w:rsidRPr="00822376">
        <w:rPr>
          <w:iCs/>
          <w:vertAlign w:val="superscript"/>
        </w:rPr>
        <w:footnoteReference w:id="8"/>
      </w:r>
      <w:r w:rsidRPr="00822376">
        <w:rPr>
          <w:vertAlign w:val="superscript"/>
        </w:rPr>
        <w:t xml:space="preserve"> </w:t>
      </w:r>
      <w:r w:rsidRPr="00822376">
        <w:t xml:space="preserve">zmeneného nariadením Rady (EÚ, </w:t>
      </w:r>
      <w:proofErr w:type="spellStart"/>
      <w:r w:rsidRPr="00822376">
        <w:t>Euratom</w:t>
      </w:r>
      <w:proofErr w:type="spellEnd"/>
      <w:r w:rsidRPr="00822376">
        <w:t>) 2024/765</w:t>
      </w:r>
      <w:r w:rsidRPr="00822376">
        <w:rPr>
          <w:iCs/>
          <w:vertAlign w:val="superscript"/>
        </w:rPr>
        <w:footnoteReference w:id="9"/>
      </w:r>
      <w:r w:rsidRPr="00822376">
        <w:t xml:space="preserve"> a článku 16 nariadenia (EÚ) 2021/691 nesmie EGF prekročiť maximálnu ročnú sumu 30 miliónov EUR (v cenách z roku 2018).</w:t>
      </w:r>
    </w:p>
    <w:p w14:paraId="2B28D3DC" w14:textId="29F67BCB" w:rsidR="006D5417" w:rsidRPr="00822376" w:rsidRDefault="006D5417" w:rsidP="006D5417">
      <w:pPr>
        <w:pStyle w:val="NormalHanging12a"/>
        <w:jc w:val="both"/>
      </w:pPr>
      <w:r w:rsidRPr="00822376">
        <w:t>(3)</w:t>
      </w:r>
      <w:r w:rsidRPr="00822376">
        <w:tab/>
        <w:t>V nariadení (EÚ) 2021/691 sa stanovuje, že na podnet Komisie sa môže na technickú pomoc každoročne použiť najviac 1,5</w:t>
      </w:r>
      <w:r w:rsidR="0031326F" w:rsidRPr="00822376">
        <w:t> </w:t>
      </w:r>
      <w:r w:rsidRPr="00822376">
        <w:t>% ročnej maximálnej sumy EGF.</w:t>
      </w:r>
    </w:p>
    <w:p w14:paraId="585458D7" w14:textId="77777777" w:rsidR="006D5417" w:rsidRPr="00822376" w:rsidRDefault="006D5417" w:rsidP="006D5417">
      <w:pPr>
        <w:pStyle w:val="NormalHanging12a"/>
        <w:jc w:val="both"/>
      </w:pPr>
      <w:r w:rsidRPr="00822376">
        <w:t>(4)</w:t>
      </w:r>
      <w:r w:rsidRPr="00822376">
        <w:tab/>
        <w:t xml:space="preserve">Táto pomoc je potrebná na plnenie povinností pri vykonávaní EGF stanovených v článku </w:t>
      </w:r>
      <w:r w:rsidRPr="00822376">
        <w:lastRenderedPageBreak/>
        <w:t>11 nariadenia (EÚ) 2021/691, najmä pokiaľ ide o monitorovanie a zber údajov, ako aj komunikačné činnosti a činnosti na zviditeľnenie EGF.</w:t>
      </w:r>
    </w:p>
    <w:p w14:paraId="36E1199B" w14:textId="77777777" w:rsidR="006D5417" w:rsidRPr="00822376" w:rsidRDefault="006D5417" w:rsidP="006D5417">
      <w:pPr>
        <w:pStyle w:val="NormalHanging12a"/>
        <w:jc w:val="both"/>
      </w:pPr>
      <w:r w:rsidRPr="00822376">
        <w:t>(5)</w:t>
      </w:r>
      <w:r w:rsidRPr="00822376">
        <w:tab/>
        <w:t>Preto by sa mali mobilizovať prostriedky EGF s cieľom poskytnúť na podnet Komisie 210 000 EUR na technickú pomoc,</w:t>
      </w:r>
    </w:p>
    <w:p w14:paraId="74A01F8E" w14:textId="77777777" w:rsidR="006D5417" w:rsidRPr="00822376" w:rsidRDefault="006D5417" w:rsidP="006D5417">
      <w:r w:rsidRPr="00822376">
        <w:t>PRIJALI TOTO ROZHODNUTIE:</w:t>
      </w:r>
    </w:p>
    <w:p w14:paraId="3DE77908" w14:textId="77777777" w:rsidR="006D5417" w:rsidRPr="00822376" w:rsidRDefault="006D5417" w:rsidP="006D5417"/>
    <w:p w14:paraId="741AF7DA" w14:textId="77777777" w:rsidR="006D5417" w:rsidRPr="00822376" w:rsidRDefault="006D5417" w:rsidP="006D5417">
      <w:pPr>
        <w:jc w:val="center"/>
        <w:rPr>
          <w:i/>
          <w:iCs/>
        </w:rPr>
      </w:pPr>
      <w:r w:rsidRPr="00822376">
        <w:rPr>
          <w:i/>
        </w:rPr>
        <w:t>Článok 1</w:t>
      </w:r>
    </w:p>
    <w:p w14:paraId="49A35F21" w14:textId="77777777" w:rsidR="006D5417" w:rsidRPr="00822376" w:rsidRDefault="006D5417" w:rsidP="006D5417">
      <w:pPr>
        <w:jc w:val="center"/>
        <w:rPr>
          <w:i/>
          <w:iCs/>
        </w:rPr>
      </w:pPr>
    </w:p>
    <w:p w14:paraId="1B85556C" w14:textId="77777777" w:rsidR="006D5417" w:rsidRPr="00822376" w:rsidRDefault="006D5417" w:rsidP="006D5417">
      <w:bookmarkStart w:id="9" w:name="_Hlk230695449"/>
      <w:r w:rsidRPr="00822376">
        <w:t>V rámci všeobecného rozpočtu Únie na rozpočtový rok 2026 sa mobilizuje Európsky fond na prispôsobenie sa globalizácii na pomoc pracovníkom, ktorí prišli o zamestnanie, s cieľom poskytnúť sumu 210 000 EUR vo forme viazaných a platobných rozpočtových prostriedkov.</w:t>
      </w:r>
      <w:bookmarkEnd w:id="9"/>
    </w:p>
    <w:p w14:paraId="652AE14E" w14:textId="77777777" w:rsidR="006D5417" w:rsidRPr="00822376" w:rsidRDefault="006D5417" w:rsidP="006D5417"/>
    <w:p w14:paraId="39125BB5" w14:textId="77777777" w:rsidR="006D5417" w:rsidRPr="00822376" w:rsidRDefault="006D5417" w:rsidP="006D5417">
      <w:pPr>
        <w:jc w:val="center"/>
        <w:rPr>
          <w:i/>
          <w:iCs/>
        </w:rPr>
      </w:pPr>
      <w:r w:rsidRPr="00822376">
        <w:rPr>
          <w:i/>
        </w:rPr>
        <w:t>Článok 2</w:t>
      </w:r>
    </w:p>
    <w:p w14:paraId="1054F796" w14:textId="77777777" w:rsidR="006D5417" w:rsidRPr="00822376" w:rsidRDefault="006D5417" w:rsidP="006D5417"/>
    <w:p w14:paraId="26AAFE40" w14:textId="77777777" w:rsidR="006D5417" w:rsidRPr="00822376" w:rsidRDefault="006D5417" w:rsidP="006D5417">
      <w:r w:rsidRPr="00822376">
        <w:t>Toto rozhodnutie nadobúda účinnosť dňom jeho uverejnenia v </w:t>
      </w:r>
      <w:r w:rsidRPr="00822376">
        <w:rPr>
          <w:i/>
        </w:rPr>
        <w:t>Úradnom vestníku Európskej únie</w:t>
      </w:r>
      <w:r w:rsidRPr="00822376">
        <w:t xml:space="preserve">. </w:t>
      </w:r>
    </w:p>
    <w:p w14:paraId="08E89F0A" w14:textId="77777777" w:rsidR="006D5417" w:rsidRPr="00822376" w:rsidRDefault="006D5417" w:rsidP="006D5417"/>
    <w:p w14:paraId="5F2A088A" w14:textId="77777777" w:rsidR="006D5417" w:rsidRPr="00822376" w:rsidRDefault="006D5417" w:rsidP="006D5417"/>
    <w:p w14:paraId="6A968207" w14:textId="6FF7E539" w:rsidR="006D5417" w:rsidRPr="00822376" w:rsidRDefault="006D5417" w:rsidP="006D5417">
      <w:r w:rsidRPr="00822376">
        <w:t xml:space="preserve">V </w:t>
      </w:r>
    </w:p>
    <w:p w14:paraId="2B0735F7" w14:textId="77777777" w:rsidR="006D5417" w:rsidRPr="00822376" w:rsidRDefault="006D5417" w:rsidP="006D5417"/>
    <w:p w14:paraId="4EADFC07" w14:textId="0B9A5176" w:rsidR="006D5417" w:rsidRPr="00822376" w:rsidRDefault="006D5417" w:rsidP="00822376">
      <w:pPr>
        <w:tabs>
          <w:tab w:val="left" w:pos="4820"/>
        </w:tabs>
        <w:rPr>
          <w:i/>
        </w:rPr>
      </w:pPr>
      <w:r w:rsidRPr="00822376">
        <w:rPr>
          <w:i/>
        </w:rPr>
        <w:t>Za Európsky parlament</w:t>
      </w:r>
      <w:r w:rsidRPr="00822376">
        <w:rPr>
          <w:i/>
        </w:rPr>
        <w:tab/>
        <w:t>Za Radu</w:t>
      </w:r>
    </w:p>
    <w:p w14:paraId="03AA7456" w14:textId="700CA0A0" w:rsidR="00DA455F" w:rsidRPr="00822376" w:rsidRDefault="006D5417" w:rsidP="00822376">
      <w:pPr>
        <w:tabs>
          <w:tab w:val="left" w:pos="4820"/>
        </w:tabs>
      </w:pPr>
      <w:r w:rsidRPr="00822376">
        <w:rPr>
          <w:i/>
        </w:rPr>
        <w:t>predsedníčka</w:t>
      </w:r>
      <w:r w:rsidRPr="00822376">
        <w:rPr>
          <w:i/>
        </w:rPr>
        <w:tab/>
        <w:t>predseda/predsedníčka</w:t>
      </w:r>
    </w:p>
    <w:p w14:paraId="5282E38D" w14:textId="1FB65170" w:rsidR="00E365E1" w:rsidRPr="00822376" w:rsidRDefault="00E365E1" w:rsidP="00474569"/>
    <w:sectPr w:rsidR="00E365E1" w:rsidRPr="00822376" w:rsidSect="00DA45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F5BE1" w14:textId="77777777" w:rsidR="00474569" w:rsidRPr="00DA455F" w:rsidRDefault="00474569">
      <w:r w:rsidRPr="00DA455F">
        <w:separator/>
      </w:r>
    </w:p>
  </w:endnote>
  <w:endnote w:type="continuationSeparator" w:id="0">
    <w:p w14:paraId="5978C64A" w14:textId="77777777" w:rsidR="00474569" w:rsidRPr="00DA455F" w:rsidRDefault="00474569">
      <w:r w:rsidRPr="00DA45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0DC0D" w14:textId="77777777" w:rsidR="006D5417" w:rsidRPr="00DA455F" w:rsidRDefault="006D5417" w:rsidP="00A75878">
    <w:pPr>
      <w:pStyle w:val="EPFooter"/>
    </w:pPr>
    <w:r w:rsidRPr="00DA455F">
      <w:t>PE</w:t>
    </w:r>
    <w:r w:rsidRPr="00DA455F">
      <w:rPr>
        <w:rStyle w:val="HideTWBExt"/>
      </w:rPr>
      <w:t>&lt;</w:t>
    </w:r>
    <w:proofErr w:type="spellStart"/>
    <w:r w:rsidRPr="00DA455F">
      <w:rPr>
        <w:rStyle w:val="HideTWBExt"/>
      </w:rPr>
      <w:t>NoPE</w:t>
    </w:r>
    <w:proofErr w:type="spellEnd"/>
    <w:r w:rsidRPr="00DA455F">
      <w:rPr>
        <w:rStyle w:val="HideTWBExt"/>
      </w:rPr>
      <w:t>&gt;</w:t>
    </w:r>
    <w:r w:rsidRPr="00DA455F">
      <w:t>789.086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NoPE</w:t>
    </w:r>
    <w:proofErr w:type="spellEnd"/>
    <w:r w:rsidRPr="00DA455F">
      <w:rPr>
        <w:rStyle w:val="HideTWBExt"/>
      </w:rPr>
      <w:t>&gt;&lt;Version&gt;</w:t>
    </w:r>
    <w:r w:rsidRPr="00DA455F">
      <w:t>v02-00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Version</w:t>
    </w:r>
    <w:proofErr w:type="spellEnd"/>
    <w:r w:rsidRPr="00DA455F">
      <w:rPr>
        <w:rStyle w:val="HideTWBExt"/>
      </w:rPr>
      <w:t>&gt;</w:t>
    </w:r>
    <w:r w:rsidRPr="00DA455F">
      <w:tab/>
    </w:r>
    <w:r w:rsidRPr="00DA455F">
      <w:fldChar w:fldCharType="begin"/>
    </w:r>
    <w:r w:rsidRPr="00DA455F">
      <w:instrText xml:space="preserve"> PAGE  \* MERGEFORMAT </w:instrText>
    </w:r>
    <w:r w:rsidRPr="00DA455F">
      <w:fldChar w:fldCharType="separate"/>
    </w:r>
    <w:r w:rsidRPr="00DA455F">
      <w:rPr>
        <w:noProof/>
      </w:rPr>
      <w:t>2</w:t>
    </w:r>
    <w:r w:rsidRPr="00DA455F">
      <w:fldChar w:fldCharType="end"/>
    </w:r>
    <w:r w:rsidRPr="00DA455F">
      <w:t>/</w:t>
    </w:r>
    <w:fldSimple w:instr=" NUMPAGES  \* MERGEFORMAT ">
      <w:r w:rsidRPr="00DA455F">
        <w:rPr>
          <w:noProof/>
        </w:rPr>
        <w:t>1</w:t>
      </w:r>
    </w:fldSimple>
    <w:r w:rsidRPr="00DA455F">
      <w:tab/>
    </w:r>
    <w:r w:rsidRPr="00DA455F">
      <w:rPr>
        <w:rStyle w:val="HideTWBExt"/>
      </w:rPr>
      <w:t>&lt;PathFdR&gt;</w:t>
    </w:r>
    <w:r w:rsidRPr="00DA455F">
      <w:t>RR\1346613SK.docx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PathFdR</w:t>
    </w:r>
    <w:proofErr w:type="spellEnd"/>
    <w:r w:rsidRPr="00DA455F">
      <w:rPr>
        <w:rStyle w:val="HideTWBExt"/>
      </w:rPr>
      <w:t>&gt;</w:t>
    </w:r>
  </w:p>
  <w:p w14:paraId="44568D07" w14:textId="77777777" w:rsidR="006D5417" w:rsidRPr="00DA455F" w:rsidRDefault="006D5417" w:rsidP="00A75878">
    <w:pPr>
      <w:pStyle w:val="EPFooter2"/>
    </w:pPr>
    <w:r w:rsidRPr="00DA455F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509B" w14:textId="03648FC1" w:rsidR="006D5417" w:rsidRPr="00FF5B63" w:rsidRDefault="006D5417" w:rsidP="00822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4CE6" w14:textId="77777777" w:rsidR="006D5417" w:rsidRPr="00DA455F" w:rsidRDefault="006D5417" w:rsidP="00A75878">
    <w:pPr>
      <w:pStyle w:val="EPFooter"/>
    </w:pPr>
    <w:r w:rsidRPr="00DA455F">
      <w:rPr>
        <w:rStyle w:val="HideTWBExt"/>
      </w:rPr>
      <w:t>&lt;PathFdR&gt;</w:t>
    </w:r>
    <w:r w:rsidRPr="00DA455F">
      <w:t>RR\1346613SK.docx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PathFdR</w:t>
    </w:r>
    <w:proofErr w:type="spellEnd"/>
    <w:r w:rsidRPr="00DA455F">
      <w:rPr>
        <w:rStyle w:val="HideTWBExt"/>
      </w:rPr>
      <w:t>&gt;</w:t>
    </w:r>
    <w:r w:rsidRPr="00DA455F">
      <w:tab/>
    </w:r>
    <w:r w:rsidRPr="00DA455F">
      <w:tab/>
      <w:t>PE</w:t>
    </w:r>
    <w:r w:rsidRPr="00DA455F">
      <w:rPr>
        <w:rStyle w:val="HideTWBExt"/>
      </w:rPr>
      <w:t>&lt;</w:t>
    </w:r>
    <w:proofErr w:type="spellStart"/>
    <w:r w:rsidRPr="00DA455F">
      <w:rPr>
        <w:rStyle w:val="HideTWBExt"/>
      </w:rPr>
      <w:t>NoPE</w:t>
    </w:r>
    <w:proofErr w:type="spellEnd"/>
    <w:r w:rsidRPr="00DA455F">
      <w:rPr>
        <w:rStyle w:val="HideTWBExt"/>
      </w:rPr>
      <w:t>&gt;</w:t>
    </w:r>
    <w:r w:rsidRPr="00DA455F">
      <w:t>789.086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NoPE</w:t>
    </w:r>
    <w:proofErr w:type="spellEnd"/>
    <w:r w:rsidRPr="00DA455F">
      <w:rPr>
        <w:rStyle w:val="HideTWBExt"/>
      </w:rPr>
      <w:t>&gt;&lt;Version&gt;</w:t>
    </w:r>
    <w:r w:rsidRPr="00DA455F">
      <w:t>v02-00</w:t>
    </w:r>
    <w:r w:rsidRPr="00DA455F">
      <w:rPr>
        <w:rStyle w:val="HideTWBExt"/>
      </w:rPr>
      <w:t>&lt;/</w:t>
    </w:r>
    <w:proofErr w:type="spellStart"/>
    <w:r w:rsidRPr="00DA455F">
      <w:rPr>
        <w:rStyle w:val="HideTWBExt"/>
      </w:rPr>
      <w:t>Version</w:t>
    </w:r>
    <w:proofErr w:type="spellEnd"/>
    <w:r w:rsidRPr="00DA455F">
      <w:rPr>
        <w:rStyle w:val="HideTWBExt"/>
      </w:rPr>
      <w:t>&gt;</w:t>
    </w:r>
  </w:p>
  <w:p w14:paraId="6388E573" w14:textId="77777777" w:rsidR="006D5417" w:rsidRPr="00DA455F" w:rsidRDefault="006D5417" w:rsidP="00A75878">
    <w:pPr>
      <w:pStyle w:val="EPFooter2"/>
    </w:pPr>
    <w:r w:rsidRPr="00DA455F">
      <w:t>SK</w:t>
    </w:r>
    <w:r w:rsidRPr="00DA455F">
      <w:tab/>
    </w:r>
    <w:r w:rsidRPr="00DA455F">
      <w:rPr>
        <w:b w:val="0"/>
        <w:i/>
        <w:color w:val="C0C0C0"/>
        <w:sz w:val="22"/>
      </w:rPr>
      <w:t>Zjednotení v rozmanitosti</w:t>
    </w:r>
    <w:r w:rsidRPr="00DA455F">
      <w:tab/>
      <w:t>SK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67B87" w14:textId="77777777" w:rsidR="00064002" w:rsidRPr="00DA455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F4AC" w14:textId="77777777" w:rsidR="00064002" w:rsidRPr="00DA455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DC21" w14:textId="77777777" w:rsidR="00064002" w:rsidRPr="00DA45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EEBD" w14:textId="77777777" w:rsidR="00474569" w:rsidRPr="00DA455F" w:rsidRDefault="00474569">
      <w:r w:rsidRPr="00DA455F">
        <w:separator/>
      </w:r>
    </w:p>
  </w:footnote>
  <w:footnote w:type="continuationSeparator" w:id="0">
    <w:p w14:paraId="4BA52095" w14:textId="77777777" w:rsidR="00474569" w:rsidRPr="00DA455F" w:rsidRDefault="00474569">
      <w:r w:rsidRPr="00DA455F">
        <w:continuationSeparator/>
      </w:r>
    </w:p>
  </w:footnote>
  <w:footnote w:id="1">
    <w:p w14:paraId="46642CC9" w14:textId="41B3A1E3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 xml:space="preserve">Ú. v. EÚ L 153, 3.5.2021, s. 48, ELI: </w:t>
      </w:r>
      <w:hyperlink r:id="rId1" w:history="1">
        <w:r w:rsidRPr="00DA455F">
          <w:rPr>
            <w:rStyle w:val="Hyperlink"/>
            <w:color w:val="0070C0"/>
            <w:sz w:val="24"/>
            <w:lang w:val="sk-SK"/>
          </w:rPr>
          <w:t>http://data.europa.eu/eli/reg/2021/691/oj</w:t>
        </w:r>
      </w:hyperlink>
      <w:r w:rsidRPr="00DA455F">
        <w:rPr>
          <w:color w:val="0070C0"/>
          <w:sz w:val="24"/>
          <w:lang w:val="sk-SK"/>
        </w:rPr>
        <w:t>.</w:t>
      </w:r>
    </w:p>
  </w:footnote>
  <w:footnote w:id="2">
    <w:p w14:paraId="0C16FE4E" w14:textId="422A9A52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 xml:space="preserve">Ú. v. </w:t>
      </w:r>
      <w:r w:rsidRPr="00DA455F">
        <w:rPr>
          <w:sz w:val="24"/>
          <w:lang w:val="sk-SK"/>
        </w:rPr>
        <w:t>EÚ L, 2026/1139, 20.5.2026, ELI: </w:t>
      </w:r>
      <w:hyperlink r:id="rId2" w:tgtFrame="_blank" w:tooltip="Umožňuje prístup k tomuto dokumentu prostredníctvom identifikátora URI používaného v rámci ELI." w:history="1">
        <w:r w:rsidRPr="00DA455F">
          <w:rPr>
            <w:rStyle w:val="Hyperlink"/>
            <w:color w:val="0070C0"/>
            <w:sz w:val="24"/>
            <w:lang w:val="sk-SK"/>
          </w:rPr>
          <w:t>http://data.europa.eu/eli/reg/2026/1139/oj</w:t>
        </w:r>
      </w:hyperlink>
      <w:r w:rsidRPr="00DA455F">
        <w:rPr>
          <w:color w:val="0070C0"/>
          <w:sz w:val="24"/>
          <w:lang w:val="sk-SK"/>
        </w:rPr>
        <w:t>.</w:t>
      </w:r>
    </w:p>
  </w:footnote>
  <w:footnote w:id="3">
    <w:p w14:paraId="6926A8C3" w14:textId="7A056585" w:rsidR="006D5417" w:rsidRPr="00DA455F" w:rsidRDefault="006D5417" w:rsidP="00DA455F">
      <w:pPr>
        <w:ind w:left="567" w:hanging="567"/>
      </w:pPr>
      <w:r w:rsidRPr="00DA455F">
        <w:rPr>
          <w:rStyle w:val="FootnoteReference"/>
        </w:rPr>
        <w:footnoteRef/>
      </w:r>
      <w:r w:rsidR="00DA455F" w:rsidRPr="00DA455F">
        <w:t xml:space="preserve"> </w:t>
      </w:r>
      <w:r w:rsidR="00DA455F" w:rsidRPr="00DA455F">
        <w:tab/>
      </w:r>
      <w:r w:rsidRPr="00DA455F">
        <w:t xml:space="preserve">Ú. v. EÚ L 433 I, 22.12.2020, s. 11, ELI: </w:t>
      </w:r>
      <w:hyperlink r:id="rId3" w:history="1">
        <w:r w:rsidRPr="00DA455F">
          <w:rPr>
            <w:rStyle w:val="Hyperlink"/>
            <w:color w:val="0070C0"/>
          </w:rPr>
          <w:t>http://data.europa.eu/eli/reg/2020/2093/oj</w:t>
        </w:r>
      </w:hyperlink>
      <w:r w:rsidRPr="00DA455F">
        <w:rPr>
          <w:color w:val="0070C0"/>
        </w:rPr>
        <w:t>.</w:t>
      </w:r>
    </w:p>
  </w:footnote>
  <w:footnote w:id="4">
    <w:p w14:paraId="0B25240C" w14:textId="7F9CF306" w:rsidR="006D5417" w:rsidRPr="00DA455F" w:rsidRDefault="006D5417" w:rsidP="00DA455F">
      <w:pPr>
        <w:ind w:left="567" w:hanging="567"/>
      </w:pPr>
      <w:r w:rsidRPr="00DA455F">
        <w:rPr>
          <w:rStyle w:val="FootnoteReference"/>
        </w:rPr>
        <w:footnoteRef/>
      </w:r>
      <w:r w:rsidR="00DA455F" w:rsidRPr="00DA455F">
        <w:t xml:space="preserve"> </w:t>
      </w:r>
      <w:r w:rsidR="00DA455F" w:rsidRPr="00DA455F">
        <w:tab/>
      </w:r>
      <w:r w:rsidRPr="00DA455F">
        <w:t xml:space="preserve">Ú. v. EÚ L, 2024/765, 29.2.2024, ELI: </w:t>
      </w:r>
      <w:hyperlink r:id="rId4" w:history="1">
        <w:r w:rsidRPr="00DA455F">
          <w:rPr>
            <w:rStyle w:val="Hyperlink"/>
          </w:rPr>
          <w:t>https://eur-lex.europa.eu/eli/reg/2024/765/oj</w:t>
        </w:r>
      </w:hyperlink>
      <w:r w:rsidRPr="00DA455F">
        <w:t>.</w:t>
      </w:r>
    </w:p>
  </w:footnote>
  <w:footnote w:id="5">
    <w:p w14:paraId="2AE4A6B8" w14:textId="5D108461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>Ú. v. EÚ L 433 I, 22.12.2020, s. </w:t>
      </w:r>
      <w:r w:rsidRPr="00DA455F">
        <w:rPr>
          <w:sz w:val="24"/>
          <w:lang w:val="sk-SK"/>
        </w:rPr>
        <w:t xml:space="preserve">28, ELI: </w:t>
      </w:r>
      <w:hyperlink r:id="rId5" w:history="1">
        <w:r w:rsidRPr="00DA455F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DA455F">
        <w:rPr>
          <w:sz w:val="24"/>
          <w:lang w:val="sk-SK"/>
        </w:rPr>
        <w:t>.</w:t>
      </w:r>
    </w:p>
  </w:footnote>
  <w:footnote w:id="6">
    <w:p w14:paraId="20DCA9D3" w14:textId="47B562AF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 xml:space="preserve">Ú. v. EÚ L 153, 3.5.2021, s. </w:t>
      </w:r>
      <w:r w:rsidRPr="00DA455F">
        <w:rPr>
          <w:sz w:val="24"/>
          <w:lang w:val="sk-SK"/>
        </w:rPr>
        <w:t xml:space="preserve">48, ELI: </w:t>
      </w:r>
      <w:hyperlink r:id="rId6" w:history="1">
        <w:r w:rsidRPr="00DA455F">
          <w:rPr>
            <w:rStyle w:val="Hyperlink"/>
            <w:sz w:val="24"/>
            <w:lang w:val="sk-SK"/>
          </w:rPr>
          <w:t>http://data.europa.eu/eli/reg/2021/691/oj</w:t>
        </w:r>
      </w:hyperlink>
      <w:r w:rsidRPr="00DA455F">
        <w:rPr>
          <w:sz w:val="24"/>
          <w:lang w:val="sk-SK"/>
        </w:rPr>
        <w:t>.</w:t>
      </w:r>
    </w:p>
  </w:footnote>
  <w:footnote w:id="7">
    <w:p w14:paraId="4C6BDA58" w14:textId="18497FAD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>Ú. v. EÚ L 433 I, 22.12.2020, s. </w:t>
      </w:r>
      <w:r w:rsidRPr="00DA455F">
        <w:rPr>
          <w:sz w:val="24"/>
          <w:lang w:val="sk-SK"/>
        </w:rPr>
        <w:t xml:space="preserve">28, ELI: </w:t>
      </w:r>
      <w:hyperlink r:id="rId7" w:history="1">
        <w:r w:rsidRPr="00DA455F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DA455F">
        <w:rPr>
          <w:sz w:val="24"/>
          <w:lang w:val="sk-SK"/>
        </w:rPr>
        <w:t xml:space="preserve">. </w:t>
      </w:r>
    </w:p>
  </w:footnote>
  <w:footnote w:id="8">
    <w:p w14:paraId="60A441E0" w14:textId="4B5BA1AD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 xml:space="preserve">Nariadenie Rady (EÚ, </w:t>
      </w:r>
      <w:proofErr w:type="spellStart"/>
      <w:r w:rsidRPr="00DA455F">
        <w:rPr>
          <w:sz w:val="24"/>
          <w:lang w:val="sk-SK"/>
        </w:rPr>
        <w:t>Euratom</w:t>
      </w:r>
      <w:proofErr w:type="spellEnd"/>
      <w:r w:rsidRPr="00DA455F">
        <w:rPr>
          <w:sz w:val="24"/>
          <w:lang w:val="sk-SK"/>
        </w:rPr>
        <w:t xml:space="preserve">) 2020/2093 zo 17. decembra 2020, ktorým sa stanovuje viacročný finančný rámec na roky 2021 až 2027 (Ú. v. EÚ L 433 I, 22.12.2020, s. </w:t>
      </w:r>
      <w:r w:rsidRPr="00DA455F">
        <w:rPr>
          <w:sz w:val="24"/>
          <w:lang w:val="sk-SK"/>
        </w:rPr>
        <w:t>11, ELI: </w:t>
      </w:r>
      <w:hyperlink r:id="rId8" w:tooltip="Umožňuje prístup k tomuto dokumentu prostredníctvom identifikátora URI používaného v rámci ELI." w:history="1">
        <w:r w:rsidRPr="00DA455F">
          <w:rPr>
            <w:rStyle w:val="Hyperlink"/>
            <w:sz w:val="24"/>
            <w:lang w:val="sk-SK"/>
          </w:rPr>
          <w:t>http://data.europa.eu/eli/reg/2020/2093/oj</w:t>
        </w:r>
      </w:hyperlink>
      <w:r w:rsidRPr="00DA455F">
        <w:rPr>
          <w:sz w:val="24"/>
          <w:lang w:val="sk-SK"/>
        </w:rPr>
        <w:t>).</w:t>
      </w:r>
    </w:p>
  </w:footnote>
  <w:footnote w:id="9">
    <w:p w14:paraId="18801B66" w14:textId="280DF885" w:rsidR="006D5417" w:rsidRPr="00DA455F" w:rsidRDefault="006D5417" w:rsidP="00DA455F">
      <w:pPr>
        <w:pStyle w:val="FootnoteText"/>
        <w:ind w:left="567" w:hanging="567"/>
        <w:rPr>
          <w:sz w:val="24"/>
          <w:lang w:val="sk-SK"/>
        </w:rPr>
      </w:pPr>
      <w:r w:rsidRPr="00DA455F">
        <w:rPr>
          <w:rStyle w:val="FootnoteReference"/>
          <w:sz w:val="24"/>
          <w:lang w:val="sk-SK"/>
        </w:rPr>
        <w:footnoteRef/>
      </w:r>
      <w:r w:rsidR="00DA455F" w:rsidRPr="00DA455F">
        <w:rPr>
          <w:sz w:val="24"/>
          <w:lang w:val="sk-SK"/>
        </w:rPr>
        <w:t xml:space="preserve"> </w:t>
      </w:r>
      <w:r w:rsidR="00DA455F" w:rsidRPr="00DA455F">
        <w:rPr>
          <w:sz w:val="24"/>
          <w:lang w:val="sk-SK"/>
        </w:rPr>
        <w:tab/>
      </w:r>
      <w:r w:rsidRPr="00DA455F">
        <w:rPr>
          <w:sz w:val="24"/>
          <w:lang w:val="sk-SK"/>
        </w:rPr>
        <w:t xml:space="preserve">Nariadenie Rady (EÚ, </w:t>
      </w:r>
      <w:proofErr w:type="spellStart"/>
      <w:r w:rsidRPr="00DA455F">
        <w:rPr>
          <w:sz w:val="24"/>
          <w:lang w:val="sk-SK"/>
        </w:rPr>
        <w:t>Euratom</w:t>
      </w:r>
      <w:proofErr w:type="spellEnd"/>
      <w:r w:rsidRPr="00DA455F">
        <w:rPr>
          <w:sz w:val="24"/>
          <w:lang w:val="sk-SK"/>
        </w:rPr>
        <w:t xml:space="preserve">) 2024/765 z 29. februára 2024, ktorým sa mení nariadenie (EÚ, </w:t>
      </w:r>
      <w:proofErr w:type="spellStart"/>
      <w:r w:rsidRPr="00DA455F">
        <w:rPr>
          <w:sz w:val="24"/>
          <w:lang w:val="sk-SK"/>
        </w:rPr>
        <w:t>Euratom</w:t>
      </w:r>
      <w:proofErr w:type="spellEnd"/>
      <w:r w:rsidRPr="00DA455F">
        <w:rPr>
          <w:sz w:val="24"/>
          <w:lang w:val="sk-SK"/>
        </w:rPr>
        <w:t>) 2020/2093, ktorým sa stanovuje viacročný finančný rámec na roky 2021 až 2027 (Ú. v. </w:t>
      </w:r>
      <w:r w:rsidRPr="00DA455F">
        <w:rPr>
          <w:sz w:val="24"/>
          <w:lang w:val="sk-SK"/>
        </w:rPr>
        <w:t xml:space="preserve">EÚ L, 2024/765, 29.2.2024, ELI: </w:t>
      </w:r>
      <w:hyperlink r:id="rId9" w:history="1">
        <w:r w:rsidRPr="00DA455F">
          <w:rPr>
            <w:rStyle w:val="Hyperlink"/>
            <w:sz w:val="24"/>
            <w:lang w:val="sk-SK"/>
          </w:rPr>
          <w:t>http://data.europa.eu/eli/reg/2024/765/oj</w:t>
        </w:r>
      </w:hyperlink>
      <w:r w:rsidRPr="00DA455F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439E" w14:textId="77777777" w:rsidR="00064002" w:rsidRPr="00DA45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C42F" w14:textId="77777777" w:rsidR="00064002" w:rsidRPr="00DA45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C7B67" w14:textId="77777777" w:rsidR="00064002" w:rsidRPr="00DA45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5750887">
    <w:abstractNumId w:val="9"/>
  </w:num>
  <w:num w:numId="2" w16cid:durableId="1605116601">
    <w:abstractNumId w:val="9"/>
  </w:num>
  <w:num w:numId="3" w16cid:durableId="1085876696">
    <w:abstractNumId w:val="7"/>
  </w:num>
  <w:num w:numId="4" w16cid:durableId="1740784289">
    <w:abstractNumId w:val="7"/>
  </w:num>
  <w:num w:numId="5" w16cid:durableId="627588886">
    <w:abstractNumId w:val="6"/>
  </w:num>
  <w:num w:numId="6" w16cid:durableId="819928569">
    <w:abstractNumId w:val="6"/>
  </w:num>
  <w:num w:numId="7" w16cid:durableId="262080808">
    <w:abstractNumId w:val="5"/>
  </w:num>
  <w:num w:numId="8" w16cid:durableId="356733125">
    <w:abstractNumId w:val="5"/>
  </w:num>
  <w:num w:numId="9" w16cid:durableId="84805638">
    <w:abstractNumId w:val="4"/>
  </w:num>
  <w:num w:numId="10" w16cid:durableId="1135563802">
    <w:abstractNumId w:val="4"/>
  </w:num>
  <w:num w:numId="11" w16cid:durableId="1405571655">
    <w:abstractNumId w:val="8"/>
  </w:num>
  <w:num w:numId="12" w16cid:durableId="1012686603">
    <w:abstractNumId w:val="8"/>
  </w:num>
  <w:num w:numId="13" w16cid:durableId="1429496408">
    <w:abstractNumId w:val="3"/>
  </w:num>
  <w:num w:numId="14" w16cid:durableId="1393508461">
    <w:abstractNumId w:val="3"/>
  </w:num>
  <w:num w:numId="15" w16cid:durableId="953630435">
    <w:abstractNumId w:val="2"/>
  </w:num>
  <w:num w:numId="16" w16cid:durableId="2116437994">
    <w:abstractNumId w:val="2"/>
  </w:num>
  <w:num w:numId="17" w16cid:durableId="1310279563">
    <w:abstractNumId w:val="1"/>
  </w:num>
  <w:num w:numId="18" w16cid:durableId="756557390">
    <w:abstractNumId w:val="1"/>
  </w:num>
  <w:num w:numId="19" w16cid:durableId="603726617">
    <w:abstractNumId w:val="0"/>
  </w:num>
  <w:num w:numId="20" w16cid:durableId="1652515270">
    <w:abstractNumId w:val="0"/>
  </w:num>
  <w:num w:numId="21" w16cid:durableId="385762583">
    <w:abstractNumId w:val="9"/>
  </w:num>
  <w:num w:numId="22" w16cid:durableId="2051342578">
    <w:abstractNumId w:val="7"/>
  </w:num>
  <w:num w:numId="23" w16cid:durableId="571963189">
    <w:abstractNumId w:val="6"/>
  </w:num>
  <w:num w:numId="24" w16cid:durableId="1081877574">
    <w:abstractNumId w:val="5"/>
  </w:num>
  <w:num w:numId="25" w16cid:durableId="878400514">
    <w:abstractNumId w:val="4"/>
  </w:num>
  <w:num w:numId="26" w16cid:durableId="386414182">
    <w:abstractNumId w:val="8"/>
  </w:num>
  <w:num w:numId="27" w16cid:durableId="1787888270">
    <w:abstractNumId w:val="3"/>
  </w:num>
  <w:num w:numId="28" w16cid:durableId="861673810">
    <w:abstractNumId w:val="2"/>
  </w:num>
  <w:num w:numId="29" w16cid:durableId="2096247266">
    <w:abstractNumId w:val="1"/>
  </w:num>
  <w:num w:numId="30" w16cid:durableId="1987201010">
    <w:abstractNumId w:val="0"/>
  </w:num>
  <w:num w:numId="31" w16cid:durableId="547954081">
    <w:abstractNumId w:val="9"/>
  </w:num>
  <w:num w:numId="32" w16cid:durableId="628168426">
    <w:abstractNumId w:val="7"/>
  </w:num>
  <w:num w:numId="33" w16cid:durableId="1504390328">
    <w:abstractNumId w:val="6"/>
  </w:num>
  <w:num w:numId="34" w16cid:durableId="1508136618">
    <w:abstractNumId w:val="5"/>
  </w:num>
  <w:num w:numId="35" w16cid:durableId="132332028">
    <w:abstractNumId w:val="4"/>
  </w:num>
  <w:num w:numId="36" w16cid:durableId="2018578826">
    <w:abstractNumId w:val="8"/>
  </w:num>
  <w:num w:numId="37" w16cid:durableId="604995284">
    <w:abstractNumId w:val="3"/>
  </w:num>
  <w:num w:numId="38" w16cid:durableId="364406809">
    <w:abstractNumId w:val="2"/>
  </w:num>
  <w:num w:numId="39" w16cid:durableId="555432610">
    <w:abstractNumId w:val="1"/>
  </w:num>
  <w:num w:numId="40" w16cid:durableId="1879513375">
    <w:abstractNumId w:val="0"/>
  </w:num>
  <w:num w:numId="41" w16cid:durableId="254244337">
    <w:abstractNumId w:val="10"/>
  </w:num>
  <w:num w:numId="42" w16cid:durableId="331879291">
    <w:abstractNumId w:val="10"/>
  </w:num>
  <w:num w:numId="43" w16cid:durableId="1743680663">
    <w:abstractNumId w:val="10"/>
  </w:num>
  <w:num w:numId="44" w16cid:durableId="1826122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SK"/>
    <w:docVar w:name="dvnumam" w:val="0"/>
    <w:docVar w:name="dvpe" w:val="789.086"/>
    <w:docVar w:name="dvrapporteur" w:val="Spravodajkyňa: "/>
    <w:docVar w:name="dvtitre" w:val="Uznesenie Európskeho parlamentu z/zo xx. xxx 2026 o návrhu rozhodnutia Európskeho parlamentu a Rady o mobilizácii Európskeho fondu na prispôsobenie sa globalizácii na pomoc pracovníkom, ktorí prišli o zamestnanie, na podnet Komisie (EGF/2026/000 TA 2026 – Technická pomoc)(COM(2026)0360 – C10-0124/2026 – 2026/0126(BUD))"/>
  </w:docVars>
  <w:rsids>
    <w:rsidRoot w:val="004745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C1B"/>
    <w:rsid w:val="0031326F"/>
    <w:rsid w:val="00343214"/>
    <w:rsid w:val="00361C00"/>
    <w:rsid w:val="00395FA1"/>
    <w:rsid w:val="003E15D4"/>
    <w:rsid w:val="00411CCE"/>
    <w:rsid w:val="0041666E"/>
    <w:rsid w:val="00421060"/>
    <w:rsid w:val="00471C19"/>
    <w:rsid w:val="0047456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4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376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55F"/>
    <w:rsid w:val="00DA7FCD"/>
    <w:rsid w:val="00DD04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41E18"/>
  <w15:chartTrackingRefBased/>
  <w15:docId w15:val="{20CF699B-F3F7-4A6A-9763-2F778694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D54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D54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D541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D54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5417"/>
    <w:rPr>
      <w:sz w:val="24"/>
      <w:lang w:val="sk-SK"/>
    </w:rPr>
  </w:style>
  <w:style w:type="paragraph" w:customStyle="1" w:styleId="NormalBold24a">
    <w:name w:val="NormalBold24a"/>
    <w:basedOn w:val="Normal"/>
    <w:rsid w:val="006D5417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6D54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D5417"/>
    <w:pPr>
      <w:spacing w:before="480" w:after="240"/>
    </w:pPr>
  </w:style>
  <w:style w:type="character" w:styleId="Hyperlink">
    <w:name w:val="Hyperlink"/>
    <w:basedOn w:val="DefaultParagraphFont"/>
    <w:uiPriority w:val="99"/>
    <w:rsid w:val="006D541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D5417"/>
    <w:rPr>
      <w:sz w:val="24"/>
      <w:lang w:val="sk-SK"/>
    </w:rPr>
  </w:style>
  <w:style w:type="paragraph" w:styleId="Revision">
    <w:name w:val="Revision"/>
    <w:hidden/>
    <w:uiPriority w:val="99"/>
    <w:semiHidden/>
    <w:rsid w:val="00FF5B63"/>
    <w:rPr>
      <w:sz w:val="24"/>
      <w:lang w:val="sk-SK"/>
    </w:rPr>
  </w:style>
  <w:style w:type="paragraph" w:styleId="Footer">
    <w:name w:val="footer"/>
    <w:basedOn w:val="Normal"/>
    <w:link w:val="FooterChar"/>
    <w:rsid w:val="00FF5B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F5B6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s://eur-lex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1521</Words>
  <Characters>9430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2026-07-07T09:37:00Z</dcterms:created>
  <dcterms:modified xsi:type="dcterms:W3CDTF">2026-07-07T09:37:00Z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