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164B" w14:paraId="0909FA98" w14:textId="77777777" w:rsidTr="0010095E">
        <w:trPr>
          <w:trHeight w:hRule="exact" w:val="1418"/>
        </w:trPr>
        <w:tc>
          <w:tcPr>
            <w:tcW w:w="6804" w:type="dxa"/>
            <w:shd w:val="clear" w:color="auto" w:fill="auto"/>
            <w:vAlign w:val="center"/>
          </w:tcPr>
          <w:p w14:paraId="39887378" w14:textId="77777777" w:rsidR="00751A4A" w:rsidRPr="0091164B" w:rsidRDefault="00727D0D" w:rsidP="0010095E">
            <w:pPr>
              <w:pStyle w:val="EPName"/>
            </w:pPr>
            <w:r w:rsidRPr="0091164B">
              <w:t>Evropski parlament</w:t>
            </w:r>
          </w:p>
          <w:p w14:paraId="42C29CBC" w14:textId="77777777" w:rsidR="00751A4A" w:rsidRPr="0091164B" w:rsidRDefault="005F1B17" w:rsidP="005F1B17">
            <w:pPr>
              <w:pStyle w:val="EPTerm"/>
              <w:rPr>
                <w:rStyle w:val="HideTWBExt"/>
                <w:noProof w:val="0"/>
                <w:vanish w:val="0"/>
                <w:color w:val="auto"/>
              </w:rPr>
            </w:pPr>
            <w:r w:rsidRPr="0091164B">
              <w:t>2024</w:t>
            </w:r>
            <w:r w:rsidR="00817416" w:rsidRPr="0091164B">
              <w:t>-202</w:t>
            </w:r>
            <w:r w:rsidRPr="0091164B">
              <w:t>9</w:t>
            </w:r>
          </w:p>
        </w:tc>
        <w:tc>
          <w:tcPr>
            <w:tcW w:w="2268" w:type="dxa"/>
            <w:shd w:val="clear" w:color="auto" w:fill="auto"/>
          </w:tcPr>
          <w:p w14:paraId="3F039F7B" w14:textId="77777777" w:rsidR="00751A4A" w:rsidRPr="0091164B" w:rsidRDefault="00187494" w:rsidP="0010095E">
            <w:pPr>
              <w:pStyle w:val="EPLogo"/>
            </w:pPr>
            <w:r w:rsidRPr="0091164B">
              <w:rPr>
                <w:noProof/>
                <w:lang w:eastAsia="ja-JP"/>
              </w:rPr>
              <w:drawing>
                <wp:inline distT="0" distB="0" distL="0" distR="0" wp14:anchorId="7B302DE1" wp14:editId="025CFF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DF4294" w14:textId="77777777" w:rsidR="00D058B8" w:rsidRPr="0091164B" w:rsidRDefault="00D058B8" w:rsidP="004C5D52">
      <w:pPr>
        <w:pStyle w:val="LineTop"/>
      </w:pPr>
    </w:p>
    <w:p w14:paraId="360A0BCC" w14:textId="77777777" w:rsidR="00680577" w:rsidRPr="0091164B" w:rsidRDefault="00727D0D" w:rsidP="00680577">
      <w:pPr>
        <w:pStyle w:val="EPBodyTA1"/>
      </w:pPr>
      <w:r w:rsidRPr="0091164B">
        <w:t>SPREJETA BESEDILA</w:t>
      </w:r>
    </w:p>
    <w:p w14:paraId="3A735765" w14:textId="77777777" w:rsidR="00D058B8" w:rsidRPr="0091164B" w:rsidRDefault="00D058B8" w:rsidP="00D058B8">
      <w:pPr>
        <w:pStyle w:val="LineBottom"/>
      </w:pPr>
    </w:p>
    <w:p w14:paraId="75EC7FB3" w14:textId="3DB654CD" w:rsidR="00727D0D" w:rsidRPr="0091164B" w:rsidRDefault="00727D0D" w:rsidP="00727D0D">
      <w:pPr>
        <w:pStyle w:val="ATHeading1"/>
      </w:pPr>
      <w:bookmarkStart w:id="0" w:name="TANumber"/>
      <w:r w:rsidRPr="0091164B">
        <w:t>P10_TA(2026)</w:t>
      </w:r>
      <w:bookmarkEnd w:id="0"/>
      <w:r w:rsidR="00416094">
        <w:t>0243</w:t>
      </w:r>
    </w:p>
    <w:p w14:paraId="0CEBF735" w14:textId="0ADBD6FC" w:rsidR="00727D0D" w:rsidRPr="0091164B" w:rsidRDefault="008422B8" w:rsidP="00727D0D">
      <w:pPr>
        <w:pStyle w:val="ATHeading2"/>
      </w:pPr>
      <w:r>
        <w:t>U</w:t>
      </w:r>
      <w:r w:rsidRPr="0091164B">
        <w:t>porab</w:t>
      </w:r>
      <w:r>
        <w:t>a</w:t>
      </w:r>
      <w:r w:rsidRPr="0091164B">
        <w:t xml:space="preserve"> Evropskega sklada za prilagoditev globalizaciji za presežne delavce</w:t>
      </w:r>
      <w:r>
        <w:t>:</w:t>
      </w:r>
      <w:r w:rsidRPr="0091164B">
        <w:t xml:space="preserve"> </w:t>
      </w:r>
      <w:r>
        <w:t xml:space="preserve">vloga </w:t>
      </w:r>
      <w:r w:rsidRPr="0091164B">
        <w:t>ESPG/2026/000 TA 2026 – tehnična pomoč</w:t>
      </w:r>
      <w:r>
        <w:t xml:space="preserve"> </w:t>
      </w:r>
      <w:r w:rsidRPr="0091164B">
        <w:t>na pobudo Komisije</w:t>
      </w:r>
    </w:p>
    <w:p w14:paraId="5377656C" w14:textId="77777777" w:rsidR="00727D0D" w:rsidRPr="0091164B" w:rsidRDefault="00727D0D" w:rsidP="00727D0D">
      <w:pPr>
        <w:rPr>
          <w:i/>
          <w:vanish/>
        </w:rPr>
      </w:pPr>
      <w:r w:rsidRPr="0091164B">
        <w:rPr>
          <w:i/>
        </w:rPr>
        <w:fldChar w:fldCharType="begin"/>
      </w:r>
      <w:r w:rsidRPr="0091164B">
        <w:rPr>
          <w:i/>
        </w:rPr>
        <w:instrText xml:space="preserve"> TC"(</w:instrText>
      </w:r>
      <w:bookmarkStart w:id="1" w:name="DocNumber"/>
      <w:r w:rsidRPr="0091164B">
        <w:rPr>
          <w:i/>
        </w:rPr>
        <w:instrText>A10-0179/2026</w:instrText>
      </w:r>
      <w:bookmarkEnd w:id="1"/>
      <w:r w:rsidRPr="0091164B">
        <w:rPr>
          <w:i/>
        </w:rPr>
        <w:instrText xml:space="preserve"> - Poročevalka: </w:instrText>
      </w:r>
      <w:proofErr w:type="spellStart"/>
      <w:r w:rsidRPr="0091164B">
        <w:rPr>
          <w:i/>
        </w:rPr>
        <w:instrText>Lucia</w:instrText>
      </w:r>
      <w:proofErr w:type="spellEnd"/>
      <w:r w:rsidRPr="0091164B">
        <w:rPr>
          <w:i/>
        </w:rPr>
        <w:instrText xml:space="preserve"> </w:instrText>
      </w:r>
      <w:proofErr w:type="spellStart"/>
      <w:r w:rsidRPr="0091164B">
        <w:rPr>
          <w:i/>
        </w:rPr>
        <w:instrText>Yar</w:instrText>
      </w:r>
      <w:proofErr w:type="spellEnd"/>
      <w:r w:rsidRPr="0091164B">
        <w:rPr>
          <w:i/>
        </w:rPr>
        <w:instrText xml:space="preserve">)"\l3 \n&gt; \* MERGEFORMAT </w:instrText>
      </w:r>
      <w:r w:rsidRPr="0091164B">
        <w:rPr>
          <w:i/>
        </w:rPr>
        <w:fldChar w:fldCharType="end"/>
      </w:r>
    </w:p>
    <w:p w14:paraId="267AD0C7" w14:textId="77777777" w:rsidR="00727D0D" w:rsidRPr="0091164B" w:rsidRDefault="00727D0D" w:rsidP="00727D0D">
      <w:pPr>
        <w:rPr>
          <w:vanish/>
        </w:rPr>
      </w:pPr>
      <w:bookmarkStart w:id="2" w:name="Commission"/>
      <w:r w:rsidRPr="0091164B">
        <w:rPr>
          <w:vanish/>
        </w:rPr>
        <w:t>Odbor za proračun</w:t>
      </w:r>
      <w:bookmarkEnd w:id="2"/>
    </w:p>
    <w:p w14:paraId="50A83563" w14:textId="77777777" w:rsidR="00727D0D" w:rsidRPr="0091164B" w:rsidRDefault="00727D0D" w:rsidP="00727D0D">
      <w:pPr>
        <w:rPr>
          <w:vanish/>
        </w:rPr>
      </w:pPr>
      <w:bookmarkStart w:id="3" w:name="PE"/>
      <w:r w:rsidRPr="0091164B">
        <w:rPr>
          <w:vanish/>
        </w:rPr>
        <w:t>PE789.086</w:t>
      </w:r>
      <w:bookmarkEnd w:id="3"/>
    </w:p>
    <w:p w14:paraId="601501A9" w14:textId="16E01E68" w:rsidR="00727D0D" w:rsidRPr="0091164B" w:rsidRDefault="00727D0D" w:rsidP="00727D0D">
      <w:pPr>
        <w:pStyle w:val="ATHeading3"/>
      </w:pPr>
      <w:bookmarkStart w:id="4" w:name="Sujet"/>
      <w:r w:rsidRPr="0091164B">
        <w:t xml:space="preserve">Resolucija Evropskega parlamenta z dne </w:t>
      </w:r>
      <w:r w:rsidR="00AA2F75">
        <w:t>7.</w:t>
      </w:r>
      <w:r w:rsidR="00AA2F75" w:rsidRPr="0091164B">
        <w:t xml:space="preserve"> </w:t>
      </w:r>
      <w:r w:rsidR="008422B8">
        <w:t xml:space="preserve">julija </w:t>
      </w:r>
      <w:r w:rsidRPr="0091164B">
        <w:t>2026 o predlogu sklepa Evropskega parlamenta in Sveta o uporabi Evropskega sklada za prilagoditev globalizaciji za presežne delavce na pobudo Komisije (ESPG/2026/000 TA 2026 – tehnična pomoč)</w:t>
      </w:r>
      <w:bookmarkEnd w:id="4"/>
      <w:r w:rsidRPr="0091164B">
        <w:t xml:space="preserve"> </w:t>
      </w:r>
      <w:bookmarkStart w:id="5" w:name="References"/>
      <w:r w:rsidRPr="0091164B">
        <w:t>(COM(2026)0360 – C10-0124/2026 – 2026/0126(BUD))</w:t>
      </w:r>
      <w:bookmarkEnd w:id="5"/>
    </w:p>
    <w:p w14:paraId="3B51AF93" w14:textId="77777777" w:rsidR="00E01EEE" w:rsidRPr="0091164B" w:rsidRDefault="00E01EEE" w:rsidP="00E01EEE">
      <w:pPr>
        <w:pStyle w:val="EPComma"/>
        <w:rPr>
          <w:noProof/>
        </w:rPr>
      </w:pPr>
      <w:r w:rsidRPr="0091164B">
        <w:rPr>
          <w:i/>
        </w:rPr>
        <w:t>Evropski parlament,</w:t>
      </w:r>
    </w:p>
    <w:p w14:paraId="47C96FF8" w14:textId="77777777" w:rsidR="00E01EEE" w:rsidRPr="0091164B" w:rsidRDefault="00E01EEE" w:rsidP="00E01EEE">
      <w:pPr>
        <w:pStyle w:val="NormalHanging12a"/>
        <w:rPr>
          <w:noProof/>
        </w:rPr>
      </w:pPr>
      <w:r w:rsidRPr="0091164B">
        <w:t>–</w:t>
      </w:r>
      <w:r w:rsidRPr="0091164B">
        <w:tab/>
        <w:t>ob upoštevanju predloga Komisije Evropskemu parlamentu in Svetu (COM(2026)0360 – C10</w:t>
      </w:r>
      <w:r w:rsidRPr="0091164B">
        <w:noBreakHyphen/>
        <w:t>0124/2026),</w:t>
      </w:r>
    </w:p>
    <w:p w14:paraId="15D96792" w14:textId="77777777" w:rsidR="00E01EEE" w:rsidRPr="0091164B" w:rsidRDefault="00E01EEE" w:rsidP="00E01EEE">
      <w:pPr>
        <w:pStyle w:val="NormalHanging12a"/>
        <w:rPr>
          <w:noProof/>
        </w:rPr>
      </w:pPr>
      <w:bookmarkStart w:id="6" w:name="_Hlk230701067"/>
      <w:r w:rsidRPr="0091164B">
        <w:t>–</w:t>
      </w:r>
      <w:r w:rsidRPr="0091164B">
        <w:tab/>
        <w:t>ob upoštevanju Uredbe (EU) 2021/691 Evropskega parlamenta in Sveta z dne 28. aprila 2021 o Evropskem skladu za prilagoditev globalizaciji za presežne delavce (ESPG) in razveljavitvi Uredbe (EU) št. 1309/2013</w:t>
      </w:r>
      <w:r w:rsidRPr="0091164B">
        <w:rPr>
          <w:rStyle w:val="FootnoteReference"/>
        </w:rPr>
        <w:footnoteReference w:id="1"/>
      </w:r>
      <w:r w:rsidRPr="0091164B">
        <w:t xml:space="preserve"> (uredba o ESPG), kot je bila spremenjena z Uredbo (EU) 2026/1139</w:t>
      </w:r>
      <w:r w:rsidRPr="0091164B">
        <w:rPr>
          <w:rStyle w:val="FootnoteReference"/>
          <w:noProof/>
        </w:rPr>
        <w:footnoteReference w:id="2"/>
      </w:r>
      <w:r w:rsidRPr="0091164B">
        <w:t>,</w:t>
      </w:r>
    </w:p>
    <w:bookmarkEnd w:id="6"/>
    <w:p w14:paraId="506703C9" w14:textId="77777777" w:rsidR="00E01EEE" w:rsidRPr="0091164B" w:rsidRDefault="00E01EEE" w:rsidP="00E01EEE">
      <w:pPr>
        <w:pStyle w:val="NormalHanging12a"/>
        <w:rPr>
          <w:noProof/>
        </w:rPr>
      </w:pPr>
      <w:r w:rsidRPr="0091164B">
        <w:t>–</w:t>
      </w:r>
      <w:r w:rsidRPr="0091164B">
        <w:tab/>
      </w:r>
      <w:r w:rsidRPr="0091164B">
        <w:rPr>
          <w:snapToGrid w:val="0"/>
        </w:rPr>
        <w:t>ob upoštevanju Uredbe Sveta (EU, Euratom) 2020/2093 z dne 17. decembra 2020 o določitvi večletnega finančnega okvira za obdobje 2021–2027</w:t>
      </w:r>
      <w:r w:rsidRPr="0091164B">
        <w:rPr>
          <w:rStyle w:val="FootnoteReference"/>
          <w:snapToGrid w:val="0"/>
        </w:rPr>
        <w:footnoteReference w:id="3"/>
      </w:r>
      <w:r w:rsidRPr="0091164B">
        <w:rPr>
          <w:snapToGrid w:val="0"/>
        </w:rPr>
        <w:t xml:space="preserve">, </w:t>
      </w:r>
      <w:r w:rsidRPr="0091164B">
        <w:rPr>
          <w:snapToGrid w:val="0"/>
          <w:color w:val="000000"/>
          <w:bdr w:val="none" w:sz="0" w:space="0" w:color="auto" w:frame="1"/>
        </w:rPr>
        <w:t>kot je bila spremenjena z Uredbo (EU, Euratom)</w:t>
      </w:r>
      <w:r w:rsidRPr="0091164B">
        <w:rPr>
          <w:snapToGrid w:val="0"/>
          <w:bdr w:val="none" w:sz="0" w:space="0" w:color="auto" w:frame="1"/>
        </w:rPr>
        <w:t> 2024/765</w:t>
      </w:r>
      <w:r w:rsidRPr="0091164B">
        <w:rPr>
          <w:rStyle w:val="FootnoteReference"/>
          <w:snapToGrid w:val="0"/>
          <w:bdr w:val="none" w:sz="0" w:space="0" w:color="auto" w:frame="1"/>
        </w:rPr>
        <w:footnoteReference w:id="4"/>
      </w:r>
      <w:r w:rsidRPr="0091164B">
        <w:rPr>
          <w:snapToGrid w:val="0"/>
          <w:bdr w:val="none" w:sz="0" w:space="0" w:color="auto" w:frame="1"/>
        </w:rPr>
        <w:t>,</w:t>
      </w:r>
      <w:r w:rsidRPr="0091164B">
        <w:rPr>
          <w:snapToGrid w:val="0"/>
        </w:rPr>
        <w:t xml:space="preserve"> in zlasti člena 8 Uredbe</w:t>
      </w:r>
      <w:r w:rsidRPr="0091164B">
        <w:t>,</w:t>
      </w:r>
    </w:p>
    <w:p w14:paraId="1B091542" w14:textId="77777777" w:rsidR="00E01EEE" w:rsidRPr="0091164B" w:rsidRDefault="00E01EEE" w:rsidP="00E01EEE">
      <w:pPr>
        <w:pStyle w:val="NormalHanging12a"/>
        <w:rPr>
          <w:noProof/>
        </w:rPr>
      </w:pPr>
      <w:r w:rsidRPr="0091164B">
        <w:t>–</w:t>
      </w:r>
      <w:r w:rsidRPr="0091164B">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91164B">
        <w:rPr>
          <w:rStyle w:val="FootnoteReference"/>
          <w:noProof/>
        </w:rPr>
        <w:footnoteReference w:id="5"/>
      </w:r>
      <w:r w:rsidRPr="0091164B">
        <w:t>, in zlasti točke 9 Sporazuma,</w:t>
      </w:r>
    </w:p>
    <w:p w14:paraId="46813348" w14:textId="77777777" w:rsidR="00E01EEE" w:rsidRPr="0091164B" w:rsidRDefault="00E01EEE" w:rsidP="00E01EEE">
      <w:pPr>
        <w:pStyle w:val="NormalHanging12a"/>
      </w:pPr>
      <w:r w:rsidRPr="0091164B">
        <w:lastRenderedPageBreak/>
        <w:t>–</w:t>
      </w:r>
      <w:r w:rsidRPr="0091164B">
        <w:tab/>
        <w:t>ob upoštevanju poročila Odbora za proračun (A10-0179/2026),</w:t>
      </w:r>
    </w:p>
    <w:p w14:paraId="659934BC" w14:textId="77777777" w:rsidR="00E01EEE" w:rsidRPr="0091164B" w:rsidRDefault="00E01EEE" w:rsidP="00E01EEE">
      <w:pPr>
        <w:pStyle w:val="NormalHanging12a"/>
        <w:rPr>
          <w:noProof/>
        </w:rPr>
      </w:pPr>
      <w:r w:rsidRPr="0091164B">
        <w:t>A.</w:t>
      </w:r>
      <w:r w:rsidRPr="0091164B">
        <w:tab/>
        <w:t>ker je Unija vzpostavila zakonodajne in proračunske instrumente za zagotavljanje dodatne podpore delavcem, ki so jih prizadele posledice velikih strukturnih dogodkov in sprememb v svetovnih trgovinskih tokovih ali jih je prizadelo neizbežno odpuščanje v podjetju v postopku prestrukturiranja, ter za pomoč pri njihovi ponovni vključitvi na trg dela; ker se ta pomoč zagotovi prek finančne podpore delavcem;</w:t>
      </w:r>
    </w:p>
    <w:p w14:paraId="4188F97F" w14:textId="77777777" w:rsidR="00E01EEE" w:rsidRPr="0091164B" w:rsidRDefault="00E01EEE" w:rsidP="00E01EEE">
      <w:pPr>
        <w:pStyle w:val="NormalHanging12a"/>
      </w:pPr>
      <w:r w:rsidRPr="0091164B">
        <w:t>B.</w:t>
      </w:r>
      <w:r w:rsidRPr="0091164B">
        <w:tab/>
        <w:t>ker bi morali biti finančni prispevki iz ESPG usmerjeni predvsem v aktivne ukrepe politike trga dela in prilagojene storitve, katerih cilj je hitra ponovna vključitev upravičencev na trg dela oziroma podpora njihovemu poklicnemu prehodu;</w:t>
      </w:r>
    </w:p>
    <w:p w14:paraId="3ED857E0" w14:textId="77777777" w:rsidR="00E01EEE" w:rsidRPr="0091164B" w:rsidRDefault="00E01EEE" w:rsidP="00E01EEE">
      <w:pPr>
        <w:pStyle w:val="NormalHanging12a"/>
      </w:pPr>
      <w:r w:rsidRPr="0091164B">
        <w:t>C.</w:t>
      </w:r>
      <w:r w:rsidRPr="0091164B">
        <w:tab/>
        <w:t>ker je v členu 11(1) uredbe o ESPG določeno, da je lahko na pobudo Komisije za tehnično pomoč na voljo do 1,5 % tega najvišjega letnega zneska;</w:t>
      </w:r>
    </w:p>
    <w:p w14:paraId="0CB004F2" w14:textId="77777777" w:rsidR="00E01EEE" w:rsidRPr="0091164B" w:rsidRDefault="00E01EEE" w:rsidP="00E01EEE">
      <w:pPr>
        <w:pStyle w:val="NormalHanging12a"/>
        <w:rPr>
          <w:color w:val="000000"/>
          <w:bdr w:val="none" w:sz="0" w:space="0" w:color="auto" w:frame="1"/>
        </w:rPr>
      </w:pPr>
      <w:r w:rsidRPr="0091164B">
        <w:t>D.</w:t>
      </w:r>
      <w:r w:rsidRPr="0091164B">
        <w:tab/>
      </w:r>
      <w:r w:rsidRPr="0091164B">
        <w:rPr>
          <w:color w:val="000000"/>
          <w:bdr w:val="none" w:sz="0" w:space="0" w:color="auto" w:frame="1"/>
        </w:rPr>
        <w:t>ker lahko tehnično pomoč sestavljajo tehnični in upravni odhodki za izvajanje ESPG, in sicer dejavnosti pripravljanja, spremljanja, kontrole, revizije in ocenjevanja, pa tudi zbiranje podatkov, dejavnosti obveščanja in dejavnosti za izboljšanje prepoznavnosti ESPG kot sklada ali v zvezi s posebnimi projekti in drugimi ukrepi tehnične pomoči; ker tehnična pomoč vključuje nudenje informacij in smernic državam članicam in socialnim partnerjem o ESPG ter namensko ozaveščanje držav članic, ki so le malo izkoristile podporo iz ESPG oziroma je sploh niso;</w:t>
      </w:r>
      <w:r w:rsidRPr="0091164B">
        <w:t xml:space="preserve"> ker bi morale dejavnosti tehnične pomoči prispevati k izboljšanju učinkovitosti, dostopnosti in prepoznavnosti ESPG, pri čemer je treba poseben poudarek nameniti merljivim rezultatom, upravni poenostavitvi in uporabniško usmerjenemu izvajanju za države članice in upravičence; ker več držav članic še vedno ni uporabilo ESPG, čeprav se srečujejo s procesi prestrukturiranja in odpuščanji, ki so primerljivi s tistimi v državah članicah upravičenkah; ker so zato potrebne ciljno usmerjene dejavnosti ozaveščanja in obveščanja, da bi zagotovili enak dostop do priložnosti, ki jih ponuja ESPG, po vsej Uniji;</w:t>
      </w:r>
    </w:p>
    <w:p w14:paraId="57BA5FDA" w14:textId="77777777" w:rsidR="00E01EEE" w:rsidRPr="0091164B" w:rsidRDefault="00E01EEE" w:rsidP="00E01EEE">
      <w:pPr>
        <w:pStyle w:val="NormalHanging12a"/>
      </w:pPr>
      <w:r w:rsidRPr="0091164B">
        <w:t>E.</w:t>
      </w:r>
      <w:r w:rsidRPr="0091164B">
        <w:tab/>
        <w:t>ker predlagani znesek 210 000 EUR ustreza približno 0,60 % najvišjega letnega proračuna, ki je na voljo za ESPG v letu 2026; ker ESPG zagotavlja pomembno podporo delavcem, ki sta jih prizadela prestrukturiranje in odpuščanje; ker so konkurenčno evropsko gospodarstvo, manjša upravna bremena in poslovno okolje, ki spodbuja naložbe in inovacije, še vedno bistveni za ohranjanje kakovostnih delovnih mest in zmanjšanje števila delavcev, ki potrebujejo podporo iz ESPG;</w:t>
      </w:r>
    </w:p>
    <w:p w14:paraId="23FC00EB" w14:textId="77777777" w:rsidR="00E01EEE" w:rsidRPr="0091164B" w:rsidRDefault="00E01EEE" w:rsidP="00E01EEE">
      <w:pPr>
        <w:pStyle w:val="NormalHanging12a"/>
      </w:pPr>
      <w:r w:rsidRPr="0091164B">
        <w:t>1.</w:t>
      </w:r>
      <w:r w:rsidRPr="0091164B">
        <w:tab/>
      </w:r>
      <w:r w:rsidRPr="0091164B">
        <w:rPr>
          <w:bdr w:val="none" w:sz="0" w:space="0" w:color="auto" w:frame="1"/>
        </w:rPr>
        <w:t>soglaša, da se zagotovijo sredstva v višini 210 000 EUR, in s tem, da se ukrepi, ki jih predlaga Komisija, financirajo kot tehnična pomoč v skladu s členom 11(1) in (4) ter členom 12(2), (3) in (4) uredbe o ESPG;</w:t>
      </w:r>
      <w:r w:rsidRPr="0091164B">
        <w:t xml:space="preserve"> poudarja, da bi morali odhodki za tehnično pomoč ostati sorazmerni, učinkoviti in osredotočeni na dejavnosti, ki dokazano izboljšujejo dostop do podpore za presežne delavce in splošno učinkovitost ESPG;</w:t>
      </w:r>
    </w:p>
    <w:p w14:paraId="15BBFF3B" w14:textId="77777777" w:rsidR="00E01EEE" w:rsidRPr="0091164B" w:rsidRDefault="00E01EEE" w:rsidP="00E01EEE">
      <w:pPr>
        <w:spacing w:after="240"/>
        <w:ind w:left="567" w:hanging="567"/>
      </w:pPr>
      <w:r w:rsidRPr="0091164B">
        <w:t>2.</w:t>
      </w:r>
      <w:r w:rsidRPr="0091164B">
        <w:tab/>
        <w:t>ugotavlja, da bo Komisija razpoložljiva proračunska sredstva v okviru upravne podpore uporabila za organizacijo srečanj strokovne skupine kontaktnih oseb za ESPG (dva člana iz vsake države članice) in za seminar, na katerem bodo sodelovali izvajalski organi ESPG in socialni partnerji, da bi spodbudili povezovanje v mreže med državami članicami; poziva Komisijo, naj Parlament še naprej sistematično vabi na ta srečanja in seminarje v skladu z ustreznimi določbami iz okvirnega sporazuma o odnosih med Parlamentom in Komisijo;</w:t>
      </w:r>
    </w:p>
    <w:p w14:paraId="683B3553" w14:textId="77777777" w:rsidR="00E01EEE" w:rsidRPr="0091164B" w:rsidRDefault="00E01EEE" w:rsidP="00E01EEE">
      <w:pPr>
        <w:pStyle w:val="NormalHanging12a"/>
        <w:rPr>
          <w:bCs/>
          <w:iCs/>
        </w:rPr>
      </w:pPr>
      <w:r w:rsidRPr="0091164B">
        <w:lastRenderedPageBreak/>
        <w:t>3.</w:t>
      </w:r>
      <w:r w:rsidRPr="0091164B">
        <w:tab/>
        <w:t xml:space="preserve">poudarja, da je treba še povečati splošno ozaveščenost o ESPG in njegovo prepoznavnost; poudarja, da je ta cilj mogoče zasledovati z vključitvijo ESPG v različne publikacije in avdiovizualne dejavnosti Komisije, kot je določeno v členu 11(1) uredbe o ESPG, ter z razširjanjem ciljno usmerjenih informacij med nacionalnimi, regionalnimi in lokalnimi organi, socialnimi partnerji in širšo javnostjo; </w:t>
      </w:r>
      <w:r w:rsidRPr="0091164B">
        <w:rPr>
          <w:bdr w:val="none" w:sz="0" w:space="0" w:color="auto" w:frame="1"/>
        </w:rPr>
        <w:t>v zvezi s tem pozdravlja vzdrževanje namenskega spletnega mesta za ESPG in poziva Komisijo, naj ga redno posodablja in razširja;</w:t>
      </w:r>
      <w:r w:rsidRPr="0091164B">
        <w:t xml:space="preserve"> poziva Komisijo, naj pri dejavnostih ozaveščanja in komuniciranja posebno pozornost nameni državam članicam, ki še niso uporabile ESPG ali so ga uporabile le v omejenem obsegu, vključno s tistimi, ki se srečujejo z obsežnimi procesi prestrukturiranja in odpuščanjem, da bi izboljšali poznavanje ESPG in olajšali dostop do podpore iz ESPG;</w:t>
      </w:r>
    </w:p>
    <w:p w14:paraId="4279A883" w14:textId="77777777" w:rsidR="00E01EEE" w:rsidRPr="0091164B" w:rsidRDefault="00E01EEE" w:rsidP="00E01EEE">
      <w:pPr>
        <w:pStyle w:val="NormalHanging12a"/>
        <w:rPr>
          <w:bCs/>
          <w:iCs/>
        </w:rPr>
      </w:pPr>
      <w:r w:rsidRPr="0091164B">
        <w:rPr>
          <w:bdr w:val="none" w:sz="0" w:space="0" w:color="auto" w:frame="1"/>
        </w:rPr>
        <w:t>4.</w:t>
      </w:r>
      <w:r w:rsidRPr="0091164B">
        <w:rPr>
          <w:bdr w:val="none" w:sz="0" w:space="0" w:color="auto" w:frame="1"/>
        </w:rPr>
        <w:tab/>
        <w:t>poudarja, da je treba dodatno poenostaviti postopek za pridobitev sredstev iz ESPG; v zvezi s tem pozdravlja vzdrževanje elektronskega sistema izmenjave podatkov in delo Komisije v zvezi s standardiziranimi postopki za vloge za sredstva ESPG;</w:t>
      </w:r>
      <w:r w:rsidRPr="0091164B">
        <w:t xml:space="preserve"> poziva Komisijo, naj še naprej zmanjšuje upravna bremena in skrajša čas med vložitvijo vloge in zagotavljanjem podpore upravičencem, hkrati pa zagotovi popolno preglednost in proračunski nadzor Evropskega parlamenta kot veje proračunskega organa;</w:t>
      </w:r>
    </w:p>
    <w:p w14:paraId="504290FD" w14:textId="77777777" w:rsidR="00E01EEE" w:rsidRPr="0091164B" w:rsidRDefault="00E01EEE" w:rsidP="00E01EEE">
      <w:pPr>
        <w:pStyle w:val="NormalHanging12a"/>
        <w:rPr>
          <w:bCs/>
          <w:iCs/>
        </w:rPr>
      </w:pPr>
      <w:r w:rsidRPr="0091164B">
        <w:t>5.</w:t>
      </w:r>
      <w:r w:rsidRPr="0091164B">
        <w:tab/>
        <w:t xml:space="preserve">poudarja, kako pomembno je poskrbeti, da lahko delavci, ki so jih prizadela množična odpuščanja, zaprtja in selitve, najdejo zaposlitev in nove priložnosti; zato poudarja, da bi moral ESPG še naprej dajati prednost ukrepom za usposabljanje in </w:t>
      </w:r>
      <w:proofErr w:type="spellStart"/>
      <w:r w:rsidRPr="0091164B">
        <w:t>preusposabljanje</w:t>
      </w:r>
      <w:proofErr w:type="spellEnd"/>
      <w:r w:rsidRPr="0091164B">
        <w:t xml:space="preserve"> presežnih delavcev ter ponujati smeri usposabljanja in kvalifikacije, ki omogočajo njihovo ponovno vključitev na trg dela; poudarja, da bi se morale ocene učinka ESPG osredotočiti na merjenje ponovne vključitve upravičencev na trg dela in učinkovitosti ponujenega usposabljanja, da bi se smeri usposabljanja in podporni ukrepi sčasoma nenehno izboljševali in prilagajali;</w:t>
      </w:r>
    </w:p>
    <w:p w14:paraId="24C12D3A" w14:textId="77777777" w:rsidR="00E01EEE" w:rsidRPr="0091164B" w:rsidRDefault="00E01EEE" w:rsidP="00E01EEE">
      <w:pPr>
        <w:pStyle w:val="NormalHanging12a"/>
        <w:rPr>
          <w:noProof/>
        </w:rPr>
      </w:pPr>
      <w:r w:rsidRPr="0091164B">
        <w:t>6.</w:t>
      </w:r>
      <w:r w:rsidRPr="0091164B">
        <w:tab/>
        <w:t>pozdravlja dejavnosti za ozaveščanje držav članic, socialnih partnerjev in podjetij o spremembah uredbe o ESPG, ki vključujejo možnost, da se podpora zagotovi tudi delavcem, ki jih je prizadelo neizbežno odpuščanje v podjetju v postopku prestrukturiranja;</w:t>
      </w:r>
    </w:p>
    <w:p w14:paraId="21F0D274" w14:textId="77777777" w:rsidR="00E01EEE" w:rsidRPr="0091164B" w:rsidRDefault="00E01EEE" w:rsidP="00E01EEE">
      <w:pPr>
        <w:pStyle w:val="NormalHanging12a"/>
        <w:rPr>
          <w:bdr w:val="none" w:sz="0" w:space="0" w:color="auto" w:frame="1"/>
        </w:rPr>
      </w:pPr>
      <w:r w:rsidRPr="0091164B">
        <w:t>7.</w:t>
      </w:r>
      <w:r w:rsidRPr="0091164B">
        <w:tab/>
        <w:t xml:space="preserve">poudarja, da bi bilo treba odhodke, ki se financirajo v okviru tehnične pomoči, strogo spremljati in redno ocenjevati, da bi zagotovili dobro finančno </w:t>
      </w:r>
      <w:proofErr w:type="spellStart"/>
      <w:r w:rsidRPr="0091164B">
        <w:t>poslovodenje</w:t>
      </w:r>
      <w:proofErr w:type="spellEnd"/>
      <w:r w:rsidRPr="0091164B">
        <w:t>, stroškovno učinkovitost in oprijemljivo dodano vrednost za države članice in upravičence; poziva Komisijo, naj zagotovi podrobne informacije o uporabi sredstev tehnične pomoči in o konkretnih rezultatih, doseženih s financiranimi dejavnostmi;</w:t>
      </w:r>
    </w:p>
    <w:p w14:paraId="2EC67173" w14:textId="77777777" w:rsidR="00E01EEE" w:rsidRPr="0091164B" w:rsidRDefault="00E01EEE" w:rsidP="00E01EEE">
      <w:pPr>
        <w:spacing w:after="240"/>
        <w:ind w:left="567" w:hanging="567"/>
      </w:pPr>
      <w:r w:rsidRPr="0091164B">
        <w:t>8.</w:t>
      </w:r>
      <w:r w:rsidRPr="0091164B">
        <w:tab/>
        <w:t>odobri sklep, priložen tej resoluciji;</w:t>
      </w:r>
    </w:p>
    <w:p w14:paraId="0DFB234B" w14:textId="77777777" w:rsidR="00E01EEE" w:rsidRPr="0091164B" w:rsidRDefault="00E01EEE" w:rsidP="00E01EEE">
      <w:pPr>
        <w:spacing w:after="240"/>
        <w:ind w:left="567" w:hanging="567"/>
        <w:rPr>
          <w:bdr w:val="none" w:sz="0" w:space="0" w:color="auto" w:frame="1"/>
        </w:rPr>
      </w:pPr>
      <w:r w:rsidRPr="0091164B">
        <w:t>9.</w:t>
      </w:r>
      <w:r w:rsidRPr="0091164B">
        <w:tab/>
      </w:r>
      <w:r w:rsidRPr="0091164B">
        <w:rPr>
          <w:bdr w:val="none" w:sz="0" w:space="0" w:color="auto" w:frame="1"/>
        </w:rPr>
        <w:t xml:space="preserve">naroči svoji predsednici, naj podpiše ta sklep skupaj s predsednikom Sveta ter poskrbi za njegovo objavo v </w:t>
      </w:r>
      <w:r w:rsidRPr="0091164B">
        <w:rPr>
          <w:i/>
          <w:bdr w:val="none" w:sz="0" w:space="0" w:color="auto" w:frame="1"/>
        </w:rPr>
        <w:t>Uradnem listu Evropske unije</w:t>
      </w:r>
      <w:r w:rsidRPr="0091164B">
        <w:rPr>
          <w:bdr w:val="none" w:sz="0" w:space="0" w:color="auto" w:frame="1"/>
        </w:rPr>
        <w:t>;</w:t>
      </w:r>
    </w:p>
    <w:p w14:paraId="7685B7E7" w14:textId="77777777" w:rsidR="00E01EEE" w:rsidRPr="0091164B" w:rsidRDefault="00E01EEE" w:rsidP="00E01EEE">
      <w:pPr>
        <w:pStyle w:val="NormalHanging12a"/>
      </w:pPr>
      <w:r w:rsidRPr="0091164B">
        <w:t>10.</w:t>
      </w:r>
      <w:r w:rsidRPr="0091164B">
        <w:tab/>
      </w:r>
      <w:r w:rsidRPr="0091164B">
        <w:rPr>
          <w:bdr w:val="none" w:sz="0" w:space="0" w:color="auto" w:frame="1"/>
        </w:rPr>
        <w:t>naroči svoji predsednici, naj resolucijo skupaj s prilogo posreduje Svetu in Komisiji.</w:t>
      </w:r>
    </w:p>
    <w:p w14:paraId="02ED19F3" w14:textId="77777777" w:rsidR="00E01EEE" w:rsidRPr="0091164B" w:rsidRDefault="00E01EEE" w:rsidP="00E01EEE">
      <w:pPr>
        <w:pStyle w:val="PageHeading"/>
        <w:jc w:val="left"/>
        <w:rPr>
          <w:noProof/>
        </w:rPr>
        <w:sectPr w:rsidR="00E01EEE" w:rsidRPr="0091164B" w:rsidSect="009116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092AA9" w14:textId="77777777" w:rsidR="00E01EEE" w:rsidRPr="0091164B" w:rsidRDefault="00E01EEE" w:rsidP="00E01EEE">
      <w:pPr>
        <w:pStyle w:val="PageHeading"/>
        <w:rPr>
          <w:noProof/>
        </w:rPr>
      </w:pPr>
      <w:bookmarkStart w:id="7" w:name="_Toc233789751"/>
      <w:r w:rsidRPr="0091164B">
        <w:lastRenderedPageBreak/>
        <w:t>PRILOGA: SKLEP EVROPSKEGA PARLAMENTA IN SVETA</w:t>
      </w:r>
      <w:bookmarkEnd w:id="7"/>
    </w:p>
    <w:p w14:paraId="43B675C1" w14:textId="77777777" w:rsidR="00E01EEE" w:rsidRPr="0091164B" w:rsidRDefault="00E01EEE" w:rsidP="00E01EEE">
      <w:pPr>
        <w:pStyle w:val="NormalBold24a"/>
      </w:pPr>
      <w:r w:rsidRPr="0091164B">
        <w:t>o uporabi Evropskega sklada za prilagoditev globalizaciji za presežne delavce na pobudo Komisije (ESPG/2026/000 TA 2026 – tehnična pomoč)</w:t>
      </w:r>
    </w:p>
    <w:p w14:paraId="49D04E38" w14:textId="77777777" w:rsidR="00E01EEE" w:rsidRPr="0091164B" w:rsidRDefault="00E01EEE" w:rsidP="00E01EEE">
      <w:pPr>
        <w:pStyle w:val="NormalHanging12a"/>
      </w:pPr>
      <w:r w:rsidRPr="0091164B">
        <w:t>EVROPSKI PARLAMENT IN SVET EVROPSKE UNIJE STA –</w:t>
      </w:r>
    </w:p>
    <w:p w14:paraId="5755A3C4" w14:textId="77777777" w:rsidR="00E01EEE" w:rsidRPr="0091164B" w:rsidRDefault="00E01EEE" w:rsidP="00E01EEE">
      <w:pPr>
        <w:pStyle w:val="NormalHanging12a"/>
      </w:pPr>
      <w:r w:rsidRPr="0091164B">
        <w:t>ob upoštevanju Pogodbe o delovanju Evropske unije,</w:t>
      </w:r>
    </w:p>
    <w:p w14:paraId="0B7885DA" w14:textId="77777777" w:rsidR="00E01EEE" w:rsidRPr="0091164B" w:rsidRDefault="00E01EEE" w:rsidP="00E01EEE">
      <w:pPr>
        <w:pStyle w:val="NormalHanging12a"/>
        <w:ind w:left="0" w:firstLine="0"/>
      </w:pPr>
      <w:r w:rsidRPr="0091164B">
        <w:t>ob upoštevanju Uredbe (EU) 2021/691 Evropskega parlamenta in Sveta z dne 28. aprila 2021 o Evropskem skladu za prilagoditev globalizaciji za presežne delavce (ESPG) in razveljavitvi Uredbe (EU) št. 1309/2013</w:t>
      </w:r>
      <w:r w:rsidRPr="0091164B">
        <w:rPr>
          <w:vertAlign w:val="superscript"/>
        </w:rPr>
        <w:footnoteReference w:id="6"/>
      </w:r>
      <w:r w:rsidRPr="0091164B">
        <w:t xml:space="preserve"> ter zlasti člena 15(1), prvi pododstavek, Uredbe,</w:t>
      </w:r>
    </w:p>
    <w:p w14:paraId="29B3A209" w14:textId="1206A695" w:rsidR="00E01EEE" w:rsidRPr="0091164B" w:rsidRDefault="00E01EEE" w:rsidP="00E01EEE">
      <w:pPr>
        <w:pStyle w:val="NormalHanging12a"/>
        <w:ind w:left="0" w:firstLine="0"/>
      </w:pPr>
      <w:r w:rsidRPr="0091164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91164B">
        <w:rPr>
          <w:vertAlign w:val="superscript"/>
        </w:rPr>
        <w:footnoteReference w:id="7"/>
      </w:r>
      <w:r w:rsidRPr="0091164B">
        <w:t xml:space="preserve">, </w:t>
      </w:r>
      <w:r w:rsidR="00582D77">
        <w:t>ter</w:t>
      </w:r>
      <w:r w:rsidR="00582D77" w:rsidRPr="0091164B">
        <w:t xml:space="preserve"> </w:t>
      </w:r>
      <w:r w:rsidRPr="0091164B">
        <w:t>zlasti točke 9 Sporazuma,</w:t>
      </w:r>
    </w:p>
    <w:p w14:paraId="6B5C02B1" w14:textId="77777777" w:rsidR="00E01EEE" w:rsidRPr="0091164B" w:rsidRDefault="00E01EEE" w:rsidP="00E01EEE">
      <w:pPr>
        <w:pStyle w:val="NormalHanging12a"/>
      </w:pPr>
      <w:r w:rsidRPr="0091164B">
        <w:t>ob upoštevanju predloga Evropske komisije,</w:t>
      </w:r>
    </w:p>
    <w:p w14:paraId="43E02ED2" w14:textId="77777777" w:rsidR="00E01EEE" w:rsidRPr="0091164B" w:rsidRDefault="00E01EEE" w:rsidP="00E01EEE">
      <w:pPr>
        <w:pStyle w:val="NormalHanging12a"/>
        <w:jc w:val="both"/>
      </w:pPr>
      <w:r w:rsidRPr="0091164B">
        <w:t>ob upoštevanju naslednjega:</w:t>
      </w:r>
    </w:p>
    <w:p w14:paraId="0A710522" w14:textId="77777777" w:rsidR="00E01EEE" w:rsidRPr="0091164B" w:rsidRDefault="00E01EEE" w:rsidP="00416094">
      <w:pPr>
        <w:pStyle w:val="NormalHanging12a"/>
      </w:pPr>
      <w:r w:rsidRPr="0091164B">
        <w:t>(1)</w:t>
      </w:r>
      <w:r w:rsidRPr="0091164B">
        <w:tab/>
        <w:t>Cilja Evropskega sklada za prilagoditev globalizaciji za presežne delavce (ESPG) sta izkazovanje solidarnosti ter spodbujanje dostojne in trajnostne zaposlitve v Uniji s podporo za delavce, ki so bili odpuščeni, in samozaposlene osebe, ki so prenehale opravljati dejavnost, pri velikih prestrukturiranjih ter s pomočjo zanje, da se čim prej vrnejo v dostojno in trajnostno zaposlitev.</w:t>
      </w:r>
    </w:p>
    <w:p w14:paraId="2CDEB0D6" w14:textId="77777777" w:rsidR="00E01EEE" w:rsidRPr="0091164B" w:rsidRDefault="00E01EEE" w:rsidP="00416094">
      <w:pPr>
        <w:pStyle w:val="NormalHanging12a"/>
      </w:pPr>
      <w:r w:rsidRPr="0091164B">
        <w:t>(2)</w:t>
      </w:r>
      <w:r w:rsidRPr="0091164B">
        <w:tab/>
        <w:t>Sredstva ESPG ne smejo presegati najvišjega letnega zneska 30 milijonov EUR (v cenah iz leta 2018), kot je določeno v členu 8 Uredbe Sveta (EU, Euratom) 2020/2093</w:t>
      </w:r>
      <w:r w:rsidRPr="0091164B">
        <w:rPr>
          <w:iCs/>
          <w:vertAlign w:val="superscript"/>
        </w:rPr>
        <w:footnoteReference w:id="8"/>
      </w:r>
      <w:r w:rsidRPr="0091164B">
        <w:t>, spremenjene z Uredbo Sveta (EU, Euratom) 2024/765</w:t>
      </w:r>
      <w:r w:rsidRPr="0091164B">
        <w:rPr>
          <w:iCs/>
          <w:vertAlign w:val="superscript"/>
        </w:rPr>
        <w:footnoteReference w:id="9"/>
      </w:r>
      <w:r w:rsidRPr="0091164B">
        <w:t>, in členu 16 Uredbe (EU) 2021/691.</w:t>
      </w:r>
    </w:p>
    <w:p w14:paraId="7632C028" w14:textId="77777777" w:rsidR="00E01EEE" w:rsidRPr="0091164B" w:rsidRDefault="00E01EEE" w:rsidP="00416094">
      <w:pPr>
        <w:pStyle w:val="NormalHanging12a"/>
      </w:pPr>
      <w:r w:rsidRPr="0091164B">
        <w:t>(3)</w:t>
      </w:r>
      <w:r w:rsidRPr="0091164B">
        <w:tab/>
        <w:t>Uredba (EU) 2021/691 določa, da se lahko vsako leto na pobudo Komisije za tehnično pomoč uporabi največ 1,5 % najvišjega letnega zneska ESPG.</w:t>
      </w:r>
    </w:p>
    <w:p w14:paraId="1402A423" w14:textId="77777777" w:rsidR="00E01EEE" w:rsidRPr="0091164B" w:rsidRDefault="00E01EEE" w:rsidP="00416094">
      <w:pPr>
        <w:pStyle w:val="NormalHanging12a"/>
      </w:pPr>
      <w:r w:rsidRPr="0091164B">
        <w:t>(4)</w:t>
      </w:r>
      <w:r w:rsidRPr="0091164B">
        <w:tab/>
        <w:t xml:space="preserve">Ta pomoč je potrebna za izpolnjevanje obveznosti v zvezi z izvajanjem ESPG, kot je določeno s členom 11 Uredbe (EU) 2021/691, predvsem glede spremljanja in zbiranja podatkov ter komunikacijskih dejavnosti in dejavnosti za povečanje prepoznavnosti </w:t>
      </w:r>
      <w:r w:rsidRPr="0091164B">
        <w:lastRenderedPageBreak/>
        <w:t>ESPG.</w:t>
      </w:r>
    </w:p>
    <w:p w14:paraId="445F91E1" w14:textId="77777777" w:rsidR="00E01EEE" w:rsidRPr="0091164B" w:rsidRDefault="00E01EEE" w:rsidP="00E01EEE">
      <w:pPr>
        <w:pStyle w:val="NormalHanging12a"/>
        <w:jc w:val="both"/>
      </w:pPr>
      <w:r w:rsidRPr="0091164B">
        <w:t>(5)</w:t>
      </w:r>
      <w:r w:rsidRPr="0091164B">
        <w:tab/>
        <w:t>Zato bi bilo treba uporabiti sredstva ESPG, da se zagotovi znesek v višini 210 000 EUR za tehnično pomoč na pobudo Komisije –</w:t>
      </w:r>
    </w:p>
    <w:p w14:paraId="216C434D" w14:textId="77777777" w:rsidR="00E01EEE" w:rsidRPr="0091164B" w:rsidRDefault="00E01EEE" w:rsidP="00E01EEE">
      <w:r w:rsidRPr="0091164B">
        <w:t>SPREJELA NASLEDNJI SKLEP:</w:t>
      </w:r>
    </w:p>
    <w:p w14:paraId="515E9D4A" w14:textId="77777777" w:rsidR="00E01EEE" w:rsidRPr="0091164B" w:rsidRDefault="00E01EEE" w:rsidP="00E01EEE"/>
    <w:p w14:paraId="35C50231" w14:textId="77777777" w:rsidR="00E01EEE" w:rsidRPr="0091164B" w:rsidRDefault="00E01EEE" w:rsidP="00E01EEE">
      <w:pPr>
        <w:jc w:val="center"/>
        <w:rPr>
          <w:i/>
          <w:iCs/>
        </w:rPr>
      </w:pPr>
      <w:r w:rsidRPr="0091164B">
        <w:rPr>
          <w:i/>
        </w:rPr>
        <w:t>Člen 1</w:t>
      </w:r>
    </w:p>
    <w:p w14:paraId="61F1D143" w14:textId="77777777" w:rsidR="00E01EEE" w:rsidRPr="0091164B" w:rsidRDefault="00E01EEE" w:rsidP="00E01EEE">
      <w:pPr>
        <w:jc w:val="center"/>
        <w:rPr>
          <w:i/>
          <w:iCs/>
        </w:rPr>
      </w:pPr>
    </w:p>
    <w:p w14:paraId="14F5F1C7" w14:textId="77777777" w:rsidR="00E01EEE" w:rsidRPr="0091164B" w:rsidRDefault="00E01EEE" w:rsidP="00E01EEE">
      <w:bookmarkStart w:id="8" w:name="_Hlk230695449"/>
      <w:r w:rsidRPr="0091164B">
        <w:t>V okviru splošnega proračuna Unije za proračunsko leto 2026 se iz Evropskega sklada za prilagoditev globalizaciji za presežne delavce uporabi znesek v višini 210 000 EUR v odobritvah za prevzem obveznosti in odobritvah plačil.</w:t>
      </w:r>
      <w:bookmarkEnd w:id="8"/>
    </w:p>
    <w:p w14:paraId="3A490B20" w14:textId="77777777" w:rsidR="00E01EEE" w:rsidRPr="0091164B" w:rsidRDefault="00E01EEE" w:rsidP="00E01EEE"/>
    <w:p w14:paraId="1F3CAE6F" w14:textId="77777777" w:rsidR="00E01EEE" w:rsidRPr="0091164B" w:rsidRDefault="00E01EEE" w:rsidP="00E01EEE">
      <w:pPr>
        <w:jc w:val="center"/>
        <w:rPr>
          <w:i/>
          <w:iCs/>
        </w:rPr>
      </w:pPr>
      <w:r w:rsidRPr="0091164B">
        <w:rPr>
          <w:i/>
        </w:rPr>
        <w:t>Člen 2</w:t>
      </w:r>
    </w:p>
    <w:p w14:paraId="75FC89B3" w14:textId="77777777" w:rsidR="00E01EEE" w:rsidRPr="0091164B" w:rsidRDefault="00E01EEE" w:rsidP="00E01EEE"/>
    <w:p w14:paraId="743B8CC3" w14:textId="043F07C3" w:rsidR="00E01EEE" w:rsidRPr="0091164B" w:rsidRDefault="00E01EEE" w:rsidP="00E01EEE">
      <w:r w:rsidRPr="0091164B">
        <w:t xml:space="preserve">Ta sklep začne veljati na dan objave v </w:t>
      </w:r>
      <w:r w:rsidRPr="0091164B">
        <w:rPr>
          <w:i/>
        </w:rPr>
        <w:t>Uradnem listu Evropske unije</w:t>
      </w:r>
      <w:r w:rsidRPr="0091164B">
        <w:t>.</w:t>
      </w:r>
    </w:p>
    <w:p w14:paraId="2B94150B" w14:textId="77777777" w:rsidR="00E01EEE" w:rsidRPr="0091164B" w:rsidRDefault="00E01EEE" w:rsidP="00E01EEE"/>
    <w:p w14:paraId="6AF818BE" w14:textId="77777777" w:rsidR="00E01EEE" w:rsidRPr="0091164B" w:rsidRDefault="00E01EEE" w:rsidP="00E01EEE"/>
    <w:p w14:paraId="4ADA1162" w14:textId="77777777" w:rsidR="00E01EEE" w:rsidRPr="0091164B" w:rsidRDefault="00E01EEE" w:rsidP="00E01EEE">
      <w:r w:rsidRPr="0091164B">
        <w:t>V Bruslju,</w:t>
      </w:r>
    </w:p>
    <w:p w14:paraId="2AD9A6DB" w14:textId="77777777" w:rsidR="00E01EEE" w:rsidRPr="0091164B" w:rsidRDefault="00E01EEE" w:rsidP="00E01EEE"/>
    <w:p w14:paraId="7AE2F99E" w14:textId="77777777" w:rsidR="00E01EEE" w:rsidRPr="0091164B" w:rsidRDefault="00E01EEE" w:rsidP="00E01EEE">
      <w:pPr>
        <w:rPr>
          <w:i/>
        </w:rPr>
      </w:pPr>
      <w:r w:rsidRPr="0091164B">
        <w:rPr>
          <w:i/>
        </w:rPr>
        <w:t>Za Evropski parlament</w:t>
      </w:r>
      <w:r w:rsidRPr="0091164B">
        <w:rPr>
          <w:i/>
        </w:rPr>
        <w:tab/>
      </w:r>
      <w:r w:rsidRPr="0091164B">
        <w:rPr>
          <w:i/>
        </w:rPr>
        <w:tab/>
      </w:r>
      <w:r w:rsidRPr="0091164B">
        <w:rPr>
          <w:i/>
        </w:rPr>
        <w:tab/>
        <w:t>Za Svet</w:t>
      </w:r>
    </w:p>
    <w:p w14:paraId="708F2F56" w14:textId="037FC98D" w:rsidR="0091164B" w:rsidRPr="0091164B" w:rsidRDefault="00E01EEE" w:rsidP="0091164B">
      <w:r w:rsidRPr="0091164B">
        <w:rPr>
          <w:i/>
        </w:rPr>
        <w:t>predsednica</w:t>
      </w:r>
      <w:r w:rsidRPr="0091164B">
        <w:rPr>
          <w:i/>
        </w:rPr>
        <w:tab/>
      </w:r>
      <w:r w:rsidRPr="0091164B">
        <w:rPr>
          <w:i/>
        </w:rPr>
        <w:tab/>
      </w:r>
      <w:r w:rsidRPr="0091164B">
        <w:rPr>
          <w:i/>
        </w:rPr>
        <w:tab/>
      </w:r>
      <w:r w:rsidRPr="0091164B">
        <w:rPr>
          <w:i/>
        </w:rPr>
        <w:tab/>
      </w:r>
      <w:r w:rsidRPr="0091164B">
        <w:rPr>
          <w:i/>
        </w:rPr>
        <w:tab/>
        <w:t>predsednik/predsednica</w:t>
      </w:r>
    </w:p>
    <w:p w14:paraId="1A935D40" w14:textId="3E805CD1" w:rsidR="00E365E1" w:rsidRPr="0091164B" w:rsidRDefault="00E365E1" w:rsidP="00727D0D"/>
    <w:sectPr w:rsidR="00E365E1" w:rsidRPr="0091164B" w:rsidSect="0091164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1CDB8" w14:textId="77777777" w:rsidR="00727D0D" w:rsidRPr="0091164B" w:rsidRDefault="00727D0D">
      <w:r w:rsidRPr="0091164B">
        <w:separator/>
      </w:r>
    </w:p>
  </w:endnote>
  <w:endnote w:type="continuationSeparator" w:id="0">
    <w:p w14:paraId="6E9C0349" w14:textId="77777777" w:rsidR="00727D0D" w:rsidRPr="0091164B" w:rsidRDefault="00727D0D">
      <w:r w:rsidRPr="009116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EA72" w14:textId="77777777" w:rsidR="00E01EEE" w:rsidRPr="0091164B" w:rsidRDefault="00E01EEE" w:rsidP="0027404A">
    <w:pPr>
      <w:pStyle w:val="EPFooter"/>
    </w:pPr>
    <w:r w:rsidRPr="0091164B">
      <w:t>PE</w:t>
    </w:r>
    <w:r w:rsidRPr="0091164B">
      <w:rPr>
        <w:rStyle w:val="HideTWBExt"/>
      </w:rPr>
      <w:t>&lt;</w:t>
    </w:r>
    <w:proofErr w:type="spellStart"/>
    <w:r w:rsidRPr="0091164B">
      <w:rPr>
        <w:rStyle w:val="HideTWBExt"/>
      </w:rPr>
      <w:t>NoPE</w:t>
    </w:r>
    <w:proofErr w:type="spellEnd"/>
    <w:r w:rsidRPr="0091164B">
      <w:rPr>
        <w:rStyle w:val="HideTWBExt"/>
      </w:rPr>
      <w:t>&gt;</w:t>
    </w:r>
    <w:r w:rsidRPr="0091164B">
      <w:t>789.086</w:t>
    </w:r>
    <w:r w:rsidRPr="0091164B">
      <w:rPr>
        <w:rStyle w:val="HideTWBExt"/>
      </w:rPr>
      <w:t>&lt;/</w:t>
    </w:r>
    <w:proofErr w:type="spellStart"/>
    <w:r w:rsidRPr="0091164B">
      <w:rPr>
        <w:rStyle w:val="HideTWBExt"/>
      </w:rPr>
      <w:t>NoPE</w:t>
    </w:r>
    <w:proofErr w:type="spellEnd"/>
    <w:r w:rsidRPr="0091164B">
      <w:rPr>
        <w:rStyle w:val="HideTWBExt"/>
      </w:rPr>
      <w:t>&gt;&lt;Version&gt;</w:t>
    </w:r>
    <w:r w:rsidRPr="0091164B">
      <w:t>v02-00</w:t>
    </w:r>
    <w:r w:rsidRPr="0091164B">
      <w:rPr>
        <w:rStyle w:val="HideTWBExt"/>
      </w:rPr>
      <w:t>&lt;/</w:t>
    </w:r>
    <w:proofErr w:type="spellStart"/>
    <w:r w:rsidRPr="0091164B">
      <w:rPr>
        <w:rStyle w:val="HideTWBExt"/>
      </w:rPr>
      <w:t>Version</w:t>
    </w:r>
    <w:proofErr w:type="spellEnd"/>
    <w:r w:rsidRPr="0091164B">
      <w:rPr>
        <w:rStyle w:val="HideTWBExt"/>
      </w:rPr>
      <w:t>&gt;</w:t>
    </w:r>
    <w:r w:rsidRPr="0091164B">
      <w:tab/>
    </w:r>
    <w:r w:rsidRPr="0091164B">
      <w:fldChar w:fldCharType="begin"/>
    </w:r>
    <w:r w:rsidRPr="0091164B">
      <w:instrText xml:space="preserve"> PAGE  \* MERGEFORMAT </w:instrText>
    </w:r>
    <w:r w:rsidRPr="0091164B">
      <w:fldChar w:fldCharType="separate"/>
    </w:r>
    <w:r w:rsidRPr="0091164B">
      <w:rPr>
        <w:noProof/>
      </w:rPr>
      <w:t>2</w:t>
    </w:r>
    <w:r w:rsidRPr="0091164B">
      <w:fldChar w:fldCharType="end"/>
    </w:r>
    <w:r w:rsidRPr="0091164B">
      <w:t>/</w:t>
    </w:r>
    <w:fldSimple w:instr=" NUMPAGES  \* MERGEFORMAT ">
      <w:r w:rsidRPr="0091164B">
        <w:rPr>
          <w:noProof/>
        </w:rPr>
        <w:t>3</w:t>
      </w:r>
    </w:fldSimple>
    <w:r w:rsidRPr="0091164B">
      <w:tab/>
    </w:r>
    <w:r w:rsidRPr="0091164B">
      <w:rPr>
        <w:rStyle w:val="HideTWBExt"/>
      </w:rPr>
      <w:t>&lt;PathFdR&gt;</w:t>
    </w:r>
    <w:r w:rsidRPr="0091164B">
      <w:t>RR\1346613SL.docx</w:t>
    </w:r>
    <w:r w:rsidRPr="0091164B">
      <w:rPr>
        <w:rStyle w:val="HideTWBExt"/>
      </w:rPr>
      <w:t>&lt;/</w:t>
    </w:r>
    <w:proofErr w:type="spellStart"/>
    <w:r w:rsidRPr="0091164B">
      <w:rPr>
        <w:rStyle w:val="HideTWBExt"/>
      </w:rPr>
      <w:t>PathFdR</w:t>
    </w:r>
    <w:proofErr w:type="spellEnd"/>
    <w:r w:rsidRPr="0091164B">
      <w:rPr>
        <w:rStyle w:val="HideTWBExt"/>
      </w:rPr>
      <w:t>&gt;</w:t>
    </w:r>
  </w:p>
  <w:p w14:paraId="466BCAD1" w14:textId="77777777" w:rsidR="00E01EEE" w:rsidRPr="0091164B" w:rsidRDefault="00E01EEE" w:rsidP="0027404A">
    <w:pPr>
      <w:pStyle w:val="EPFooter2"/>
    </w:pPr>
    <w:r w:rsidRPr="0091164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A01DA" w14:textId="6FC994EA" w:rsidR="00E01EEE" w:rsidRPr="0091164B" w:rsidRDefault="00E01EEE" w:rsidP="0027404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48130" w14:textId="77777777" w:rsidR="00E01EEE" w:rsidRPr="0091164B" w:rsidRDefault="00E01EEE" w:rsidP="0027404A">
    <w:pPr>
      <w:pStyle w:val="EPFooter"/>
    </w:pPr>
    <w:r w:rsidRPr="0091164B">
      <w:rPr>
        <w:rStyle w:val="HideTWBExt"/>
      </w:rPr>
      <w:t>&lt;PathFdR&gt;</w:t>
    </w:r>
    <w:r w:rsidRPr="0091164B">
      <w:t>RR\1346613SL.docx</w:t>
    </w:r>
    <w:r w:rsidRPr="0091164B">
      <w:rPr>
        <w:rStyle w:val="HideTWBExt"/>
      </w:rPr>
      <w:t>&lt;/</w:t>
    </w:r>
    <w:proofErr w:type="spellStart"/>
    <w:r w:rsidRPr="0091164B">
      <w:rPr>
        <w:rStyle w:val="HideTWBExt"/>
      </w:rPr>
      <w:t>PathFdR</w:t>
    </w:r>
    <w:proofErr w:type="spellEnd"/>
    <w:r w:rsidRPr="0091164B">
      <w:rPr>
        <w:rStyle w:val="HideTWBExt"/>
      </w:rPr>
      <w:t>&gt;</w:t>
    </w:r>
    <w:r w:rsidRPr="0091164B">
      <w:tab/>
    </w:r>
    <w:r w:rsidRPr="0091164B">
      <w:tab/>
      <w:t>PE</w:t>
    </w:r>
    <w:r w:rsidRPr="0091164B">
      <w:rPr>
        <w:rStyle w:val="HideTWBExt"/>
      </w:rPr>
      <w:t>&lt;</w:t>
    </w:r>
    <w:proofErr w:type="spellStart"/>
    <w:r w:rsidRPr="0091164B">
      <w:rPr>
        <w:rStyle w:val="HideTWBExt"/>
      </w:rPr>
      <w:t>NoPE</w:t>
    </w:r>
    <w:proofErr w:type="spellEnd"/>
    <w:r w:rsidRPr="0091164B">
      <w:rPr>
        <w:rStyle w:val="HideTWBExt"/>
      </w:rPr>
      <w:t>&gt;</w:t>
    </w:r>
    <w:r w:rsidRPr="0091164B">
      <w:t>789.086</w:t>
    </w:r>
    <w:r w:rsidRPr="0091164B">
      <w:rPr>
        <w:rStyle w:val="HideTWBExt"/>
      </w:rPr>
      <w:t>&lt;/</w:t>
    </w:r>
    <w:proofErr w:type="spellStart"/>
    <w:r w:rsidRPr="0091164B">
      <w:rPr>
        <w:rStyle w:val="HideTWBExt"/>
      </w:rPr>
      <w:t>NoPE</w:t>
    </w:r>
    <w:proofErr w:type="spellEnd"/>
    <w:r w:rsidRPr="0091164B">
      <w:rPr>
        <w:rStyle w:val="HideTWBExt"/>
      </w:rPr>
      <w:t>&gt;&lt;Version&gt;</w:t>
    </w:r>
    <w:r w:rsidRPr="0091164B">
      <w:t>v02-00</w:t>
    </w:r>
    <w:r w:rsidRPr="0091164B">
      <w:rPr>
        <w:rStyle w:val="HideTWBExt"/>
      </w:rPr>
      <w:t>&lt;/</w:t>
    </w:r>
    <w:proofErr w:type="spellStart"/>
    <w:r w:rsidRPr="0091164B">
      <w:rPr>
        <w:rStyle w:val="HideTWBExt"/>
      </w:rPr>
      <w:t>Version</w:t>
    </w:r>
    <w:proofErr w:type="spellEnd"/>
    <w:r w:rsidRPr="0091164B">
      <w:rPr>
        <w:rStyle w:val="HideTWBExt"/>
      </w:rPr>
      <w:t>&gt;</w:t>
    </w:r>
  </w:p>
  <w:p w14:paraId="37ECD805" w14:textId="77777777" w:rsidR="00E01EEE" w:rsidRPr="0091164B" w:rsidRDefault="00E01EEE" w:rsidP="0027404A">
    <w:pPr>
      <w:pStyle w:val="EPFooter2"/>
    </w:pPr>
    <w:r w:rsidRPr="0091164B">
      <w:t>SL</w:t>
    </w:r>
    <w:r w:rsidRPr="0091164B">
      <w:tab/>
    </w:r>
    <w:r w:rsidRPr="0091164B">
      <w:rPr>
        <w:b w:val="0"/>
        <w:i/>
        <w:color w:val="C0C0C0"/>
        <w:sz w:val="22"/>
      </w:rPr>
      <w:t>Združena v raznolikosti</w:t>
    </w:r>
    <w:r w:rsidRPr="0091164B">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462DD" w14:textId="77777777" w:rsidR="00064002" w:rsidRPr="0091164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4E18" w14:textId="77777777" w:rsidR="00064002" w:rsidRPr="0091164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54B2" w14:textId="77777777" w:rsidR="00064002" w:rsidRPr="009116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457E7" w14:textId="77777777" w:rsidR="00727D0D" w:rsidRPr="0091164B" w:rsidRDefault="00727D0D">
      <w:r w:rsidRPr="0091164B">
        <w:separator/>
      </w:r>
    </w:p>
  </w:footnote>
  <w:footnote w:type="continuationSeparator" w:id="0">
    <w:p w14:paraId="4E3F12D2" w14:textId="77777777" w:rsidR="00727D0D" w:rsidRPr="0091164B" w:rsidRDefault="00727D0D">
      <w:r w:rsidRPr="0091164B">
        <w:continuationSeparator/>
      </w:r>
    </w:p>
  </w:footnote>
  <w:footnote w:id="1">
    <w:p w14:paraId="706D9B25" w14:textId="1E05538C" w:rsidR="00E01EEE" w:rsidRPr="0091164B" w:rsidRDefault="00E01EEE" w:rsidP="0091164B">
      <w:pPr>
        <w:pStyle w:val="FootnoteText"/>
        <w:ind w:left="567" w:hanging="567"/>
        <w:rPr>
          <w:sz w:val="24"/>
          <w:lang w:val="sl-SI"/>
        </w:rPr>
      </w:pPr>
      <w:r w:rsidRPr="0091164B">
        <w:rPr>
          <w:rStyle w:val="FootnoteReference"/>
          <w:sz w:val="24"/>
          <w:lang w:val="sl-SI"/>
        </w:rPr>
        <w:footnoteRef/>
      </w:r>
      <w:r w:rsidR="0091164B" w:rsidRPr="0091164B">
        <w:rPr>
          <w:sz w:val="24"/>
          <w:lang w:val="sl-SI"/>
        </w:rPr>
        <w:t xml:space="preserve"> </w:t>
      </w:r>
      <w:r w:rsidR="0091164B" w:rsidRPr="0091164B">
        <w:rPr>
          <w:sz w:val="24"/>
          <w:lang w:val="sl-SI"/>
        </w:rPr>
        <w:tab/>
      </w:r>
      <w:r w:rsidRPr="0091164B">
        <w:rPr>
          <w:sz w:val="24"/>
          <w:lang w:val="sl-SI"/>
        </w:rPr>
        <w:t xml:space="preserve">UL L 153, 3.5.2021, str. 48, ELI: </w:t>
      </w:r>
      <w:hyperlink r:id="rId1" w:history="1">
        <w:r w:rsidRPr="0091164B">
          <w:rPr>
            <w:rStyle w:val="Hyperlink"/>
            <w:color w:val="0070C0"/>
            <w:sz w:val="24"/>
            <w:lang w:val="sl-SI"/>
          </w:rPr>
          <w:t>http://data.europa.eu/eli/reg/2021/691/oj</w:t>
        </w:r>
      </w:hyperlink>
      <w:r w:rsidRPr="0091164B">
        <w:rPr>
          <w:color w:val="0070C0"/>
          <w:sz w:val="24"/>
          <w:lang w:val="sl-SI"/>
        </w:rPr>
        <w:t>.</w:t>
      </w:r>
    </w:p>
  </w:footnote>
  <w:footnote w:id="2">
    <w:p w14:paraId="37E5C4D7" w14:textId="6517A4F8" w:rsidR="00E01EEE" w:rsidRPr="0091164B" w:rsidRDefault="00E01EEE" w:rsidP="0091164B">
      <w:pPr>
        <w:pStyle w:val="FootnoteText"/>
        <w:ind w:left="567" w:hanging="567"/>
        <w:rPr>
          <w:sz w:val="24"/>
          <w:lang w:val="sl-SI"/>
        </w:rPr>
      </w:pPr>
      <w:r w:rsidRPr="0091164B">
        <w:rPr>
          <w:rStyle w:val="FootnoteReference"/>
          <w:sz w:val="24"/>
          <w:lang w:val="sl-SI"/>
        </w:rPr>
        <w:footnoteRef/>
      </w:r>
      <w:r w:rsidR="0091164B" w:rsidRPr="0091164B">
        <w:rPr>
          <w:sz w:val="24"/>
          <w:lang w:val="sl-SI"/>
        </w:rPr>
        <w:t xml:space="preserve"> </w:t>
      </w:r>
      <w:r w:rsidR="0091164B" w:rsidRPr="0091164B">
        <w:rPr>
          <w:sz w:val="24"/>
          <w:lang w:val="sl-SI"/>
        </w:rPr>
        <w:tab/>
      </w:r>
      <w:r w:rsidRPr="0091164B">
        <w:rPr>
          <w:sz w:val="24"/>
          <w:lang w:val="sl-SI"/>
        </w:rPr>
        <w:t>UL L, 2026/1139, 20.5.2026, ELI: </w:t>
      </w:r>
      <w:r>
        <w:fldChar w:fldCharType="begin"/>
      </w:r>
      <w:r w:rsidRPr="009E7656">
        <w:rPr>
          <w:lang w:val="pl-PL"/>
        </w:rPr>
        <w:instrText>HYPERLINK "http://data.europa.eu/eli/reg/2026/1139/oj" \t "_blank" \o "Omogoča dostop do dokumenta prek označevalnika/predloge ELI URI."</w:instrText>
      </w:r>
      <w:r>
        <w:fldChar w:fldCharType="separate"/>
      </w:r>
      <w:r w:rsidRPr="0091164B">
        <w:rPr>
          <w:rStyle w:val="Hyperlink"/>
          <w:color w:val="0070C0"/>
          <w:sz w:val="24"/>
          <w:lang w:val="sl-SI"/>
        </w:rPr>
        <w:t>http://data.europa.eu/eli/reg/2026/1139/oj</w:t>
      </w:r>
      <w:r>
        <w:fldChar w:fldCharType="end"/>
      </w:r>
      <w:r w:rsidRPr="0091164B">
        <w:rPr>
          <w:color w:val="0070C0"/>
          <w:sz w:val="24"/>
          <w:lang w:val="sl-SI"/>
        </w:rPr>
        <w:t>.</w:t>
      </w:r>
    </w:p>
  </w:footnote>
  <w:footnote w:id="3">
    <w:p w14:paraId="04BD4340" w14:textId="1DB5A0D8" w:rsidR="00E01EEE" w:rsidRPr="0091164B" w:rsidRDefault="00E01EEE" w:rsidP="0091164B">
      <w:pPr>
        <w:ind w:left="567" w:hanging="567"/>
      </w:pPr>
      <w:r w:rsidRPr="0091164B">
        <w:rPr>
          <w:rStyle w:val="FootnoteReference"/>
        </w:rPr>
        <w:footnoteRef/>
      </w:r>
      <w:r w:rsidR="0091164B" w:rsidRPr="0091164B">
        <w:t xml:space="preserve"> </w:t>
      </w:r>
      <w:r w:rsidR="0091164B" w:rsidRPr="0091164B">
        <w:tab/>
      </w:r>
      <w:r w:rsidRPr="0091164B">
        <w:t xml:space="preserve">UL L 433 I, 22.12.2020, str. 11, ELI: </w:t>
      </w:r>
      <w:hyperlink r:id="rId2" w:history="1">
        <w:r w:rsidRPr="0091164B">
          <w:rPr>
            <w:rStyle w:val="Hyperlink"/>
            <w:color w:val="0070C0"/>
          </w:rPr>
          <w:t>http://data.europa.eu/eli/reg/2020/2093/oj</w:t>
        </w:r>
      </w:hyperlink>
      <w:r w:rsidRPr="0091164B">
        <w:rPr>
          <w:color w:val="0070C0"/>
        </w:rPr>
        <w:t>.</w:t>
      </w:r>
    </w:p>
  </w:footnote>
  <w:footnote w:id="4">
    <w:p w14:paraId="6BC9AB3D" w14:textId="794EDA5D" w:rsidR="00E01EEE" w:rsidRPr="0091164B" w:rsidRDefault="00E01EEE" w:rsidP="0091164B">
      <w:pPr>
        <w:ind w:left="567" w:hanging="567"/>
      </w:pPr>
      <w:r w:rsidRPr="0091164B">
        <w:rPr>
          <w:rStyle w:val="FootnoteReference"/>
        </w:rPr>
        <w:footnoteRef/>
      </w:r>
      <w:r w:rsidR="0091164B" w:rsidRPr="0091164B">
        <w:t xml:space="preserve"> </w:t>
      </w:r>
      <w:r w:rsidR="0091164B" w:rsidRPr="0091164B">
        <w:tab/>
      </w:r>
      <w:r w:rsidRPr="0091164B">
        <w:t xml:space="preserve">UL L, 2024/765, 29.2.2024, ELI: </w:t>
      </w:r>
      <w:hyperlink r:id="rId3" w:history="1">
        <w:r w:rsidRPr="0091164B">
          <w:rPr>
            <w:rStyle w:val="Hyperlink"/>
          </w:rPr>
          <w:t>https://eur-lex.europa.eu/eli/reg/2024/765/oj</w:t>
        </w:r>
      </w:hyperlink>
      <w:r w:rsidRPr="0091164B">
        <w:t>.</w:t>
      </w:r>
    </w:p>
  </w:footnote>
  <w:footnote w:id="5">
    <w:p w14:paraId="32BB3DD2" w14:textId="0CE6B464" w:rsidR="00E01EEE" w:rsidRPr="0091164B" w:rsidRDefault="00E01EEE" w:rsidP="0091164B">
      <w:pPr>
        <w:pStyle w:val="FootnoteText"/>
        <w:ind w:left="567" w:hanging="567"/>
        <w:rPr>
          <w:sz w:val="24"/>
          <w:lang w:val="sl-SI"/>
        </w:rPr>
      </w:pPr>
      <w:r w:rsidRPr="0091164B">
        <w:rPr>
          <w:rStyle w:val="FootnoteReference"/>
          <w:sz w:val="24"/>
          <w:lang w:val="sl-SI"/>
        </w:rPr>
        <w:footnoteRef/>
      </w:r>
      <w:r w:rsidR="0091164B" w:rsidRPr="0091164B">
        <w:rPr>
          <w:sz w:val="24"/>
          <w:lang w:val="sl-SI"/>
        </w:rPr>
        <w:t xml:space="preserve"> </w:t>
      </w:r>
      <w:r w:rsidR="0091164B" w:rsidRPr="0091164B">
        <w:rPr>
          <w:sz w:val="24"/>
          <w:lang w:val="sl-SI"/>
        </w:rPr>
        <w:tab/>
      </w:r>
      <w:r w:rsidRPr="0091164B">
        <w:rPr>
          <w:sz w:val="24"/>
          <w:lang w:val="sl-SI"/>
        </w:rPr>
        <w:t xml:space="preserve">UL L 433 I, 22.12.2020, str. 28, ELI: </w:t>
      </w:r>
      <w:r>
        <w:fldChar w:fldCharType="begin"/>
      </w:r>
      <w:r w:rsidRPr="009E7656">
        <w:rPr>
          <w:lang w:val="pl-PL"/>
        </w:rPr>
        <w:instrText>HYPERLINK "http://data.europa.eu/eli/agree_interinstit/2020/1222/oj"</w:instrText>
      </w:r>
      <w:r>
        <w:fldChar w:fldCharType="separate"/>
      </w:r>
      <w:r w:rsidRPr="0091164B">
        <w:rPr>
          <w:rStyle w:val="Hyperlink"/>
          <w:sz w:val="24"/>
          <w:lang w:val="sl-SI"/>
        </w:rPr>
        <w:t>http://data.europa.eu/eli/agree_interinstit/2020/1222/oj</w:t>
      </w:r>
      <w:r>
        <w:fldChar w:fldCharType="end"/>
      </w:r>
      <w:r w:rsidRPr="0091164B">
        <w:rPr>
          <w:sz w:val="24"/>
          <w:lang w:val="sl-SI"/>
        </w:rPr>
        <w:t>.</w:t>
      </w:r>
    </w:p>
  </w:footnote>
  <w:footnote w:id="6">
    <w:p w14:paraId="543F621A" w14:textId="50B731F2" w:rsidR="00E01EEE" w:rsidRPr="0091164B" w:rsidRDefault="00E01EEE" w:rsidP="0091164B">
      <w:pPr>
        <w:pStyle w:val="FootnoteText"/>
        <w:ind w:left="567" w:hanging="567"/>
        <w:rPr>
          <w:sz w:val="24"/>
          <w:lang w:val="sl-SI"/>
        </w:rPr>
      </w:pPr>
      <w:r w:rsidRPr="0091164B">
        <w:rPr>
          <w:rStyle w:val="FootnoteReference"/>
          <w:sz w:val="24"/>
          <w:lang w:val="sl-SI"/>
        </w:rPr>
        <w:footnoteRef/>
      </w:r>
      <w:r w:rsidR="0091164B" w:rsidRPr="0091164B">
        <w:rPr>
          <w:sz w:val="24"/>
          <w:lang w:val="sl-SI"/>
        </w:rPr>
        <w:t xml:space="preserve"> </w:t>
      </w:r>
      <w:r w:rsidR="0091164B" w:rsidRPr="0091164B">
        <w:rPr>
          <w:sz w:val="24"/>
          <w:lang w:val="sl-SI"/>
        </w:rPr>
        <w:tab/>
      </w:r>
      <w:r w:rsidRPr="0091164B">
        <w:rPr>
          <w:sz w:val="24"/>
          <w:lang w:val="sl-SI"/>
        </w:rPr>
        <w:t xml:space="preserve">UL L 153, 3.5.2021, str. 48, ELI: </w:t>
      </w:r>
      <w:r>
        <w:fldChar w:fldCharType="begin"/>
      </w:r>
      <w:r w:rsidRPr="009E7656">
        <w:rPr>
          <w:lang w:val="pl-PL"/>
        </w:rPr>
        <w:instrText>HYPERLINK "http://data.europa.eu/eli/reg/2021/691/oj"</w:instrText>
      </w:r>
      <w:r>
        <w:fldChar w:fldCharType="separate"/>
      </w:r>
      <w:r w:rsidRPr="0091164B">
        <w:rPr>
          <w:rStyle w:val="Hyperlink"/>
          <w:sz w:val="24"/>
          <w:lang w:val="sl-SI"/>
        </w:rPr>
        <w:t>http://data.europa.eu/eli/reg/2021/691/oj</w:t>
      </w:r>
      <w:r>
        <w:fldChar w:fldCharType="end"/>
      </w:r>
      <w:r w:rsidRPr="0091164B">
        <w:rPr>
          <w:sz w:val="24"/>
          <w:lang w:val="sl-SI"/>
        </w:rPr>
        <w:t>.</w:t>
      </w:r>
    </w:p>
  </w:footnote>
  <w:footnote w:id="7">
    <w:p w14:paraId="1EA35DDB" w14:textId="76710757" w:rsidR="00E01EEE" w:rsidRPr="0091164B" w:rsidRDefault="00E01EEE" w:rsidP="0091164B">
      <w:pPr>
        <w:pStyle w:val="FootnoteText"/>
        <w:ind w:left="567" w:hanging="567"/>
        <w:rPr>
          <w:sz w:val="24"/>
          <w:lang w:val="sl-SI"/>
        </w:rPr>
      </w:pPr>
      <w:r w:rsidRPr="0091164B">
        <w:rPr>
          <w:rStyle w:val="FootnoteReference"/>
          <w:sz w:val="24"/>
          <w:lang w:val="sl-SI"/>
        </w:rPr>
        <w:footnoteRef/>
      </w:r>
      <w:r w:rsidR="0091164B" w:rsidRPr="0091164B">
        <w:rPr>
          <w:sz w:val="24"/>
          <w:lang w:val="sl-SI"/>
        </w:rPr>
        <w:t xml:space="preserve"> </w:t>
      </w:r>
      <w:r w:rsidR="0091164B" w:rsidRPr="0091164B">
        <w:rPr>
          <w:sz w:val="24"/>
          <w:lang w:val="sl-SI"/>
        </w:rPr>
        <w:tab/>
      </w:r>
      <w:r w:rsidRPr="0091164B">
        <w:rPr>
          <w:sz w:val="24"/>
          <w:lang w:val="sl-SI"/>
        </w:rPr>
        <w:t xml:space="preserve">UL L 433 I, 22.12.2020, str. 28, ELI: </w:t>
      </w:r>
      <w:r>
        <w:fldChar w:fldCharType="begin"/>
      </w:r>
      <w:r w:rsidRPr="009E7656">
        <w:rPr>
          <w:lang w:val="pl-PL"/>
        </w:rPr>
        <w:instrText>HYPERLINK "http://data.europa.eu/eli/agree_interinstit/2020/1222/oj"</w:instrText>
      </w:r>
      <w:r>
        <w:fldChar w:fldCharType="separate"/>
      </w:r>
      <w:r w:rsidRPr="0091164B">
        <w:rPr>
          <w:rStyle w:val="Hyperlink"/>
          <w:sz w:val="24"/>
          <w:lang w:val="sl-SI"/>
        </w:rPr>
        <w:t>http://data.europa.eu/eli/agree_interinstit/2020/1222/oj</w:t>
      </w:r>
      <w:r>
        <w:fldChar w:fldCharType="end"/>
      </w:r>
      <w:r w:rsidRPr="0091164B">
        <w:rPr>
          <w:sz w:val="24"/>
          <w:lang w:val="sl-SI"/>
        </w:rPr>
        <w:t>.</w:t>
      </w:r>
    </w:p>
  </w:footnote>
  <w:footnote w:id="8">
    <w:p w14:paraId="7C546F4D" w14:textId="7911CFD7" w:rsidR="00E01EEE" w:rsidRPr="0091164B" w:rsidRDefault="00E01EEE" w:rsidP="0091164B">
      <w:pPr>
        <w:pStyle w:val="FootnoteText"/>
        <w:ind w:left="567" w:hanging="567"/>
        <w:rPr>
          <w:sz w:val="24"/>
          <w:lang w:val="sl-SI"/>
        </w:rPr>
      </w:pPr>
      <w:r w:rsidRPr="0091164B">
        <w:rPr>
          <w:rStyle w:val="FootnoteReference"/>
          <w:sz w:val="24"/>
          <w:lang w:val="sl-SI"/>
        </w:rPr>
        <w:footnoteRef/>
      </w:r>
      <w:r w:rsidR="0091164B" w:rsidRPr="0091164B">
        <w:rPr>
          <w:sz w:val="24"/>
          <w:lang w:val="sl-SI"/>
        </w:rPr>
        <w:t xml:space="preserve"> </w:t>
      </w:r>
      <w:r w:rsidR="0091164B" w:rsidRPr="0091164B">
        <w:rPr>
          <w:sz w:val="24"/>
          <w:lang w:val="sl-SI"/>
        </w:rPr>
        <w:tab/>
      </w:r>
      <w:r w:rsidRPr="0091164B">
        <w:rPr>
          <w:sz w:val="24"/>
          <w:lang w:val="sl-SI"/>
        </w:rPr>
        <w:t>Uredba Sveta (EU, Euratom) 2020/2093 z dne 17. decembra 2020 o določitvi večletnega finančnega okvira za obdobje 2021–2027 (UL L 433 I, 22.12.2020, str. 11, ELI: </w:t>
      </w:r>
      <w:r>
        <w:fldChar w:fldCharType="begin"/>
      </w:r>
      <w:r w:rsidRPr="009E7656">
        <w:rPr>
          <w:lang w:val="sl-SI"/>
        </w:rPr>
        <w:instrText>HYPERLINK "http://data.europa.eu/eli/reg/2020/2093/oj" \o "Omogoča dostop do dokumenta prek označevalnika/predloge ELI URI."</w:instrText>
      </w:r>
      <w:r>
        <w:fldChar w:fldCharType="separate"/>
      </w:r>
      <w:r w:rsidRPr="0091164B">
        <w:rPr>
          <w:rStyle w:val="Hyperlink"/>
          <w:sz w:val="24"/>
          <w:lang w:val="sl-SI"/>
        </w:rPr>
        <w:t>http://data.europa.eu/eli/reg/2020/2093/oj</w:t>
      </w:r>
      <w:r>
        <w:fldChar w:fldCharType="end"/>
      </w:r>
      <w:r w:rsidRPr="0091164B">
        <w:rPr>
          <w:sz w:val="24"/>
          <w:lang w:val="sl-SI"/>
        </w:rPr>
        <w:t>).</w:t>
      </w:r>
    </w:p>
  </w:footnote>
  <w:footnote w:id="9">
    <w:p w14:paraId="4E3EC785" w14:textId="549C3EEE" w:rsidR="00E01EEE" w:rsidRPr="0091164B" w:rsidRDefault="00E01EEE" w:rsidP="0091164B">
      <w:pPr>
        <w:pStyle w:val="FootnoteText"/>
        <w:ind w:left="567" w:hanging="567"/>
        <w:rPr>
          <w:sz w:val="24"/>
          <w:lang w:val="sl-SI"/>
        </w:rPr>
      </w:pPr>
      <w:r w:rsidRPr="0091164B">
        <w:rPr>
          <w:rStyle w:val="FootnoteReference"/>
          <w:sz w:val="24"/>
          <w:lang w:val="sl-SI"/>
        </w:rPr>
        <w:footnoteRef/>
      </w:r>
      <w:r w:rsidR="0091164B" w:rsidRPr="0091164B">
        <w:rPr>
          <w:sz w:val="24"/>
          <w:lang w:val="sl-SI"/>
        </w:rPr>
        <w:t xml:space="preserve"> </w:t>
      </w:r>
      <w:r w:rsidR="0091164B" w:rsidRPr="0091164B">
        <w:rPr>
          <w:sz w:val="24"/>
          <w:lang w:val="sl-SI"/>
        </w:rPr>
        <w:tab/>
      </w:r>
      <w:r w:rsidRPr="0091164B">
        <w:rPr>
          <w:sz w:val="24"/>
          <w:lang w:val="sl-SI"/>
        </w:rPr>
        <w:t xml:space="preserve">Uredba Sveta (EU, Euratom) 2024/765 z dne 29. februarja 2024 o spremembi Uredbe (EU, Euratom) 2020/2093 o določitvi večletnega finančnega okvira za obdobje 2021–2027 (UL L, 2024/765, 29.2.2024, ELI: </w:t>
      </w:r>
      <w:r>
        <w:fldChar w:fldCharType="begin"/>
      </w:r>
      <w:r w:rsidRPr="009E7656">
        <w:rPr>
          <w:lang w:val="sl-SI"/>
        </w:rPr>
        <w:instrText>HYPERLINK "http://data.europa.eu/eli/reg/2024/765/oj"</w:instrText>
      </w:r>
      <w:r>
        <w:fldChar w:fldCharType="separate"/>
      </w:r>
      <w:r w:rsidRPr="0091164B">
        <w:rPr>
          <w:rStyle w:val="Hyperlink"/>
          <w:sz w:val="24"/>
          <w:lang w:val="sl-SI"/>
        </w:rPr>
        <w:t>http://data.europa.eu/eli/reg/2024/765/oj</w:t>
      </w:r>
      <w:r>
        <w:fldChar w:fldCharType="end"/>
      </w:r>
      <w:r w:rsidRPr="0091164B">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1E8B" w14:textId="77777777" w:rsidR="00E01EEE" w:rsidRPr="0091164B" w:rsidRDefault="00E01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FEAA" w14:textId="77777777" w:rsidR="00E01EEE" w:rsidRPr="0091164B" w:rsidRDefault="00E01E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7F72D" w14:textId="77777777" w:rsidR="00E01EEE" w:rsidRPr="0091164B" w:rsidRDefault="00E01E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8E74D" w14:textId="77777777" w:rsidR="00064002" w:rsidRPr="0091164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409D" w14:textId="77777777" w:rsidR="00064002" w:rsidRPr="0091164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1966" w14:textId="77777777" w:rsidR="00064002" w:rsidRPr="009116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4837781">
    <w:abstractNumId w:val="9"/>
  </w:num>
  <w:num w:numId="2" w16cid:durableId="1846700034">
    <w:abstractNumId w:val="9"/>
  </w:num>
  <w:num w:numId="3" w16cid:durableId="94175755">
    <w:abstractNumId w:val="7"/>
  </w:num>
  <w:num w:numId="4" w16cid:durableId="60060721">
    <w:abstractNumId w:val="7"/>
  </w:num>
  <w:num w:numId="5" w16cid:durableId="831260350">
    <w:abstractNumId w:val="6"/>
  </w:num>
  <w:num w:numId="6" w16cid:durableId="608317640">
    <w:abstractNumId w:val="6"/>
  </w:num>
  <w:num w:numId="7" w16cid:durableId="391853425">
    <w:abstractNumId w:val="5"/>
  </w:num>
  <w:num w:numId="8" w16cid:durableId="21055780">
    <w:abstractNumId w:val="5"/>
  </w:num>
  <w:num w:numId="9" w16cid:durableId="1656956727">
    <w:abstractNumId w:val="4"/>
  </w:num>
  <w:num w:numId="10" w16cid:durableId="2002656579">
    <w:abstractNumId w:val="4"/>
  </w:num>
  <w:num w:numId="11" w16cid:durableId="1534348228">
    <w:abstractNumId w:val="8"/>
  </w:num>
  <w:num w:numId="12" w16cid:durableId="2032294979">
    <w:abstractNumId w:val="8"/>
  </w:num>
  <w:num w:numId="13" w16cid:durableId="405760866">
    <w:abstractNumId w:val="3"/>
  </w:num>
  <w:num w:numId="14" w16cid:durableId="288434093">
    <w:abstractNumId w:val="3"/>
  </w:num>
  <w:num w:numId="15" w16cid:durableId="1598713845">
    <w:abstractNumId w:val="2"/>
  </w:num>
  <w:num w:numId="16" w16cid:durableId="1754668474">
    <w:abstractNumId w:val="2"/>
  </w:num>
  <w:num w:numId="17" w16cid:durableId="669408845">
    <w:abstractNumId w:val="1"/>
  </w:num>
  <w:num w:numId="18" w16cid:durableId="1992323069">
    <w:abstractNumId w:val="1"/>
  </w:num>
  <w:num w:numId="19" w16cid:durableId="434594169">
    <w:abstractNumId w:val="0"/>
  </w:num>
  <w:num w:numId="20" w16cid:durableId="69011839">
    <w:abstractNumId w:val="0"/>
  </w:num>
  <w:num w:numId="21" w16cid:durableId="1017389749">
    <w:abstractNumId w:val="9"/>
  </w:num>
  <w:num w:numId="22" w16cid:durableId="406926758">
    <w:abstractNumId w:val="7"/>
  </w:num>
  <w:num w:numId="23" w16cid:durableId="1641811150">
    <w:abstractNumId w:val="6"/>
  </w:num>
  <w:num w:numId="24" w16cid:durableId="968630731">
    <w:abstractNumId w:val="5"/>
  </w:num>
  <w:num w:numId="25" w16cid:durableId="366877506">
    <w:abstractNumId w:val="4"/>
  </w:num>
  <w:num w:numId="26" w16cid:durableId="1490052440">
    <w:abstractNumId w:val="8"/>
  </w:num>
  <w:num w:numId="27" w16cid:durableId="1933082541">
    <w:abstractNumId w:val="3"/>
  </w:num>
  <w:num w:numId="28" w16cid:durableId="1541431497">
    <w:abstractNumId w:val="2"/>
  </w:num>
  <w:num w:numId="29" w16cid:durableId="204752731">
    <w:abstractNumId w:val="1"/>
  </w:num>
  <w:num w:numId="30" w16cid:durableId="140317531">
    <w:abstractNumId w:val="0"/>
  </w:num>
  <w:num w:numId="31" w16cid:durableId="1356348090">
    <w:abstractNumId w:val="9"/>
  </w:num>
  <w:num w:numId="32" w16cid:durableId="1543250305">
    <w:abstractNumId w:val="7"/>
  </w:num>
  <w:num w:numId="33" w16cid:durableId="1104348735">
    <w:abstractNumId w:val="6"/>
  </w:num>
  <w:num w:numId="34" w16cid:durableId="1933776491">
    <w:abstractNumId w:val="5"/>
  </w:num>
  <w:num w:numId="35" w16cid:durableId="1179737617">
    <w:abstractNumId w:val="4"/>
  </w:num>
  <w:num w:numId="36" w16cid:durableId="1680037681">
    <w:abstractNumId w:val="8"/>
  </w:num>
  <w:num w:numId="37" w16cid:durableId="1597597506">
    <w:abstractNumId w:val="3"/>
  </w:num>
  <w:num w:numId="38" w16cid:durableId="545987756">
    <w:abstractNumId w:val="2"/>
  </w:num>
  <w:num w:numId="39" w16cid:durableId="409424782">
    <w:abstractNumId w:val="1"/>
  </w:num>
  <w:num w:numId="40" w16cid:durableId="1572350600">
    <w:abstractNumId w:val="0"/>
  </w:num>
  <w:num w:numId="41" w16cid:durableId="553893">
    <w:abstractNumId w:val="10"/>
  </w:num>
  <w:num w:numId="42" w16cid:durableId="2135708888">
    <w:abstractNumId w:val="10"/>
  </w:num>
  <w:num w:numId="43" w16cid:durableId="2075271421">
    <w:abstractNumId w:val="10"/>
  </w:num>
  <w:num w:numId="44" w16cid:durableId="10721233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SL"/>
    <w:docVar w:name="dvnumam" w:val="0"/>
    <w:docVar w:name="dvpe" w:val="789.086"/>
    <w:docVar w:name="dvrapporteur" w:val="Poročevalka: "/>
    <w:docVar w:name="dvtitre" w:val="Resolucija Evropskega parlamenta z dne … 2026 o predlogu sklepa Evropskega parlamenta in Sveta o uporabi Evropskega sklada za prilagoditev globalizaciji za presežne delavce na pobudo Komisije (ESPG/2026/000 TA 2026 – tehnična pomoč)(COM(2026)0360 – C10-0124/2026 – 2026/0126(BUD))"/>
  </w:docVars>
  <w:rsids>
    <w:rsidRoot w:val="00727D0D"/>
    <w:rsid w:val="00002272"/>
    <w:rsid w:val="00064002"/>
    <w:rsid w:val="000677B9"/>
    <w:rsid w:val="000831BA"/>
    <w:rsid w:val="000A42CC"/>
    <w:rsid w:val="000E7DD9"/>
    <w:rsid w:val="0010095E"/>
    <w:rsid w:val="00125B37"/>
    <w:rsid w:val="00187494"/>
    <w:rsid w:val="00194547"/>
    <w:rsid w:val="001F32AE"/>
    <w:rsid w:val="002767FF"/>
    <w:rsid w:val="002B18FE"/>
    <w:rsid w:val="002B5493"/>
    <w:rsid w:val="00343214"/>
    <w:rsid w:val="00361C00"/>
    <w:rsid w:val="00395FA1"/>
    <w:rsid w:val="003E15D4"/>
    <w:rsid w:val="00411CCE"/>
    <w:rsid w:val="00416094"/>
    <w:rsid w:val="0041666E"/>
    <w:rsid w:val="00421060"/>
    <w:rsid w:val="00471C19"/>
    <w:rsid w:val="004867E3"/>
    <w:rsid w:val="00494A28"/>
    <w:rsid w:val="004C0004"/>
    <w:rsid w:val="004C5D52"/>
    <w:rsid w:val="0050519A"/>
    <w:rsid w:val="005072A1"/>
    <w:rsid w:val="00514517"/>
    <w:rsid w:val="00545827"/>
    <w:rsid w:val="00560270"/>
    <w:rsid w:val="00582D77"/>
    <w:rsid w:val="005C2568"/>
    <w:rsid w:val="005F1B17"/>
    <w:rsid w:val="006037C0"/>
    <w:rsid w:val="006631B6"/>
    <w:rsid w:val="00680577"/>
    <w:rsid w:val="006F74FA"/>
    <w:rsid w:val="00727D0D"/>
    <w:rsid w:val="00731ADD"/>
    <w:rsid w:val="00734777"/>
    <w:rsid w:val="00747932"/>
    <w:rsid w:val="00751A4A"/>
    <w:rsid w:val="00756632"/>
    <w:rsid w:val="00762C74"/>
    <w:rsid w:val="00786EC0"/>
    <w:rsid w:val="007D1690"/>
    <w:rsid w:val="007E22AD"/>
    <w:rsid w:val="00817416"/>
    <w:rsid w:val="008422B8"/>
    <w:rsid w:val="00842779"/>
    <w:rsid w:val="008608E6"/>
    <w:rsid w:val="00865F67"/>
    <w:rsid w:val="00881A7B"/>
    <w:rsid w:val="008840E5"/>
    <w:rsid w:val="00887B3E"/>
    <w:rsid w:val="008C2AC6"/>
    <w:rsid w:val="0091164B"/>
    <w:rsid w:val="00930C23"/>
    <w:rsid w:val="0093193B"/>
    <w:rsid w:val="009509D8"/>
    <w:rsid w:val="00950B64"/>
    <w:rsid w:val="00981893"/>
    <w:rsid w:val="009E7656"/>
    <w:rsid w:val="00A1687D"/>
    <w:rsid w:val="00A25973"/>
    <w:rsid w:val="00A43E52"/>
    <w:rsid w:val="00A4678D"/>
    <w:rsid w:val="00A778C7"/>
    <w:rsid w:val="00AA2F7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EE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C9C53"/>
  <w15:chartTrackingRefBased/>
  <w15:docId w15:val="{DAA5CD40-0364-4869-B043-48870521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1EE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01EEE"/>
    <w:pPr>
      <w:keepNext/>
      <w:spacing w:after="480"/>
      <w:jc w:val="center"/>
    </w:pPr>
    <w:rPr>
      <w:rFonts w:ascii="Arial" w:hAnsi="Arial" w:cs="Arial"/>
      <w:b/>
    </w:rPr>
  </w:style>
  <w:style w:type="paragraph" w:customStyle="1" w:styleId="NormalHanging12a">
    <w:name w:val="NormalHanging12a"/>
    <w:basedOn w:val="Normal"/>
    <w:link w:val="NormalHanging12aChar"/>
    <w:rsid w:val="00E01EEE"/>
    <w:pPr>
      <w:spacing w:after="240"/>
      <w:ind w:left="567" w:hanging="567"/>
    </w:pPr>
  </w:style>
  <w:style w:type="paragraph" w:styleId="Header">
    <w:name w:val="header"/>
    <w:basedOn w:val="Normal"/>
    <w:link w:val="HeaderChar"/>
    <w:rsid w:val="00E01EEE"/>
    <w:pPr>
      <w:tabs>
        <w:tab w:val="center" w:pos="4513"/>
        <w:tab w:val="right" w:pos="9026"/>
      </w:tabs>
    </w:pPr>
  </w:style>
  <w:style w:type="character" w:customStyle="1" w:styleId="HeaderChar">
    <w:name w:val="Header Char"/>
    <w:basedOn w:val="DefaultParagraphFont"/>
    <w:link w:val="Header"/>
    <w:rsid w:val="00E01EEE"/>
    <w:rPr>
      <w:sz w:val="24"/>
      <w:lang w:val="sl-SI"/>
    </w:rPr>
  </w:style>
  <w:style w:type="paragraph" w:customStyle="1" w:styleId="NormalBold24a">
    <w:name w:val="NormalBold24a"/>
    <w:basedOn w:val="Normal"/>
    <w:rsid w:val="00E01EEE"/>
    <w:pPr>
      <w:spacing w:after="480"/>
    </w:pPr>
    <w:rPr>
      <w:b/>
      <w:bCs/>
    </w:rPr>
  </w:style>
  <w:style w:type="paragraph" w:customStyle="1" w:styleId="EPFooter">
    <w:name w:val="EPFooter"/>
    <w:basedOn w:val="Normal"/>
    <w:rsid w:val="00E01EEE"/>
    <w:pPr>
      <w:tabs>
        <w:tab w:val="center" w:pos="4535"/>
        <w:tab w:val="right" w:pos="9071"/>
      </w:tabs>
      <w:spacing w:before="240" w:after="240"/>
    </w:pPr>
    <w:rPr>
      <w:color w:val="010000"/>
      <w:sz w:val="22"/>
    </w:rPr>
  </w:style>
  <w:style w:type="paragraph" w:customStyle="1" w:styleId="EPComma">
    <w:name w:val="EPComma"/>
    <w:basedOn w:val="Normal"/>
    <w:rsid w:val="00E01EEE"/>
    <w:pPr>
      <w:spacing w:before="480" w:after="240"/>
    </w:pPr>
  </w:style>
  <w:style w:type="character" w:styleId="Hyperlink">
    <w:name w:val="Hyperlink"/>
    <w:basedOn w:val="DefaultParagraphFont"/>
    <w:uiPriority w:val="99"/>
    <w:rsid w:val="00E01EEE"/>
    <w:rPr>
      <w:color w:val="0563C1" w:themeColor="hyperlink"/>
      <w:u w:val="single"/>
    </w:rPr>
  </w:style>
  <w:style w:type="character" w:customStyle="1" w:styleId="NormalHanging12aChar">
    <w:name w:val="NormalHanging12a Char"/>
    <w:basedOn w:val="DefaultParagraphFont"/>
    <w:link w:val="NormalHanging12a"/>
    <w:locked/>
    <w:rsid w:val="00E01EEE"/>
    <w:rPr>
      <w:sz w:val="24"/>
      <w:lang w:val="sl-SI"/>
    </w:rPr>
  </w:style>
  <w:style w:type="paragraph" w:styleId="Revision">
    <w:name w:val="Revision"/>
    <w:hidden/>
    <w:uiPriority w:val="99"/>
    <w:semiHidden/>
    <w:rsid w:val="00582D77"/>
    <w:rPr>
      <w:sz w:val="24"/>
      <w:lang w:val="sl-SI"/>
    </w:rPr>
  </w:style>
  <w:style w:type="character" w:styleId="CommentReference">
    <w:name w:val="annotation reference"/>
    <w:basedOn w:val="DefaultParagraphFont"/>
    <w:rsid w:val="00582D77"/>
    <w:rPr>
      <w:sz w:val="16"/>
      <w:szCs w:val="16"/>
    </w:rPr>
  </w:style>
  <w:style w:type="paragraph" w:styleId="CommentText">
    <w:name w:val="annotation text"/>
    <w:basedOn w:val="Normal"/>
    <w:link w:val="CommentTextChar"/>
    <w:rsid w:val="00582D77"/>
    <w:rPr>
      <w:sz w:val="20"/>
    </w:rPr>
  </w:style>
  <w:style w:type="character" w:customStyle="1" w:styleId="CommentTextChar">
    <w:name w:val="Comment Text Char"/>
    <w:basedOn w:val="DefaultParagraphFont"/>
    <w:link w:val="CommentText"/>
    <w:rsid w:val="00582D77"/>
    <w:rPr>
      <w:lang w:val="sl-SI"/>
    </w:rPr>
  </w:style>
  <w:style w:type="paragraph" w:styleId="CommentSubject">
    <w:name w:val="annotation subject"/>
    <w:basedOn w:val="CommentText"/>
    <w:next w:val="CommentText"/>
    <w:link w:val="CommentSubjectChar"/>
    <w:rsid w:val="00582D77"/>
    <w:rPr>
      <w:b/>
      <w:bCs/>
    </w:rPr>
  </w:style>
  <w:style w:type="character" w:customStyle="1" w:styleId="CommentSubjectChar">
    <w:name w:val="Comment Subject Char"/>
    <w:basedOn w:val="CommentTextChar"/>
    <w:link w:val="CommentSubject"/>
    <w:rsid w:val="00582D77"/>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1499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2026-07-07T11:37:00Z</dcterms:created>
  <dcterms:modified xsi:type="dcterms:W3CDTF">2026-07-07T11:37:00Z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A10-0179/2026</vt:lpwstr>
  </property>
  <property fmtid="{D5CDD505-2E9C-101B-9397-08002B2CF9AE}" pid="4" name="&lt;Type&gt;">
    <vt:lpwstr>RR</vt:lpwstr>
  </property>
</Properties>
</file>