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700" w14:paraId="07255EE0" w14:textId="77777777" w:rsidTr="0010095E">
        <w:trPr>
          <w:trHeight w:hRule="exact" w:val="1418"/>
        </w:trPr>
        <w:tc>
          <w:tcPr>
            <w:tcW w:w="6804" w:type="dxa"/>
            <w:shd w:val="clear" w:color="auto" w:fill="auto"/>
            <w:vAlign w:val="center"/>
          </w:tcPr>
          <w:p w14:paraId="42B8AEB3" w14:textId="5F74BF5D" w:rsidR="00751A4A" w:rsidRPr="007A2700" w:rsidRDefault="007C69D4" w:rsidP="0010095E">
            <w:pPr>
              <w:pStyle w:val="EPName"/>
            </w:pPr>
            <w:r w:rsidRPr="007A2700">
              <w:t>Europaparlamentet</w:t>
            </w:r>
          </w:p>
          <w:p w14:paraId="4212D142" w14:textId="77777777" w:rsidR="00751A4A" w:rsidRPr="007A2700" w:rsidRDefault="005F1B17" w:rsidP="005F1B17">
            <w:pPr>
              <w:pStyle w:val="EPTerm"/>
              <w:rPr>
                <w:rStyle w:val="HideTWBExt"/>
                <w:noProof w:val="0"/>
                <w:vanish w:val="0"/>
                <w:color w:val="auto"/>
              </w:rPr>
            </w:pPr>
            <w:r w:rsidRPr="007A2700">
              <w:t>2024</w:t>
            </w:r>
            <w:r w:rsidR="00817416" w:rsidRPr="007A2700">
              <w:t>-202</w:t>
            </w:r>
            <w:r w:rsidRPr="007A2700">
              <w:t>9</w:t>
            </w:r>
          </w:p>
        </w:tc>
        <w:tc>
          <w:tcPr>
            <w:tcW w:w="2268" w:type="dxa"/>
            <w:shd w:val="clear" w:color="auto" w:fill="auto"/>
          </w:tcPr>
          <w:p w14:paraId="66F2AEB6" w14:textId="77777777" w:rsidR="00751A4A" w:rsidRPr="007A2700" w:rsidRDefault="00187494" w:rsidP="0010095E">
            <w:pPr>
              <w:pStyle w:val="EPLogo"/>
            </w:pPr>
            <w:r w:rsidRPr="007A2700">
              <w:rPr>
                <w:noProof/>
                <w:lang w:eastAsia="ja-JP"/>
              </w:rPr>
              <w:drawing>
                <wp:inline distT="0" distB="0" distL="0" distR="0" wp14:anchorId="1869A8B4" wp14:editId="2879B5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B57A49" w14:textId="77777777" w:rsidR="00D058B8" w:rsidRPr="007A2700" w:rsidRDefault="00D058B8" w:rsidP="004C5D52">
      <w:pPr>
        <w:pStyle w:val="LineTop"/>
      </w:pPr>
    </w:p>
    <w:p w14:paraId="3021243A" w14:textId="146B1064" w:rsidR="00680577" w:rsidRPr="007A2700" w:rsidRDefault="007C69D4" w:rsidP="00680577">
      <w:pPr>
        <w:pStyle w:val="EPBodyTA1"/>
      </w:pPr>
      <w:r w:rsidRPr="007A2700">
        <w:t>ANTAGNA TEXTER</w:t>
      </w:r>
    </w:p>
    <w:p w14:paraId="02779985" w14:textId="77777777" w:rsidR="00D058B8" w:rsidRPr="007A2700" w:rsidRDefault="00D058B8" w:rsidP="00D058B8">
      <w:pPr>
        <w:pStyle w:val="LineBottom"/>
      </w:pPr>
    </w:p>
    <w:p w14:paraId="5090C386" w14:textId="6BA8400D" w:rsidR="007C69D4" w:rsidRPr="007A2700" w:rsidRDefault="007C69D4" w:rsidP="007C69D4">
      <w:pPr>
        <w:pStyle w:val="ATHeading1"/>
      </w:pPr>
      <w:bookmarkStart w:id="0" w:name="TANumber"/>
      <w:r w:rsidRPr="007A2700">
        <w:t>P10_TA(2026)0</w:t>
      </w:r>
      <w:bookmarkEnd w:id="0"/>
      <w:r w:rsidR="009651C3">
        <w:t>243</w:t>
      </w:r>
    </w:p>
    <w:p w14:paraId="518E5920" w14:textId="77777777" w:rsidR="007C69D4" w:rsidRPr="007A2700" w:rsidRDefault="007C69D4" w:rsidP="007C69D4">
      <w:pPr>
        <w:pStyle w:val="ATHeading2"/>
      </w:pPr>
      <w:bookmarkStart w:id="1" w:name="title"/>
      <w:r w:rsidRPr="007A2700">
        <w:t>Utnyttjande av Europeiska fonden för justering för globaliseringseffekter: ansökan EGF/2026/000 TA 2026 – tekniskt bistånd på kommissionens initiativ</w:t>
      </w:r>
      <w:bookmarkEnd w:id="1"/>
    </w:p>
    <w:p w14:paraId="75CE5008" w14:textId="77777777" w:rsidR="007C69D4" w:rsidRPr="007A2700" w:rsidRDefault="007C69D4" w:rsidP="007C69D4">
      <w:pPr>
        <w:rPr>
          <w:i/>
          <w:vanish/>
        </w:rPr>
      </w:pPr>
      <w:r w:rsidRPr="007A2700">
        <w:rPr>
          <w:i/>
        </w:rPr>
        <w:fldChar w:fldCharType="begin"/>
      </w:r>
      <w:r w:rsidRPr="007A2700">
        <w:rPr>
          <w:i/>
        </w:rPr>
        <w:instrText xml:space="preserve"> TC"(</w:instrText>
      </w:r>
      <w:bookmarkStart w:id="2" w:name="DocNumber"/>
      <w:r w:rsidRPr="007A2700">
        <w:rPr>
          <w:i/>
        </w:rPr>
        <w:instrText>A10-0179/2026</w:instrText>
      </w:r>
      <w:bookmarkEnd w:id="2"/>
      <w:r w:rsidRPr="007A2700">
        <w:rPr>
          <w:i/>
        </w:rPr>
        <w:instrText xml:space="preserve"> - Föredragande: Lucia </w:instrText>
      </w:r>
      <w:proofErr w:type="spellStart"/>
      <w:r w:rsidRPr="007A2700">
        <w:rPr>
          <w:i/>
        </w:rPr>
        <w:instrText>Yar</w:instrText>
      </w:r>
      <w:proofErr w:type="spellEnd"/>
      <w:r w:rsidRPr="007A2700">
        <w:rPr>
          <w:i/>
        </w:rPr>
        <w:instrText xml:space="preserve">)"\l3 \n&gt; \* MERGEFORMAT </w:instrText>
      </w:r>
      <w:r w:rsidRPr="007A2700">
        <w:rPr>
          <w:i/>
        </w:rPr>
        <w:fldChar w:fldCharType="end"/>
      </w:r>
    </w:p>
    <w:p w14:paraId="378FEC02" w14:textId="77777777" w:rsidR="007C69D4" w:rsidRPr="007A2700" w:rsidRDefault="007C69D4" w:rsidP="007C69D4">
      <w:pPr>
        <w:rPr>
          <w:vanish/>
        </w:rPr>
      </w:pPr>
      <w:bookmarkStart w:id="3" w:name="Commission"/>
      <w:r w:rsidRPr="007A2700">
        <w:rPr>
          <w:vanish/>
        </w:rPr>
        <w:t>Budgetutskottet</w:t>
      </w:r>
      <w:bookmarkEnd w:id="3"/>
    </w:p>
    <w:p w14:paraId="42744CD2" w14:textId="77777777" w:rsidR="007C69D4" w:rsidRPr="007A2700" w:rsidRDefault="007C69D4" w:rsidP="007C69D4">
      <w:pPr>
        <w:rPr>
          <w:vanish/>
        </w:rPr>
      </w:pPr>
      <w:bookmarkStart w:id="4" w:name="PE"/>
      <w:r w:rsidRPr="007A2700">
        <w:rPr>
          <w:vanish/>
        </w:rPr>
        <w:t>PE789.086</w:t>
      </w:r>
      <w:bookmarkEnd w:id="4"/>
    </w:p>
    <w:p w14:paraId="33F241EF" w14:textId="472E317E" w:rsidR="007C69D4" w:rsidRPr="007A2700" w:rsidRDefault="007C69D4" w:rsidP="007C69D4">
      <w:pPr>
        <w:pStyle w:val="ATHeading3"/>
      </w:pPr>
      <w:bookmarkStart w:id="5" w:name="Sujet"/>
      <w:r w:rsidRPr="007A2700">
        <w:t xml:space="preserve">Europaparlamentets resolution av den </w:t>
      </w:r>
      <w:r w:rsidR="00777DB0">
        <w:t>7</w:t>
      </w:r>
      <w:r w:rsidR="00777DB0" w:rsidRPr="007A2700">
        <w:t xml:space="preserve"> </w:t>
      </w:r>
      <w:r w:rsidR="00777DB0">
        <w:t>juli</w:t>
      </w:r>
      <w:r w:rsidR="00777DB0" w:rsidRPr="007A2700">
        <w:t xml:space="preserve"> </w:t>
      </w:r>
      <w:r w:rsidRPr="007A2700">
        <w:t>2026 om förslaget till Europaparlamentets och rådets beslut om utnyttjande av Europeiska fonden för justering för globaliseringseffekter för uppsagda arbetstagare på kommissionens initiativ (EGF/2026/000 TA 2026 – tekniskt bistånd)</w:t>
      </w:r>
      <w:bookmarkEnd w:id="5"/>
      <w:r w:rsidRPr="007A2700">
        <w:t xml:space="preserve"> </w:t>
      </w:r>
      <w:bookmarkStart w:id="6" w:name="References"/>
      <w:r w:rsidRPr="007A2700">
        <w:t>(COM(2026)0360 – C10-0124/2026 – 2026/0126(BUD))</w:t>
      </w:r>
      <w:bookmarkEnd w:id="6"/>
    </w:p>
    <w:p w14:paraId="25606753" w14:textId="77777777" w:rsidR="001C331E" w:rsidRPr="007A2700" w:rsidRDefault="001C331E" w:rsidP="001C331E">
      <w:pPr>
        <w:pStyle w:val="EPComma"/>
        <w:rPr>
          <w:noProof/>
        </w:rPr>
      </w:pPr>
      <w:r w:rsidRPr="007A2700">
        <w:rPr>
          <w:i/>
          <w:iCs/>
        </w:rPr>
        <w:t>Europaparlamentet utfärdar denna resolution</w:t>
      </w:r>
    </w:p>
    <w:p w14:paraId="7E68990A" w14:textId="77777777" w:rsidR="001C331E" w:rsidRPr="007A2700" w:rsidRDefault="001C331E" w:rsidP="001C331E">
      <w:pPr>
        <w:pStyle w:val="NormalHanging12a"/>
        <w:rPr>
          <w:noProof/>
        </w:rPr>
      </w:pPr>
      <w:r w:rsidRPr="007A2700">
        <w:t>–</w:t>
      </w:r>
      <w:r w:rsidRPr="007A2700">
        <w:tab/>
        <w:t>med beaktande av kommissionens förslag till Europaparlamentet och rådet (COM(2026)0360 – C10</w:t>
      </w:r>
      <w:r w:rsidRPr="007A2700">
        <w:noBreakHyphen/>
        <w:t>0124/2026),</w:t>
      </w:r>
    </w:p>
    <w:p w14:paraId="0DC41630" w14:textId="77777777" w:rsidR="001C331E" w:rsidRPr="007A2700" w:rsidRDefault="001C331E" w:rsidP="001C331E">
      <w:pPr>
        <w:pStyle w:val="NormalHanging12a"/>
        <w:rPr>
          <w:noProof/>
        </w:rPr>
      </w:pPr>
      <w:bookmarkStart w:id="7" w:name="_Hlk230701067"/>
      <w:r w:rsidRPr="007A2700">
        <w:t>–</w:t>
      </w:r>
      <w:r w:rsidRPr="007A2700">
        <w:tab/>
        <w:t>med beaktande av Europaparlamentets och rådets förordning (EU) 2021/691 av den 28 april 2021 om Europeiska fonden för justering för globaliseringseffekter för uppsagda arbetstagare (EGF) och om upphävande av förordning (EU) 1309/2013</w:t>
      </w:r>
      <w:r w:rsidRPr="007A2700">
        <w:rPr>
          <w:rStyle w:val="FootnoteReference"/>
        </w:rPr>
        <w:footnoteReference w:id="1"/>
      </w:r>
      <w:r w:rsidRPr="007A2700">
        <w:t xml:space="preserve"> (EGF-förordningen), ändrad genom förordning (EU) 2026/1139</w:t>
      </w:r>
      <w:r w:rsidRPr="007A2700">
        <w:rPr>
          <w:rStyle w:val="FootnoteReference"/>
          <w:noProof/>
        </w:rPr>
        <w:footnoteReference w:id="2"/>
      </w:r>
      <w:r w:rsidRPr="007A2700">
        <w:t>,</w:t>
      </w:r>
    </w:p>
    <w:bookmarkEnd w:id="7"/>
    <w:p w14:paraId="3693E529" w14:textId="77777777" w:rsidR="001C331E" w:rsidRPr="007A2700" w:rsidRDefault="001C331E" w:rsidP="001C331E">
      <w:pPr>
        <w:pStyle w:val="NormalHanging12a"/>
        <w:rPr>
          <w:noProof/>
        </w:rPr>
      </w:pPr>
      <w:r w:rsidRPr="007A2700">
        <w:t>–</w:t>
      </w:r>
      <w:r w:rsidRPr="007A2700">
        <w:tab/>
        <w:t>med beaktande av rådets förordning (EU, Euratom) 2020/2093 av den 17 december 2020 om den fleråriga budgetramen för 2021–2027</w:t>
      </w:r>
      <w:r w:rsidRPr="007A2700">
        <w:rPr>
          <w:rStyle w:val="FootnoteReference"/>
          <w:snapToGrid w:val="0"/>
        </w:rPr>
        <w:footnoteReference w:id="3"/>
      </w:r>
      <w:r w:rsidRPr="007A2700">
        <w:t>, ändrad genom förordning (EU, Euratom) 2024/765</w:t>
      </w:r>
      <w:r w:rsidRPr="007A2700">
        <w:rPr>
          <w:rStyle w:val="FootnoteReference"/>
          <w:snapToGrid w:val="0"/>
          <w:bdr w:val="none" w:sz="0" w:space="0" w:color="auto" w:frame="1"/>
        </w:rPr>
        <w:footnoteReference w:id="4"/>
      </w:r>
      <w:r w:rsidRPr="007A2700">
        <w:t>, särskilt artikel 8,</w:t>
      </w:r>
    </w:p>
    <w:p w14:paraId="62CB38CC" w14:textId="77777777" w:rsidR="001C331E" w:rsidRPr="007A2700" w:rsidRDefault="001C331E" w:rsidP="001C331E">
      <w:pPr>
        <w:pStyle w:val="NormalHanging12a"/>
        <w:rPr>
          <w:noProof/>
        </w:rPr>
      </w:pPr>
      <w:r w:rsidRPr="007A2700">
        <w:t>–</w:t>
      </w:r>
      <w:r w:rsidRPr="007A2700">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7A2700">
        <w:rPr>
          <w:rStyle w:val="FootnoteReference"/>
          <w:noProof/>
        </w:rPr>
        <w:footnoteReference w:id="5"/>
      </w:r>
      <w:r w:rsidRPr="007A2700">
        <w:t>, särskilt punkt 9,</w:t>
      </w:r>
    </w:p>
    <w:p w14:paraId="294EE152" w14:textId="77777777" w:rsidR="001C331E" w:rsidRPr="007A2700" w:rsidRDefault="001C331E" w:rsidP="001C331E">
      <w:pPr>
        <w:pStyle w:val="NormalHanging12a"/>
      </w:pPr>
      <w:r w:rsidRPr="007A2700">
        <w:t>–</w:t>
      </w:r>
      <w:r w:rsidRPr="007A2700">
        <w:tab/>
        <w:t xml:space="preserve">med beaktande av betänkandet från budgetutskottet (A10-0179/2026), och av följande </w:t>
      </w:r>
      <w:r w:rsidRPr="007A2700">
        <w:lastRenderedPageBreak/>
        <w:t>skäl:</w:t>
      </w:r>
    </w:p>
    <w:p w14:paraId="5226E041" w14:textId="77777777" w:rsidR="001C331E" w:rsidRPr="007A2700" w:rsidRDefault="001C331E" w:rsidP="001C331E">
      <w:pPr>
        <w:pStyle w:val="NormalHanging12a"/>
        <w:rPr>
          <w:noProof/>
        </w:rPr>
      </w:pPr>
      <w:r w:rsidRPr="007A2700">
        <w:t>A.</w:t>
      </w:r>
      <w:r w:rsidRPr="007A2700">
        <w:tab/>
        <w:t>Unionen har inrättat lagstiftnings- och budgetinstrument för att ge kompletterande stöd till arbetstagare som drabbas av effekterna av genomgripande strukturförändringar inom världshandeln eller som inom kort kommer att bli uppsagda i ett företag som genomgår en omstrukturering och för att underlätta deras återinträde på arbetsmarknaden eller övergång till en ny yrkesbana. Detta stöd ges i form av ekonomiskt stöd till arbetstagare.</w:t>
      </w:r>
    </w:p>
    <w:p w14:paraId="3875F2CF" w14:textId="77777777" w:rsidR="001C331E" w:rsidRPr="007A2700" w:rsidRDefault="001C331E" w:rsidP="001C331E">
      <w:pPr>
        <w:pStyle w:val="NormalHanging12a"/>
      </w:pPr>
      <w:r w:rsidRPr="007A2700">
        <w:t>B.</w:t>
      </w:r>
      <w:r w:rsidRPr="007A2700">
        <w:tab/>
        <w:t>Ekonomiskt stöd från EGF bör i första hand inriktas på aktiva arbetsmarknadsåtgärder och individanpassade tjänster som syftar till att snabbt få stödmottagarna att återgå till arbetsmarknaden eller stödja deras övergång till en ny yrkesbana.</w:t>
      </w:r>
    </w:p>
    <w:p w14:paraId="1FF0B6D5" w14:textId="77777777" w:rsidR="001C331E" w:rsidRPr="007A2700" w:rsidRDefault="001C331E" w:rsidP="001C331E">
      <w:pPr>
        <w:pStyle w:val="NormalHanging12a"/>
      </w:pPr>
      <w:r w:rsidRPr="007A2700">
        <w:t>C.</w:t>
      </w:r>
      <w:r w:rsidRPr="007A2700">
        <w:tab/>
        <w:t xml:space="preserve">I enlighet med artikel 11.1 i EGF-förordningen får upp till 1,5 % av det årliga taket för EGF göras tillgängligt för tekniskt bistånd på kommissionens initiativ. </w:t>
      </w:r>
    </w:p>
    <w:p w14:paraId="70A2D5BA" w14:textId="77777777" w:rsidR="001C331E" w:rsidRPr="007A2700" w:rsidRDefault="001C331E" w:rsidP="001C331E">
      <w:pPr>
        <w:pStyle w:val="NormalHanging12a"/>
        <w:rPr>
          <w:color w:val="000000"/>
          <w:bdr w:val="none" w:sz="0" w:space="0" w:color="auto" w:frame="1"/>
        </w:rPr>
      </w:pPr>
      <w:r w:rsidRPr="007A2700">
        <w:t>D.</w:t>
      </w:r>
      <w:r w:rsidRPr="007A2700">
        <w:tab/>
      </w:r>
      <w:r w:rsidRPr="007A2700">
        <w:rPr>
          <w:color w:val="000000"/>
          <w:bdr w:val="none" w:sz="0" w:space="0" w:color="auto" w:frame="1"/>
        </w:rPr>
        <w:t xml:space="preserve">Tekniskt bistånd kan bestå av tekniska och administrativa utgifter för genomförandet av EGF, såsom förberedelser, övervakning, kontroll, revision och utvärdering samt datainsamling, kommunikationsverksamhet och verksamhet som ökar </w:t>
      </w:r>
      <w:proofErr w:type="spellStart"/>
      <w:r w:rsidRPr="007A2700">
        <w:rPr>
          <w:color w:val="000000"/>
          <w:bdr w:val="none" w:sz="0" w:space="0" w:color="auto" w:frame="1"/>
        </w:rPr>
        <w:t>EGF:s</w:t>
      </w:r>
      <w:proofErr w:type="spellEnd"/>
      <w:r w:rsidRPr="007A2700">
        <w:rPr>
          <w:color w:val="000000"/>
          <w:bdr w:val="none" w:sz="0" w:space="0" w:color="auto" w:frame="1"/>
        </w:rPr>
        <w:t xml:space="preserve"> synlighet som fond eller med avseende på särskilda projekt och andra åtgärder för tekniskt bistånd. Det tekniska biståndet ska omfatta tillhandahållande av information och vägledning till medlemsstaterna och arbetsmarknadens parter om EGF samt särskild riktad upplysning till medlemsstater som inte eller endast i begränsad omfattning har utnyttjat EGF.</w:t>
      </w:r>
      <w:r w:rsidRPr="007A2700">
        <w:t xml:space="preserve"> Tekniskt stöd bör bidra till att förbättra fondens effektivitet, tillgänglighet och synlighet, med särskilt fokus på mätbara resultat, administrativ förenkling och användarorienterat genomförande för medlemsstaterna och stödmottagarna. Flera medlemsstater har fortfarande inte utnyttjat EGF trots att de står inför omstruktureringsprocesser och uppsägningar som är jämförbara med dem som förekommit i de stödmottagande medlemsstaterna. Riktad medvetandehöjande och utåtriktad verksamhet är därför nödvändig för att säkerställa lika tillgång till de möjligheter som EGF erbjuder i hela unionen.</w:t>
      </w:r>
    </w:p>
    <w:p w14:paraId="31EE444C" w14:textId="77777777" w:rsidR="001C331E" w:rsidRPr="007A2700" w:rsidRDefault="001C331E" w:rsidP="001C331E">
      <w:pPr>
        <w:pStyle w:val="NormalHanging12a"/>
      </w:pPr>
      <w:r w:rsidRPr="007A2700">
        <w:t>E.</w:t>
      </w:r>
      <w:r w:rsidRPr="007A2700">
        <w:tab/>
        <w:t>Det föreslagna beloppet på 210 000 EUR motsvarar ca 0,60 % av det högsta årliga belopp som är tillgängligt via EGF för 2026. EGF ger viktigt stöd till arbetstagare som drabbas av omstruktureringar och uppsägningar. En konkurrenskraftig europeisk ekonomi, minskade administrativa bördor och ett företagsklimat som främjar investeringar och innovation är fortfarande avgörande för att bevara arbetstillfällen av hög kvalitet och minska antalet arbetstagare som behöver stöd från EGF.</w:t>
      </w:r>
    </w:p>
    <w:p w14:paraId="1CBED7AD" w14:textId="77777777" w:rsidR="001C331E" w:rsidRPr="007A2700" w:rsidRDefault="001C331E" w:rsidP="001C331E">
      <w:pPr>
        <w:pStyle w:val="NormalHanging12a"/>
      </w:pPr>
      <w:r w:rsidRPr="007A2700">
        <w:t>1.</w:t>
      </w:r>
      <w:r w:rsidRPr="007A2700">
        <w:tab/>
      </w:r>
      <w:r w:rsidRPr="007A2700">
        <w:rPr>
          <w:bdr w:val="none" w:sz="0" w:space="0" w:color="auto" w:frame="1"/>
        </w:rPr>
        <w:t>Europaparlamentet stöder mobiliseringen av 210 000 EUR och de åtgärder som kommissionen föreslagit och som ska finansieras som tekniskt bistånd i enlighet med artikel 11.1 och 11.4 samt artikel 12.2, 12.3 och 12.4 i EGF-förordningen.</w:t>
      </w:r>
      <w:r w:rsidRPr="007A2700">
        <w:t xml:space="preserve"> Parlamentet betonar att utgifterna för tekniskt stöd bör förbli proportionella, effektiva och inriktade på verksamhet som bevisligen förbättrar tillgången till stöd för uppsagda arbetstagare och </w:t>
      </w:r>
      <w:proofErr w:type="spellStart"/>
      <w:r w:rsidRPr="007A2700">
        <w:t>EGF:s</w:t>
      </w:r>
      <w:proofErr w:type="spellEnd"/>
      <w:r w:rsidRPr="007A2700">
        <w:t xml:space="preserve"> övergripande effektivitet.</w:t>
      </w:r>
    </w:p>
    <w:p w14:paraId="6064C6F0" w14:textId="77777777" w:rsidR="001C331E" w:rsidRPr="007A2700" w:rsidRDefault="001C331E" w:rsidP="001C331E">
      <w:pPr>
        <w:spacing w:after="240"/>
        <w:ind w:left="567" w:hanging="567"/>
      </w:pPr>
      <w:r w:rsidRPr="007A2700">
        <w:t>2.</w:t>
      </w:r>
      <w:r w:rsidRPr="007A2700">
        <w:tab/>
        <w:t xml:space="preserve">Europaparlamentet noterar att kommissionen kommer att använda den tillgängliga budgeten för administrativt stöd till att hålla möten med </w:t>
      </w:r>
      <w:proofErr w:type="spellStart"/>
      <w:r w:rsidRPr="007A2700">
        <w:t>EGF:s</w:t>
      </w:r>
      <w:proofErr w:type="spellEnd"/>
      <w:r w:rsidRPr="007A2700">
        <w:t xml:space="preserve"> expertgrupp med kontaktpersoner (två företrädare för varje medlemsstat) och ett seminarium i vilket </w:t>
      </w:r>
      <w:proofErr w:type="spellStart"/>
      <w:r w:rsidRPr="007A2700">
        <w:t>EGF:s</w:t>
      </w:r>
      <w:proofErr w:type="spellEnd"/>
      <w:r w:rsidRPr="007A2700">
        <w:t xml:space="preserve"> genomförandeorgan och arbetsmarknadens parter kommer att delta för att främja nätverkssamarbete mellan medlemsstaterna. Parlamentet uppmanar kommissionen att även i fortsättningen systematiskt bjuda in parlamentet till dessa möten och seminarier </w:t>
      </w:r>
      <w:r w:rsidRPr="007A2700">
        <w:lastRenderedPageBreak/>
        <w:t>i enlighet med relevanta bestämmelser i ramavtalet om förbindelserna mellan parlamentet och kommissionen.</w:t>
      </w:r>
    </w:p>
    <w:p w14:paraId="1530BCC8" w14:textId="2D9CC97F" w:rsidR="001C331E" w:rsidRPr="007A2700" w:rsidRDefault="001C331E" w:rsidP="001C331E">
      <w:pPr>
        <w:pStyle w:val="NormalHanging12a"/>
        <w:rPr>
          <w:bCs/>
          <w:iCs/>
        </w:rPr>
      </w:pPr>
      <w:r w:rsidRPr="007A2700">
        <w:t>3.</w:t>
      </w:r>
      <w:r w:rsidRPr="007A2700">
        <w:tab/>
        <w:t xml:space="preserve">Europaparlamentet understryker behovet av att ytterligare stärka den allmänna medvetenheten om och synligheten för EGF. Parlamentet påpekar att ett sådant mål kan uppnås genom att EGF uppmärksammas i kommissionens olika publikationer och audiovisuella aktiviteter i enlighet med artikel 11.1 i EGF-förordningen och genom att riktad information sprids till nationella, regionala och lokala myndigheter, arbetsmarknadens parter och allmänheten. </w:t>
      </w:r>
      <w:r w:rsidRPr="007A2700">
        <w:rPr>
          <w:bdr w:val="none" w:sz="0" w:space="0" w:color="auto" w:frame="1"/>
        </w:rPr>
        <w:t>Parlamentet välkomnar i detta sammanhang underhållet av den särskilda webbplatsen för EGF och uppmanar kommissionen att regelbundet uppdatera och utöka den.</w:t>
      </w:r>
      <w:r w:rsidRPr="007A2700">
        <w:t xml:space="preserve"> Parlamentet uppmanar kommissionen att i sin informations- och kommunikationsverksamhet ägna särskild uppmärksamhet åt medlemsstater som ännu inte har utnyttjat </w:t>
      </w:r>
      <w:r w:rsidR="00057A81">
        <w:t>EGF</w:t>
      </w:r>
      <w:r w:rsidRPr="007A2700">
        <w:t xml:space="preserve"> eller som endast i begränsad utsträckning har utnyttjat den, inbegripet medlemsstater som står inför betydande omstruktureringsprocesser och uppsägningar, i syfte att förbättra kunskapen om fonden och underlätta tillgången till stöd från </w:t>
      </w:r>
      <w:r w:rsidR="00057A81">
        <w:t>EGF</w:t>
      </w:r>
      <w:r w:rsidRPr="007A2700">
        <w:t>.</w:t>
      </w:r>
    </w:p>
    <w:p w14:paraId="09C70519" w14:textId="77777777" w:rsidR="001C331E" w:rsidRPr="007A2700" w:rsidRDefault="001C331E" w:rsidP="001C331E">
      <w:pPr>
        <w:pStyle w:val="NormalHanging12a"/>
        <w:rPr>
          <w:bCs/>
          <w:iCs/>
        </w:rPr>
      </w:pPr>
      <w:r w:rsidRPr="007A2700">
        <w:rPr>
          <w:bdr w:val="none" w:sz="0" w:space="0" w:color="auto" w:frame="1"/>
        </w:rPr>
        <w:t>4.</w:t>
      </w:r>
      <w:r w:rsidRPr="007A2700">
        <w:rPr>
          <w:bdr w:val="none" w:sz="0" w:space="0" w:color="auto" w:frame="1"/>
        </w:rPr>
        <w:tab/>
        <w:t>Europaparlamentet understryker behovet av att ytterligare förenkla ansökningsförfarandet för EGF. Parlamentet välkomnar i detta avseende underhållet av ett elektroniskt system för datautbyte och kommissionens arbete med standardiserade förfaranden för ansökningar till EGF.</w:t>
      </w:r>
      <w:r w:rsidRPr="007A2700">
        <w:t> Parlamentet uppmanar kommissionen att fortsätta att minska de administrativa bördorna och förkorta tiden mellan ansökan och tillhandahållandet av stöd till stödmottagarna, samtidigt som full transparens och budgetkontroll säkerställs för Europaparlamentet i egenskap av den ena grenen av budgetmyndigheten.</w:t>
      </w:r>
    </w:p>
    <w:p w14:paraId="331B4BA7" w14:textId="77777777" w:rsidR="001C331E" w:rsidRPr="007A2700" w:rsidRDefault="001C331E" w:rsidP="001C331E">
      <w:pPr>
        <w:pStyle w:val="NormalHanging12a"/>
        <w:rPr>
          <w:bCs/>
          <w:iCs/>
        </w:rPr>
      </w:pPr>
      <w:r w:rsidRPr="007A2700">
        <w:t>5.</w:t>
      </w:r>
      <w:r w:rsidRPr="007A2700">
        <w:tab/>
        <w:t>Europaparlamentet betonar vikten av att se till att arbetstagare som drabbas av massuppsägningar, nedläggningar och omplaceringar kan hitta sysselsättning och nya möjligheter. Parlamentet betonar därför att EGF bör fortsätta att prioritera utbildnings- och omskolningsåtgärder för uppsagda arbetstagare och erbjuda utbildningsvägar och kvalifikationer som underlättar deras återinträde på arbetsmarknaden. Parlamentet understryker att konsekvensbedömningar av fonden bör inriktas på att mäta stödmottagarnas återintegrering på arbetsmarknaden och effektiviteten i den utbildning som tillhandahålls för att kontinuerligt förbättra och anpassa utbildningsvägar och stödåtgärder över tid.</w:t>
      </w:r>
    </w:p>
    <w:p w14:paraId="393208A8" w14:textId="77777777" w:rsidR="001C331E" w:rsidRPr="007A2700" w:rsidRDefault="001C331E" w:rsidP="001C331E">
      <w:pPr>
        <w:pStyle w:val="NormalHanging12a"/>
        <w:rPr>
          <w:noProof/>
        </w:rPr>
      </w:pPr>
      <w:r w:rsidRPr="007A2700">
        <w:t>6.</w:t>
      </w:r>
      <w:r w:rsidRPr="007A2700">
        <w:tab/>
        <w:t>Europaparlamentet välkomnar åtgärder som ökar medvetenheten hos medlemsstaterna, arbetsmarknadens parter och företagen om de ändringar av EGF-förordningen som inbegriper möjligheten att även ge stöd till arbetstagare som inom kort kommer att bli uppsagda i ett företag som genomgår en omstrukturering.</w:t>
      </w:r>
    </w:p>
    <w:p w14:paraId="4F82D758" w14:textId="77777777" w:rsidR="001C331E" w:rsidRPr="007A2700" w:rsidRDefault="001C331E" w:rsidP="001C331E">
      <w:pPr>
        <w:pStyle w:val="NormalHanging12a"/>
        <w:rPr>
          <w:bdr w:val="none" w:sz="0" w:space="0" w:color="auto" w:frame="1"/>
        </w:rPr>
      </w:pPr>
      <w:r w:rsidRPr="007A2700">
        <w:t>7.</w:t>
      </w:r>
      <w:r w:rsidRPr="007A2700">
        <w:tab/>
        <w:t>Europaparlamentet betonar att utgifter som finansieras inom ramen för tekniskt stöd bör vara föremål för noggrann övervakning och regelbunden utvärdering för att säkerställa sund ekonomisk förvaltning, kostnadseffektivitet och konkret mervärde för medlemsstaterna och stödmottagarna. Parlamentet uppmanar kommissionen att tillhandahålla detaljerad information om användningen av resurser för tekniskt stöd och om de konkreta resultat som uppnåtts genom den finansierade verksamheten.</w:t>
      </w:r>
    </w:p>
    <w:p w14:paraId="698C1B4A" w14:textId="77777777" w:rsidR="001C331E" w:rsidRPr="007A2700" w:rsidRDefault="001C331E" w:rsidP="001C331E">
      <w:pPr>
        <w:spacing w:after="240"/>
        <w:ind w:left="567" w:hanging="567"/>
      </w:pPr>
      <w:r w:rsidRPr="007A2700">
        <w:t>8.</w:t>
      </w:r>
      <w:r w:rsidRPr="007A2700">
        <w:tab/>
        <w:t>Europaparlamentet godkänner det bifogade beslutet.</w:t>
      </w:r>
    </w:p>
    <w:p w14:paraId="3EFFDB4C" w14:textId="77777777" w:rsidR="001C331E" w:rsidRPr="007A2700" w:rsidRDefault="001C331E" w:rsidP="001C331E">
      <w:pPr>
        <w:spacing w:after="240"/>
        <w:ind w:left="567" w:hanging="567"/>
        <w:rPr>
          <w:bdr w:val="none" w:sz="0" w:space="0" w:color="auto" w:frame="1"/>
        </w:rPr>
      </w:pPr>
      <w:r w:rsidRPr="007A2700">
        <w:t>9.</w:t>
      </w:r>
      <w:r w:rsidRPr="007A2700">
        <w:tab/>
      </w:r>
      <w:r w:rsidRPr="007A2700">
        <w:rPr>
          <w:bdr w:val="none" w:sz="0" w:space="0" w:color="auto" w:frame="1"/>
        </w:rPr>
        <w:t xml:space="preserve">Europaparlamentet uppdrar åt talmannen att tillsammans med rådets ordförande underteckna beslutet och se till att det offentliggörs i </w:t>
      </w:r>
      <w:r w:rsidRPr="007A2700">
        <w:rPr>
          <w:i/>
          <w:iCs/>
          <w:bdr w:val="none" w:sz="0" w:space="0" w:color="auto" w:frame="1"/>
        </w:rPr>
        <w:t xml:space="preserve">Europeiska unionens officiella </w:t>
      </w:r>
      <w:r w:rsidRPr="007A2700">
        <w:rPr>
          <w:i/>
          <w:iCs/>
          <w:bdr w:val="none" w:sz="0" w:space="0" w:color="auto" w:frame="1"/>
        </w:rPr>
        <w:lastRenderedPageBreak/>
        <w:t>tidning</w:t>
      </w:r>
      <w:r w:rsidRPr="007A2700">
        <w:rPr>
          <w:bdr w:val="none" w:sz="0" w:space="0" w:color="auto" w:frame="1"/>
        </w:rPr>
        <w:t>.</w:t>
      </w:r>
    </w:p>
    <w:p w14:paraId="788CBE49" w14:textId="77777777" w:rsidR="001C331E" w:rsidRPr="007A2700" w:rsidRDefault="001C331E" w:rsidP="001C331E">
      <w:pPr>
        <w:pStyle w:val="NormalHanging12a"/>
      </w:pPr>
      <w:r w:rsidRPr="007A2700">
        <w:t>10.</w:t>
      </w:r>
      <w:r w:rsidRPr="007A2700">
        <w:tab/>
      </w:r>
      <w:r w:rsidRPr="007A2700">
        <w:rPr>
          <w:bdr w:val="none" w:sz="0" w:space="0" w:color="auto" w:frame="1"/>
        </w:rPr>
        <w:t>Europaparlamentet uppdrar åt talmannen att översända denna resolution med bilaga till rådet och kommissionen.</w:t>
      </w:r>
    </w:p>
    <w:p w14:paraId="4A6CE1E4" w14:textId="77777777" w:rsidR="001C331E" w:rsidRPr="007A2700" w:rsidRDefault="001C331E" w:rsidP="001C331E">
      <w:pPr>
        <w:rPr>
          <w:noProof/>
        </w:rPr>
      </w:pPr>
    </w:p>
    <w:p w14:paraId="4E22CCE8" w14:textId="77777777" w:rsidR="001C331E" w:rsidRPr="007A2700" w:rsidRDefault="001C331E" w:rsidP="001C331E">
      <w:pPr>
        <w:pStyle w:val="PageHeading"/>
        <w:rPr>
          <w:noProof/>
        </w:rPr>
        <w:sectPr w:rsidR="001C331E" w:rsidRPr="007A2700" w:rsidSect="007A270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1BBB65" w14:textId="77777777" w:rsidR="001C331E" w:rsidRPr="007A2700" w:rsidRDefault="001C331E" w:rsidP="001C331E">
      <w:pPr>
        <w:pStyle w:val="PageHeading"/>
        <w:rPr>
          <w:noProof/>
        </w:rPr>
      </w:pPr>
      <w:bookmarkStart w:id="8" w:name="_Toc233730716"/>
      <w:r w:rsidRPr="007A2700">
        <w:lastRenderedPageBreak/>
        <w:t>BILAGA: EUROPAPARLAMENTETS OCH RÅDETS BESLUT</w:t>
      </w:r>
      <w:bookmarkEnd w:id="8"/>
    </w:p>
    <w:p w14:paraId="4AF0E6BC" w14:textId="77777777" w:rsidR="001C331E" w:rsidRPr="007A2700" w:rsidRDefault="001C331E" w:rsidP="001C331E">
      <w:pPr>
        <w:pStyle w:val="NormalBold24a"/>
        <w:spacing w:after="240"/>
      </w:pPr>
      <w:r w:rsidRPr="007A2700">
        <w:rPr>
          <w:szCs w:val="22"/>
          <w:lang w:eastAsia="sv-SE"/>
        </w:rPr>
        <w:t>om utnyttjande av Europeiska fonden för justering för globaliseringseffekter för uppsagda arbetstagare på kommissionens initiativ (EGF/2026/000 TA 2026 – tekniskt bistånd)</w:t>
      </w:r>
    </w:p>
    <w:p w14:paraId="16D09A5C" w14:textId="77777777" w:rsidR="001C331E" w:rsidRPr="007A2700" w:rsidRDefault="001C331E" w:rsidP="001C331E">
      <w:pPr>
        <w:keepNext/>
        <w:tabs>
          <w:tab w:val="left" w:pos="567"/>
          <w:tab w:val="left" w:pos="1134"/>
        </w:tabs>
        <w:spacing w:before="400" w:line="360" w:lineRule="auto"/>
        <w:rPr>
          <w:noProof/>
          <w:szCs w:val="22"/>
          <w:lang w:eastAsia="sv-SE"/>
        </w:rPr>
      </w:pPr>
      <w:r w:rsidRPr="007A2700">
        <w:rPr>
          <w:szCs w:val="22"/>
          <w:lang w:eastAsia="sv-SE"/>
        </w:rPr>
        <w:t>EUROPAPARLAMENTET OCH EUROPEISKA UNIONENS RÅD HAR ANTAGIT DETTA BESLUT</w:t>
      </w:r>
    </w:p>
    <w:p w14:paraId="5BBE69A7" w14:textId="77777777" w:rsidR="001C331E" w:rsidRPr="007A2700" w:rsidRDefault="001C331E" w:rsidP="001C331E">
      <w:pPr>
        <w:tabs>
          <w:tab w:val="left" w:pos="567"/>
          <w:tab w:val="left" w:pos="1134"/>
        </w:tabs>
        <w:spacing w:before="120" w:after="120" w:line="360" w:lineRule="auto"/>
        <w:rPr>
          <w:szCs w:val="22"/>
          <w:lang w:eastAsia="sv-SE"/>
        </w:rPr>
      </w:pPr>
      <w:r w:rsidRPr="007A2700">
        <w:rPr>
          <w:szCs w:val="22"/>
          <w:lang w:eastAsia="sv-SE"/>
        </w:rPr>
        <w:t>med beaktande av fördraget om Europeiska unionens funktionssätt,</w:t>
      </w:r>
    </w:p>
    <w:p w14:paraId="32E80848" w14:textId="77777777" w:rsidR="001C331E" w:rsidRPr="007A2700" w:rsidRDefault="001C331E" w:rsidP="001C331E">
      <w:pPr>
        <w:tabs>
          <w:tab w:val="left" w:pos="567"/>
          <w:tab w:val="left" w:pos="1134"/>
        </w:tabs>
        <w:spacing w:before="120" w:after="120"/>
        <w:rPr>
          <w:szCs w:val="22"/>
          <w:lang w:eastAsia="sv-SE"/>
        </w:rPr>
      </w:pPr>
      <w:r w:rsidRPr="007A2700">
        <w:rPr>
          <w:szCs w:val="22"/>
          <w:lang w:eastAsia="sv-SE"/>
        </w:rPr>
        <w:t>med beaktande av Europaparlamentets och rådets förordning (EU) 2021/691 av den 28 april 2021 om Europeiska fonden för justering för globaliseringseffekter för uppsagda arbetstagare (EGF) och om upphävande av förordning (EU) nr 1309/2013</w:t>
      </w:r>
      <w:r w:rsidRPr="007A2700">
        <w:rPr>
          <w:b/>
          <w:bCs/>
          <w:szCs w:val="22"/>
          <w:vertAlign w:val="superscript"/>
          <w:lang w:eastAsia="sv-SE"/>
        </w:rPr>
        <w:footnoteReference w:id="6"/>
      </w:r>
      <w:r w:rsidRPr="007A2700">
        <w:rPr>
          <w:szCs w:val="22"/>
          <w:lang w:eastAsia="sv-SE"/>
        </w:rPr>
        <w:t>, särskilt artikel 15.1 första stycket,</w:t>
      </w:r>
    </w:p>
    <w:p w14:paraId="0A92791E" w14:textId="77777777" w:rsidR="001C331E" w:rsidRPr="007A2700" w:rsidRDefault="001C331E" w:rsidP="001C331E">
      <w:pPr>
        <w:tabs>
          <w:tab w:val="left" w:pos="567"/>
          <w:tab w:val="left" w:pos="1134"/>
        </w:tabs>
        <w:spacing w:before="120" w:after="120"/>
        <w:rPr>
          <w:szCs w:val="22"/>
          <w:lang w:eastAsia="sv-SE"/>
        </w:rPr>
      </w:pPr>
      <w:r w:rsidRPr="007A2700">
        <w:rPr>
          <w:szCs w:val="22"/>
          <w:lang w:eastAsia="sv-SE"/>
        </w:rPr>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7A2700">
        <w:rPr>
          <w:b/>
          <w:bCs/>
          <w:szCs w:val="22"/>
          <w:vertAlign w:val="superscript"/>
          <w:lang w:eastAsia="sv-SE"/>
        </w:rPr>
        <w:footnoteReference w:id="7"/>
      </w:r>
      <w:r w:rsidRPr="007A2700">
        <w:rPr>
          <w:szCs w:val="22"/>
          <w:lang w:eastAsia="sv-SE"/>
        </w:rPr>
        <w:t>, särskilt punkt 9,</w:t>
      </w:r>
    </w:p>
    <w:p w14:paraId="303D27E6" w14:textId="77777777" w:rsidR="001C331E" w:rsidRPr="007A2700" w:rsidRDefault="001C331E" w:rsidP="001C331E">
      <w:pPr>
        <w:tabs>
          <w:tab w:val="left" w:pos="567"/>
          <w:tab w:val="left" w:pos="1134"/>
        </w:tabs>
        <w:spacing w:before="120" w:after="120"/>
        <w:rPr>
          <w:noProof/>
          <w:szCs w:val="22"/>
          <w:lang w:eastAsia="sv-SE"/>
        </w:rPr>
      </w:pPr>
      <w:r w:rsidRPr="007A2700">
        <w:rPr>
          <w:szCs w:val="22"/>
          <w:lang w:eastAsia="sv-SE"/>
        </w:rPr>
        <w:t>med beaktande av Europeiska kommissionens förslag, och</w:t>
      </w:r>
    </w:p>
    <w:p w14:paraId="20773C7C" w14:textId="72EAD61D" w:rsidR="001C331E" w:rsidRPr="007A2700" w:rsidRDefault="001C331E" w:rsidP="00A169ED">
      <w:pPr>
        <w:tabs>
          <w:tab w:val="left" w:pos="567"/>
          <w:tab w:val="left" w:pos="1134"/>
        </w:tabs>
        <w:spacing w:before="120" w:after="120"/>
      </w:pPr>
      <w:r w:rsidRPr="007A2700">
        <w:t>av följande skäl:</w:t>
      </w:r>
    </w:p>
    <w:p w14:paraId="195831E6" w14:textId="77777777" w:rsidR="001C331E" w:rsidRPr="007A2700" w:rsidRDefault="001C331E" w:rsidP="001C331E">
      <w:pPr>
        <w:tabs>
          <w:tab w:val="left" w:pos="567"/>
          <w:tab w:val="left" w:pos="1134"/>
        </w:tabs>
        <w:spacing w:before="120" w:after="120"/>
        <w:ind w:left="567" w:hanging="567"/>
        <w:rPr>
          <w:noProof/>
          <w:szCs w:val="22"/>
          <w:lang w:eastAsia="sv-SE"/>
        </w:rPr>
      </w:pPr>
      <w:r w:rsidRPr="007A2700">
        <w:rPr>
          <w:szCs w:val="22"/>
          <w:lang w:eastAsia="sv-SE"/>
        </w:rPr>
        <w:t>(1)</w:t>
      </w:r>
      <w:r w:rsidRPr="007A2700">
        <w:rPr>
          <w:szCs w:val="22"/>
          <w:lang w:eastAsia="sv-SE"/>
        </w:rPr>
        <w:tab/>
        <w:t>Målen för Europeiska fonden för justering för globaliseringseffekter för uppsagda arbetstagare (EGF) är att visa solidaritet och främja varaktig sysselsättning på anständiga villkor i unionen genom att erbjuda stöd till uppsagda arbetstagare och egenföretagare vars verksamhet har upphört i samband med omfattande omstruktureringar, och hjälpa dem att återgå till varaktig sysselsättning på anständiga villkor så snart som möjligt.</w:t>
      </w:r>
    </w:p>
    <w:p w14:paraId="677EF7A7" w14:textId="77777777" w:rsidR="001C331E" w:rsidRPr="007A2700" w:rsidRDefault="001C331E" w:rsidP="001C331E">
      <w:pPr>
        <w:spacing w:before="120" w:after="120"/>
        <w:ind w:left="567" w:hanging="567"/>
        <w:rPr>
          <w:szCs w:val="22"/>
          <w:lang w:eastAsia="sv-SE"/>
        </w:rPr>
      </w:pPr>
      <w:r w:rsidRPr="007A2700">
        <w:rPr>
          <w:szCs w:val="22"/>
          <w:lang w:eastAsia="sv-SE"/>
        </w:rPr>
        <w:t>(2)</w:t>
      </w:r>
      <w:r w:rsidRPr="007A2700">
        <w:rPr>
          <w:szCs w:val="22"/>
          <w:lang w:eastAsia="sv-SE"/>
        </w:rPr>
        <w:tab/>
        <w:t>Det högsta årliga beloppet för EGF får i enlighet med artikel 8 i rådets förordning (EU, Euratom) 2020/2093</w:t>
      </w:r>
      <w:r w:rsidRPr="007A2700">
        <w:rPr>
          <w:b/>
          <w:bCs/>
          <w:szCs w:val="22"/>
          <w:vertAlign w:val="superscript"/>
          <w:lang w:eastAsia="sv-SE"/>
        </w:rPr>
        <w:footnoteReference w:id="8"/>
      </w:r>
      <w:r w:rsidRPr="007A2700">
        <w:rPr>
          <w:szCs w:val="22"/>
          <w:lang w:eastAsia="sv-SE"/>
        </w:rPr>
        <w:t>, ändrad genom rådets förordning (EU, Euratom) 2024/765</w:t>
      </w:r>
      <w:r w:rsidRPr="007A2700">
        <w:rPr>
          <w:b/>
          <w:bCs/>
          <w:szCs w:val="22"/>
          <w:vertAlign w:val="superscript"/>
          <w:lang w:eastAsia="sv-SE"/>
        </w:rPr>
        <w:footnoteReference w:id="9"/>
      </w:r>
      <w:r w:rsidRPr="007A2700">
        <w:rPr>
          <w:szCs w:val="22"/>
          <w:lang w:eastAsia="sv-SE"/>
        </w:rPr>
        <w:t>, och artikel 16 i förordning (EU) 2021/691 inte överstiga 30 miljoner EUR (i 2018 års priser).</w:t>
      </w:r>
    </w:p>
    <w:p w14:paraId="0CEFBD3A" w14:textId="77777777" w:rsidR="001C331E" w:rsidRPr="007A2700" w:rsidRDefault="001C331E" w:rsidP="001C331E">
      <w:pPr>
        <w:spacing w:before="120" w:after="120"/>
        <w:ind w:left="567" w:hanging="567"/>
        <w:rPr>
          <w:szCs w:val="22"/>
          <w:lang w:eastAsia="sv-SE"/>
        </w:rPr>
      </w:pPr>
      <w:r w:rsidRPr="007A2700">
        <w:rPr>
          <w:szCs w:val="22"/>
          <w:lang w:eastAsia="sv-SE"/>
        </w:rPr>
        <w:t>(3)</w:t>
      </w:r>
      <w:r w:rsidRPr="007A2700">
        <w:rPr>
          <w:szCs w:val="22"/>
          <w:lang w:eastAsia="sv-SE"/>
        </w:rPr>
        <w:tab/>
        <w:t>Enligt förordning (EU) 2021/691 får högst 1,5 % av det årliga maximibeloppet för EGF användas varje år för tekniskt bistånd på kommissionens initiativ.</w:t>
      </w:r>
    </w:p>
    <w:p w14:paraId="643B21B3" w14:textId="77777777" w:rsidR="001C331E" w:rsidRPr="007A2700" w:rsidRDefault="001C331E" w:rsidP="001C331E">
      <w:pPr>
        <w:spacing w:before="120" w:after="120"/>
        <w:ind w:left="567" w:hanging="567"/>
        <w:rPr>
          <w:noProof/>
          <w:szCs w:val="22"/>
          <w:lang w:eastAsia="sv-SE"/>
        </w:rPr>
      </w:pPr>
      <w:r w:rsidRPr="007A2700">
        <w:rPr>
          <w:szCs w:val="22"/>
          <w:lang w:eastAsia="sv-SE"/>
        </w:rPr>
        <w:t>(4)</w:t>
      </w:r>
      <w:r w:rsidRPr="007A2700">
        <w:rPr>
          <w:szCs w:val="22"/>
          <w:lang w:eastAsia="sv-SE"/>
        </w:rPr>
        <w:tab/>
        <w:t xml:space="preserve">Biståndet är nödvändigt för att fullgöra skyldigheterna vid genomförandet av EGF i enlighet med artikel 11 i förordning (EU) 2021/691, särskilt vad gäller övervakning och insamling av uppgifter liksom kommunikation och åtgärder som ökar </w:t>
      </w:r>
      <w:proofErr w:type="spellStart"/>
      <w:r w:rsidRPr="007A2700">
        <w:rPr>
          <w:szCs w:val="22"/>
          <w:lang w:eastAsia="sv-SE"/>
        </w:rPr>
        <w:t>EGF:s</w:t>
      </w:r>
      <w:proofErr w:type="spellEnd"/>
      <w:r w:rsidRPr="007A2700">
        <w:rPr>
          <w:szCs w:val="22"/>
          <w:lang w:eastAsia="sv-SE"/>
        </w:rPr>
        <w:t xml:space="preserve"> synlighet.</w:t>
      </w:r>
    </w:p>
    <w:p w14:paraId="4B88C2BE" w14:textId="77777777" w:rsidR="001C331E" w:rsidRPr="007A2700" w:rsidRDefault="001C331E" w:rsidP="001C331E">
      <w:pPr>
        <w:widowControl/>
        <w:spacing w:before="120" w:after="120"/>
        <w:ind w:left="567" w:hanging="567"/>
        <w:rPr>
          <w:noProof/>
          <w:szCs w:val="22"/>
          <w:lang w:eastAsia="sv-SE"/>
        </w:rPr>
      </w:pPr>
      <w:r w:rsidRPr="007A2700">
        <w:rPr>
          <w:szCs w:val="22"/>
          <w:lang w:eastAsia="sv-SE"/>
        </w:rPr>
        <w:lastRenderedPageBreak/>
        <w:t>(5)</w:t>
      </w:r>
      <w:r w:rsidRPr="007A2700">
        <w:rPr>
          <w:szCs w:val="22"/>
          <w:lang w:eastAsia="sv-SE"/>
        </w:rPr>
        <w:tab/>
        <w:t>EGF bör således utnyttjas för att tillhandahålla ett belopp på 210 000 EUR för tekniskt bistånd på kommissionens initiativ.</w:t>
      </w:r>
    </w:p>
    <w:p w14:paraId="58A3D062" w14:textId="77777777" w:rsidR="001C331E" w:rsidRPr="007A2700" w:rsidRDefault="001C331E" w:rsidP="00A169ED">
      <w:pPr>
        <w:keepNext/>
        <w:tabs>
          <w:tab w:val="left" w:pos="567"/>
          <w:tab w:val="left" w:pos="1134"/>
        </w:tabs>
        <w:spacing w:before="240" w:after="120"/>
        <w:rPr>
          <w:szCs w:val="22"/>
          <w:lang w:eastAsia="sv-SE"/>
        </w:rPr>
      </w:pPr>
      <w:r w:rsidRPr="007A2700">
        <w:rPr>
          <w:szCs w:val="22"/>
          <w:lang w:eastAsia="sv-SE"/>
        </w:rPr>
        <w:t>HÄRIGENOM FÖRESKRIVS FÖLJANDE.</w:t>
      </w:r>
    </w:p>
    <w:p w14:paraId="1F7E25E2" w14:textId="77777777" w:rsidR="001C331E" w:rsidRPr="007A2700" w:rsidRDefault="001C331E" w:rsidP="001C331E">
      <w:pPr>
        <w:keepNext/>
        <w:tabs>
          <w:tab w:val="left" w:pos="567"/>
          <w:tab w:val="left" w:pos="1134"/>
        </w:tabs>
        <w:spacing w:before="120" w:after="120"/>
        <w:rPr>
          <w:szCs w:val="22"/>
          <w:lang w:eastAsia="sv-SE"/>
        </w:rPr>
      </w:pPr>
    </w:p>
    <w:p w14:paraId="45800041" w14:textId="77777777" w:rsidR="001C331E" w:rsidRPr="007A2700" w:rsidRDefault="001C331E" w:rsidP="001C331E">
      <w:pPr>
        <w:keepNext/>
        <w:tabs>
          <w:tab w:val="left" w:pos="567"/>
          <w:tab w:val="left" w:pos="1134"/>
        </w:tabs>
        <w:spacing w:before="120" w:after="120"/>
        <w:jc w:val="center"/>
        <w:rPr>
          <w:i/>
          <w:noProof/>
          <w:szCs w:val="22"/>
          <w:lang w:eastAsia="sv-SE"/>
        </w:rPr>
      </w:pPr>
      <w:r w:rsidRPr="007A2700">
        <w:rPr>
          <w:i/>
          <w:szCs w:val="22"/>
          <w:lang w:eastAsia="sv-SE"/>
        </w:rPr>
        <w:t>Artikel 1</w:t>
      </w:r>
    </w:p>
    <w:p w14:paraId="5A969D72" w14:textId="77777777" w:rsidR="001C331E" w:rsidRPr="007A2700" w:rsidRDefault="001C331E" w:rsidP="001C331E">
      <w:pPr>
        <w:tabs>
          <w:tab w:val="left" w:pos="567"/>
          <w:tab w:val="left" w:pos="1134"/>
        </w:tabs>
        <w:spacing w:before="120" w:after="120"/>
        <w:rPr>
          <w:noProof/>
          <w:szCs w:val="22"/>
          <w:lang w:eastAsia="sv-SE"/>
        </w:rPr>
      </w:pPr>
      <w:r w:rsidRPr="007A2700">
        <w:rPr>
          <w:szCs w:val="22"/>
          <w:lang w:eastAsia="sv-SE"/>
        </w:rPr>
        <w:t>Europeiska fonden för justering för globaliseringseffekter för uppsagda arbetstagare ska belastas med 210 000 EUR i åtagande- och betalningsbemyndiganden ur Europeiska unionens allmänna budget för budgetåret 2026.</w:t>
      </w:r>
    </w:p>
    <w:p w14:paraId="5F230477" w14:textId="77777777" w:rsidR="001C331E" w:rsidRPr="007A2700" w:rsidRDefault="001C331E" w:rsidP="001C331E">
      <w:pPr>
        <w:keepNext/>
        <w:tabs>
          <w:tab w:val="left" w:pos="567"/>
          <w:tab w:val="left" w:pos="1134"/>
        </w:tabs>
        <w:spacing w:before="360" w:after="120"/>
        <w:jc w:val="center"/>
        <w:rPr>
          <w:i/>
          <w:noProof/>
          <w:szCs w:val="22"/>
          <w:lang w:eastAsia="sv-SE"/>
        </w:rPr>
      </w:pPr>
      <w:r w:rsidRPr="007A2700">
        <w:rPr>
          <w:i/>
          <w:szCs w:val="22"/>
          <w:lang w:eastAsia="sv-SE"/>
        </w:rPr>
        <w:t>Artikel 2</w:t>
      </w:r>
    </w:p>
    <w:p w14:paraId="5D6F3234" w14:textId="77777777" w:rsidR="001C331E" w:rsidRPr="007A2700" w:rsidRDefault="001C331E" w:rsidP="001C331E">
      <w:pPr>
        <w:keepNext/>
        <w:keepLines/>
        <w:tabs>
          <w:tab w:val="left" w:pos="567"/>
          <w:tab w:val="left" w:pos="1134"/>
        </w:tabs>
        <w:spacing w:before="120" w:after="120"/>
        <w:rPr>
          <w:szCs w:val="22"/>
          <w:lang w:eastAsia="sv-SE"/>
        </w:rPr>
      </w:pPr>
      <w:r w:rsidRPr="007A2700">
        <w:rPr>
          <w:szCs w:val="22"/>
          <w:lang w:eastAsia="sv-SE"/>
        </w:rPr>
        <w:t xml:space="preserve">Detta beslut träder i kraft samma dag som det offentliggörs i </w:t>
      </w:r>
      <w:r w:rsidRPr="007A2700">
        <w:rPr>
          <w:i/>
          <w:szCs w:val="22"/>
          <w:lang w:eastAsia="sv-SE"/>
        </w:rPr>
        <w:t>Europeiska unionens officiella tidning</w:t>
      </w:r>
      <w:r w:rsidRPr="007A2700">
        <w:rPr>
          <w:szCs w:val="22"/>
          <w:lang w:eastAsia="sv-SE"/>
        </w:rPr>
        <w:t>.</w:t>
      </w:r>
    </w:p>
    <w:p w14:paraId="0DE5E117" w14:textId="77777777" w:rsidR="001C331E" w:rsidRPr="007A2700" w:rsidRDefault="001C331E" w:rsidP="001C331E">
      <w:pPr>
        <w:keepNext/>
        <w:keepLines/>
        <w:tabs>
          <w:tab w:val="left" w:pos="567"/>
          <w:tab w:val="left" w:pos="1134"/>
        </w:tabs>
        <w:spacing w:before="120" w:after="120"/>
        <w:rPr>
          <w:noProof/>
          <w:szCs w:val="22"/>
          <w:lang w:eastAsia="sv-SE"/>
        </w:rPr>
      </w:pPr>
    </w:p>
    <w:p w14:paraId="46F8EDEC" w14:textId="36251397" w:rsidR="001C331E" w:rsidRPr="007A2700" w:rsidRDefault="001C331E" w:rsidP="001C331E">
      <w:pPr>
        <w:keepNext/>
        <w:tabs>
          <w:tab w:val="left" w:pos="567"/>
          <w:tab w:val="left" w:pos="1134"/>
        </w:tabs>
        <w:spacing w:before="120"/>
        <w:rPr>
          <w:szCs w:val="22"/>
          <w:lang w:eastAsia="sv-SE"/>
        </w:rPr>
      </w:pPr>
      <w:r w:rsidRPr="007A2700">
        <w:rPr>
          <w:szCs w:val="22"/>
          <w:lang w:eastAsia="sv-SE"/>
        </w:rPr>
        <w:t xml:space="preserve">Utfärdat </w:t>
      </w:r>
      <w:r w:rsidR="004955BC">
        <w:rPr>
          <w:szCs w:val="22"/>
          <w:lang w:eastAsia="sv-SE"/>
        </w:rPr>
        <w:t xml:space="preserve">i … </w:t>
      </w:r>
      <w:r w:rsidRPr="007A2700">
        <w:rPr>
          <w:szCs w:val="22"/>
          <w:lang w:eastAsia="sv-SE"/>
        </w:rPr>
        <w:t>den</w:t>
      </w:r>
      <w:r w:rsidR="004955BC">
        <w:rPr>
          <w:szCs w:val="22"/>
          <w:lang w:eastAsia="sv-SE"/>
        </w:rPr>
        <w:t xml:space="preserve"> …</w:t>
      </w:r>
    </w:p>
    <w:p w14:paraId="56CC43E9" w14:textId="77777777" w:rsidR="001C331E" w:rsidRPr="007A2700" w:rsidRDefault="001C331E" w:rsidP="001C331E">
      <w:pPr>
        <w:keepNext/>
        <w:tabs>
          <w:tab w:val="left" w:pos="567"/>
          <w:tab w:val="left" w:pos="1134"/>
        </w:tabs>
        <w:spacing w:before="120"/>
        <w:rPr>
          <w:noProof/>
          <w:szCs w:val="22"/>
          <w:lang w:eastAsia="sv-SE"/>
        </w:rPr>
      </w:pPr>
    </w:p>
    <w:p w14:paraId="75561EED" w14:textId="77777777" w:rsidR="001C331E" w:rsidRPr="007A2700" w:rsidRDefault="001C331E" w:rsidP="00A169ED">
      <w:pPr>
        <w:keepNext/>
        <w:tabs>
          <w:tab w:val="left" w:pos="567"/>
          <w:tab w:val="left" w:pos="1134"/>
          <w:tab w:val="left" w:pos="5103"/>
          <w:tab w:val="left" w:pos="5670"/>
        </w:tabs>
        <w:spacing w:before="120"/>
        <w:rPr>
          <w:noProof/>
          <w:szCs w:val="22"/>
          <w:lang w:eastAsia="sv-SE"/>
        </w:rPr>
      </w:pPr>
      <w:r w:rsidRPr="007A2700">
        <w:rPr>
          <w:i/>
          <w:szCs w:val="22"/>
          <w:lang w:eastAsia="sv-SE"/>
        </w:rPr>
        <w:t>På Europaparlamentets vägnar</w:t>
      </w:r>
      <w:r w:rsidRPr="007A2700">
        <w:rPr>
          <w:i/>
          <w:szCs w:val="22"/>
          <w:lang w:eastAsia="sv-SE"/>
        </w:rPr>
        <w:tab/>
      </w:r>
      <w:r w:rsidRPr="007A2700">
        <w:rPr>
          <w:i/>
          <w:szCs w:val="22"/>
          <w:lang w:eastAsia="sv-SE"/>
        </w:rPr>
        <w:tab/>
        <w:t>På rådets vägnar</w:t>
      </w:r>
    </w:p>
    <w:p w14:paraId="03ED6FC6" w14:textId="48BF43E8" w:rsidR="007A2700" w:rsidRPr="007A2700" w:rsidRDefault="001C331E" w:rsidP="007A2700">
      <w:pPr>
        <w:tabs>
          <w:tab w:val="left" w:pos="567"/>
          <w:tab w:val="left" w:pos="1134"/>
          <w:tab w:val="left" w:pos="5669"/>
        </w:tabs>
      </w:pPr>
      <w:r w:rsidRPr="007A2700">
        <w:rPr>
          <w:i/>
          <w:szCs w:val="22"/>
          <w:lang w:eastAsia="sv-SE"/>
        </w:rPr>
        <w:t>Ordförande</w:t>
      </w:r>
      <w:r w:rsidRPr="007A2700">
        <w:rPr>
          <w:i/>
          <w:szCs w:val="22"/>
          <w:lang w:eastAsia="sv-SE"/>
        </w:rPr>
        <w:tab/>
      </w:r>
      <w:r w:rsidRPr="007A2700">
        <w:rPr>
          <w:i/>
          <w:szCs w:val="22"/>
          <w:lang w:eastAsia="sv-SE"/>
        </w:rPr>
        <w:tab/>
      </w:r>
      <w:proofErr w:type="spellStart"/>
      <w:r w:rsidRPr="007A2700">
        <w:rPr>
          <w:i/>
          <w:szCs w:val="22"/>
          <w:lang w:eastAsia="sv-SE"/>
        </w:rPr>
        <w:t>Ordförande</w:t>
      </w:r>
      <w:proofErr w:type="spellEnd"/>
    </w:p>
    <w:p w14:paraId="641AA769" w14:textId="33423E18" w:rsidR="00E365E1" w:rsidRPr="007A2700" w:rsidRDefault="00E365E1" w:rsidP="007C69D4"/>
    <w:sectPr w:rsidR="00E365E1" w:rsidRPr="007A2700" w:rsidSect="007A270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5302" w14:textId="77777777" w:rsidR="007C69D4" w:rsidRPr="007A2700" w:rsidRDefault="007C69D4">
      <w:r w:rsidRPr="007A2700">
        <w:separator/>
      </w:r>
    </w:p>
  </w:endnote>
  <w:endnote w:type="continuationSeparator" w:id="0">
    <w:p w14:paraId="00E91CA1" w14:textId="77777777" w:rsidR="007C69D4" w:rsidRPr="007A2700" w:rsidRDefault="007C69D4">
      <w:r w:rsidRPr="007A2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8BD8" w14:textId="77777777" w:rsidR="001C331E" w:rsidRPr="007A2700" w:rsidRDefault="001C331E" w:rsidP="007E6C0C">
    <w:pPr>
      <w:pStyle w:val="EPFooter"/>
    </w:pPr>
    <w:r w:rsidRPr="007A2700">
      <w:t>PE</w:t>
    </w:r>
    <w:r w:rsidRPr="007A2700">
      <w:rPr>
        <w:rStyle w:val="HideTWBExt"/>
      </w:rPr>
      <w:t>&lt;</w:t>
    </w:r>
    <w:proofErr w:type="spellStart"/>
    <w:r w:rsidRPr="007A2700">
      <w:rPr>
        <w:rStyle w:val="HideTWBExt"/>
      </w:rPr>
      <w:t>NoPE</w:t>
    </w:r>
    <w:proofErr w:type="spellEnd"/>
    <w:r w:rsidRPr="007A2700">
      <w:rPr>
        <w:rStyle w:val="HideTWBExt"/>
      </w:rPr>
      <w:t>&gt;</w:t>
    </w:r>
    <w:r w:rsidRPr="007A2700">
      <w:t>789.086</w:t>
    </w:r>
    <w:r w:rsidRPr="007A2700">
      <w:rPr>
        <w:rStyle w:val="HideTWBExt"/>
      </w:rPr>
      <w:t>&lt;/</w:t>
    </w:r>
    <w:proofErr w:type="spellStart"/>
    <w:r w:rsidRPr="007A2700">
      <w:rPr>
        <w:rStyle w:val="HideTWBExt"/>
      </w:rPr>
      <w:t>NoPE</w:t>
    </w:r>
    <w:proofErr w:type="spellEnd"/>
    <w:r w:rsidRPr="007A2700">
      <w:rPr>
        <w:rStyle w:val="HideTWBExt"/>
      </w:rPr>
      <w:t>&gt;&lt;Version&gt;</w:t>
    </w:r>
    <w:r w:rsidRPr="007A2700">
      <w:t>v02-00</w:t>
    </w:r>
    <w:r w:rsidRPr="007A2700">
      <w:rPr>
        <w:rStyle w:val="HideTWBExt"/>
      </w:rPr>
      <w:t>&lt;/Version&gt;</w:t>
    </w:r>
    <w:r w:rsidRPr="007A2700">
      <w:tab/>
    </w:r>
    <w:r w:rsidRPr="007A2700">
      <w:fldChar w:fldCharType="begin"/>
    </w:r>
    <w:r w:rsidRPr="007A2700">
      <w:instrText xml:space="preserve"> PAGE  \* MERGEFORMAT </w:instrText>
    </w:r>
    <w:r w:rsidRPr="007A2700">
      <w:fldChar w:fldCharType="separate"/>
    </w:r>
    <w:r w:rsidRPr="007A2700">
      <w:rPr>
        <w:noProof/>
      </w:rPr>
      <w:t>2</w:t>
    </w:r>
    <w:r w:rsidRPr="007A2700">
      <w:fldChar w:fldCharType="end"/>
    </w:r>
    <w:r w:rsidRPr="007A2700">
      <w:t>/</w:t>
    </w:r>
    <w:fldSimple w:instr=" NUMPAGES  \* MERGEFORMAT ">
      <w:r w:rsidRPr="007A2700">
        <w:rPr>
          <w:noProof/>
        </w:rPr>
        <w:t>1</w:t>
      </w:r>
    </w:fldSimple>
    <w:r w:rsidRPr="007A2700">
      <w:tab/>
    </w:r>
    <w:r w:rsidRPr="007A2700">
      <w:rPr>
        <w:rStyle w:val="HideTWBExt"/>
      </w:rPr>
      <w:t>&lt;PathFdR&gt;</w:t>
    </w:r>
    <w:r w:rsidRPr="007A2700">
      <w:t>RR\1346613SV.docx</w:t>
    </w:r>
    <w:r w:rsidRPr="007A2700">
      <w:rPr>
        <w:rStyle w:val="HideTWBExt"/>
      </w:rPr>
      <w:t>&lt;/</w:t>
    </w:r>
    <w:proofErr w:type="spellStart"/>
    <w:r w:rsidRPr="007A2700">
      <w:rPr>
        <w:rStyle w:val="HideTWBExt"/>
      </w:rPr>
      <w:t>PathFdR</w:t>
    </w:r>
    <w:proofErr w:type="spellEnd"/>
    <w:r w:rsidRPr="007A2700">
      <w:rPr>
        <w:rStyle w:val="HideTWBExt"/>
      </w:rPr>
      <w:t>&gt;</w:t>
    </w:r>
  </w:p>
  <w:p w14:paraId="1B63BD3B" w14:textId="77777777" w:rsidR="001C331E" w:rsidRPr="007A2700" w:rsidRDefault="001C331E" w:rsidP="007E6C0C">
    <w:pPr>
      <w:pStyle w:val="EPFooter2"/>
    </w:pPr>
    <w:r w:rsidRPr="007A2700">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F4CF" w14:textId="77777777" w:rsidR="001C331E" w:rsidRPr="007A2700" w:rsidRDefault="001C331E" w:rsidP="007E6C0C">
    <w:pPr>
      <w:pStyle w:val="EPFooter"/>
    </w:pPr>
    <w:r w:rsidRPr="007A2700">
      <w:rPr>
        <w:rStyle w:val="HideTWBExt"/>
      </w:rPr>
      <w:t>&lt;PathFdR&gt;</w:t>
    </w:r>
    <w:r w:rsidRPr="007A2700">
      <w:t>RR\1346613SV.docx</w:t>
    </w:r>
    <w:r w:rsidRPr="007A2700">
      <w:rPr>
        <w:rStyle w:val="HideTWBExt"/>
      </w:rPr>
      <w:t>&lt;/</w:t>
    </w:r>
    <w:proofErr w:type="spellStart"/>
    <w:r w:rsidRPr="007A2700">
      <w:rPr>
        <w:rStyle w:val="HideTWBExt"/>
      </w:rPr>
      <w:t>PathFdR</w:t>
    </w:r>
    <w:proofErr w:type="spellEnd"/>
    <w:r w:rsidRPr="007A2700">
      <w:rPr>
        <w:rStyle w:val="HideTWBExt"/>
      </w:rPr>
      <w:t>&gt;</w:t>
    </w:r>
    <w:r w:rsidRPr="007A2700">
      <w:tab/>
    </w:r>
    <w:r w:rsidRPr="007A2700">
      <w:tab/>
      <w:t>PE</w:t>
    </w:r>
    <w:r w:rsidRPr="007A2700">
      <w:rPr>
        <w:rStyle w:val="HideTWBExt"/>
      </w:rPr>
      <w:t>&lt;</w:t>
    </w:r>
    <w:proofErr w:type="spellStart"/>
    <w:r w:rsidRPr="007A2700">
      <w:rPr>
        <w:rStyle w:val="HideTWBExt"/>
      </w:rPr>
      <w:t>NoPE</w:t>
    </w:r>
    <w:proofErr w:type="spellEnd"/>
    <w:r w:rsidRPr="007A2700">
      <w:rPr>
        <w:rStyle w:val="HideTWBExt"/>
      </w:rPr>
      <w:t>&gt;</w:t>
    </w:r>
    <w:r w:rsidRPr="007A2700">
      <w:t>789.086</w:t>
    </w:r>
    <w:r w:rsidRPr="007A2700">
      <w:rPr>
        <w:rStyle w:val="HideTWBExt"/>
      </w:rPr>
      <w:t>&lt;/</w:t>
    </w:r>
    <w:proofErr w:type="spellStart"/>
    <w:r w:rsidRPr="007A2700">
      <w:rPr>
        <w:rStyle w:val="HideTWBExt"/>
      </w:rPr>
      <w:t>NoPE</w:t>
    </w:r>
    <w:proofErr w:type="spellEnd"/>
    <w:r w:rsidRPr="007A2700">
      <w:rPr>
        <w:rStyle w:val="HideTWBExt"/>
      </w:rPr>
      <w:t>&gt;&lt;Version&gt;</w:t>
    </w:r>
    <w:r w:rsidRPr="007A2700">
      <w:t>v02-00</w:t>
    </w:r>
    <w:r w:rsidRPr="007A2700">
      <w:rPr>
        <w:rStyle w:val="HideTWBExt"/>
      </w:rPr>
      <w:t>&lt;/Version&gt;</w:t>
    </w:r>
  </w:p>
  <w:p w14:paraId="1A8D9F24" w14:textId="77777777" w:rsidR="001C331E" w:rsidRPr="007A2700" w:rsidRDefault="001C331E" w:rsidP="007E6C0C">
    <w:pPr>
      <w:pStyle w:val="EPFooter2"/>
    </w:pPr>
    <w:r w:rsidRPr="007A2700">
      <w:t>SV</w:t>
    </w:r>
    <w:r w:rsidRPr="007A2700">
      <w:tab/>
    </w:r>
    <w:r w:rsidRPr="007A2700">
      <w:rPr>
        <w:b w:val="0"/>
        <w:i/>
        <w:color w:val="C0C0C0"/>
        <w:sz w:val="22"/>
      </w:rPr>
      <w:t>Förenade i mångfalden</w:t>
    </w:r>
    <w:r w:rsidRPr="007A2700">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CA45" w14:textId="77777777" w:rsidR="00064002" w:rsidRPr="007A270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351C" w14:textId="77777777" w:rsidR="00064002" w:rsidRPr="007A270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3B72" w14:textId="77777777" w:rsidR="00064002" w:rsidRPr="007A27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A5A6A" w14:textId="77777777" w:rsidR="007C69D4" w:rsidRPr="007A2700" w:rsidRDefault="007C69D4">
      <w:r w:rsidRPr="007A2700">
        <w:separator/>
      </w:r>
    </w:p>
  </w:footnote>
  <w:footnote w:type="continuationSeparator" w:id="0">
    <w:p w14:paraId="2C9C2D86" w14:textId="77777777" w:rsidR="007C69D4" w:rsidRPr="007A2700" w:rsidRDefault="007C69D4">
      <w:r w:rsidRPr="007A2700">
        <w:continuationSeparator/>
      </w:r>
    </w:p>
  </w:footnote>
  <w:footnote w:id="1">
    <w:p w14:paraId="66EA7C92" w14:textId="3A49A4C6" w:rsidR="001C331E" w:rsidRPr="00A169ED" w:rsidRDefault="001C331E" w:rsidP="007A2700">
      <w:pPr>
        <w:pStyle w:val="FootnoteText"/>
        <w:ind w:left="567" w:hanging="567"/>
        <w:rPr>
          <w:sz w:val="24"/>
          <w:lang w:val="fi-FI"/>
        </w:rPr>
      </w:pPr>
      <w:r w:rsidRPr="007A2700">
        <w:rPr>
          <w:rStyle w:val="FootnoteReference"/>
          <w:sz w:val="24"/>
          <w:lang w:val="sv-SE"/>
        </w:rPr>
        <w:footnoteRef/>
      </w:r>
      <w:r w:rsidR="007A2700" w:rsidRPr="00A169ED">
        <w:rPr>
          <w:sz w:val="24"/>
          <w:lang w:val="fi-FI"/>
        </w:rPr>
        <w:t xml:space="preserve"> </w:t>
      </w:r>
      <w:r w:rsidR="007A2700" w:rsidRPr="00A169ED">
        <w:rPr>
          <w:sz w:val="24"/>
          <w:lang w:val="fi-FI"/>
        </w:rPr>
        <w:tab/>
      </w:r>
      <w:r w:rsidRPr="00A169ED">
        <w:rPr>
          <w:sz w:val="24"/>
          <w:lang w:val="fi-FI"/>
        </w:rPr>
        <w:t xml:space="preserve">EUT L 153, 3.5.2021, s. 48, ELI: </w:t>
      </w:r>
      <w:hyperlink r:id="rId1" w:history="1">
        <w:r w:rsidRPr="00A169ED">
          <w:rPr>
            <w:rStyle w:val="Hyperlink"/>
            <w:color w:val="0070C0"/>
            <w:sz w:val="24"/>
            <w:lang w:val="fi-FI"/>
          </w:rPr>
          <w:t>http://data.europa.eu/eli/reg/2021/691/oj</w:t>
        </w:r>
      </w:hyperlink>
      <w:r w:rsidRPr="00A169ED">
        <w:rPr>
          <w:color w:val="0070C0"/>
          <w:sz w:val="24"/>
          <w:lang w:val="fi-FI"/>
        </w:rPr>
        <w:t>.</w:t>
      </w:r>
    </w:p>
  </w:footnote>
  <w:footnote w:id="2">
    <w:p w14:paraId="4CB9DE55" w14:textId="4588A006" w:rsidR="001C331E" w:rsidRPr="00A169ED" w:rsidRDefault="001C331E" w:rsidP="007A2700">
      <w:pPr>
        <w:pStyle w:val="FootnoteText"/>
        <w:ind w:left="567" w:hanging="567"/>
        <w:rPr>
          <w:sz w:val="24"/>
          <w:lang w:val="fr-BE"/>
        </w:rPr>
      </w:pPr>
      <w:r w:rsidRPr="007A2700">
        <w:rPr>
          <w:rStyle w:val="FootnoteReference"/>
          <w:sz w:val="24"/>
          <w:lang w:val="sv-SE"/>
        </w:rPr>
        <w:footnoteRef/>
      </w:r>
      <w:r w:rsidR="007A2700" w:rsidRPr="00A169ED">
        <w:rPr>
          <w:sz w:val="24"/>
          <w:lang w:val="fr-BE"/>
        </w:rPr>
        <w:t xml:space="preserve"> </w:t>
      </w:r>
      <w:r w:rsidR="007A2700" w:rsidRPr="00A169ED">
        <w:rPr>
          <w:sz w:val="24"/>
          <w:lang w:val="fr-BE"/>
        </w:rPr>
        <w:tab/>
      </w:r>
      <w:r w:rsidRPr="00A169ED">
        <w:rPr>
          <w:sz w:val="24"/>
          <w:lang w:val="fr-BE"/>
        </w:rPr>
        <w:t xml:space="preserve">EUT L, 2026/1139, 20.5.2026, </w:t>
      </w:r>
      <w:proofErr w:type="gramStart"/>
      <w:r w:rsidRPr="00A169ED">
        <w:rPr>
          <w:sz w:val="24"/>
          <w:lang w:val="fr-BE"/>
        </w:rPr>
        <w:t>ELI:</w:t>
      </w:r>
      <w:proofErr w:type="gramEnd"/>
      <w:r w:rsidRPr="00A169ED">
        <w:rPr>
          <w:sz w:val="24"/>
          <w:lang w:val="fr-BE"/>
        </w:rPr>
        <w:t> </w:t>
      </w:r>
      <w:hyperlink r:id="rId2" w:tgtFrame="_blank" w:tooltip="Ger tillgång till detta dokument via dess ELI-URI-adress." w:history="1">
        <w:r w:rsidRPr="00A169ED">
          <w:rPr>
            <w:rStyle w:val="Hyperlink"/>
            <w:color w:val="0070C0"/>
            <w:sz w:val="24"/>
            <w:lang w:val="fr-BE"/>
          </w:rPr>
          <w:t>http://data.europa.eu/eli/reg/2026/1139/oj</w:t>
        </w:r>
      </w:hyperlink>
      <w:r w:rsidRPr="00A169ED">
        <w:rPr>
          <w:color w:val="0070C0"/>
          <w:sz w:val="24"/>
          <w:lang w:val="fr-BE"/>
        </w:rPr>
        <w:t>.</w:t>
      </w:r>
    </w:p>
  </w:footnote>
  <w:footnote w:id="3">
    <w:p w14:paraId="11932EEF" w14:textId="5261B56C" w:rsidR="001C331E" w:rsidRPr="00A169ED" w:rsidRDefault="001C331E" w:rsidP="007A2700">
      <w:pPr>
        <w:ind w:left="567" w:hanging="567"/>
        <w:rPr>
          <w:lang w:val="fi-FI"/>
        </w:rPr>
      </w:pPr>
      <w:r w:rsidRPr="007A2700">
        <w:rPr>
          <w:rStyle w:val="FootnoteReference"/>
        </w:rPr>
        <w:footnoteRef/>
      </w:r>
      <w:r w:rsidR="007A2700" w:rsidRPr="00A169ED">
        <w:rPr>
          <w:lang w:val="fi-FI"/>
        </w:rPr>
        <w:t xml:space="preserve"> </w:t>
      </w:r>
      <w:r w:rsidR="007A2700" w:rsidRPr="00A169ED">
        <w:rPr>
          <w:lang w:val="fi-FI"/>
        </w:rPr>
        <w:tab/>
      </w:r>
      <w:r w:rsidRPr="00A169ED">
        <w:rPr>
          <w:lang w:val="fi-FI"/>
        </w:rPr>
        <w:t xml:space="preserve">EUT L 433 I, 22.12.2020, s. 11, ELI: </w:t>
      </w:r>
      <w:hyperlink r:id="rId3" w:history="1">
        <w:r w:rsidRPr="00A169ED">
          <w:rPr>
            <w:rStyle w:val="Hyperlink"/>
            <w:color w:val="0070C0"/>
            <w:lang w:val="fi-FI"/>
          </w:rPr>
          <w:t>http://data.europa.eu/eli/reg/2020/2093/oj</w:t>
        </w:r>
      </w:hyperlink>
      <w:r w:rsidRPr="00A169ED">
        <w:rPr>
          <w:color w:val="0070C0"/>
          <w:lang w:val="fi-FI"/>
        </w:rPr>
        <w:t>.</w:t>
      </w:r>
    </w:p>
  </w:footnote>
  <w:footnote w:id="4">
    <w:p w14:paraId="567C484F" w14:textId="242F7FB3" w:rsidR="001C331E" w:rsidRPr="00A169ED" w:rsidRDefault="001C331E" w:rsidP="007A2700">
      <w:pPr>
        <w:ind w:left="567" w:hanging="567"/>
        <w:rPr>
          <w:lang w:val="fi-FI"/>
        </w:rPr>
      </w:pPr>
      <w:r w:rsidRPr="007A2700">
        <w:rPr>
          <w:rStyle w:val="FootnoteReference"/>
        </w:rPr>
        <w:footnoteRef/>
      </w:r>
      <w:r w:rsidR="007A2700" w:rsidRPr="00A169ED">
        <w:rPr>
          <w:lang w:val="fi-FI"/>
        </w:rPr>
        <w:t xml:space="preserve"> </w:t>
      </w:r>
      <w:r w:rsidR="007A2700" w:rsidRPr="00A169ED">
        <w:rPr>
          <w:lang w:val="fi-FI"/>
        </w:rPr>
        <w:tab/>
      </w:r>
      <w:r w:rsidRPr="00A169ED">
        <w:rPr>
          <w:lang w:val="fi-FI"/>
        </w:rPr>
        <w:t xml:space="preserve">EUT L, 2024/765, 29.2.2024, ELI: </w:t>
      </w:r>
      <w:hyperlink r:id="rId4" w:history="1">
        <w:r w:rsidRPr="00A169ED">
          <w:rPr>
            <w:rStyle w:val="Hyperlink"/>
            <w:lang w:val="fi-FI"/>
          </w:rPr>
          <w:t>https://eur-lex.europa.eu/eli/reg/2024/765/oj</w:t>
        </w:r>
      </w:hyperlink>
      <w:r w:rsidRPr="00A169ED">
        <w:rPr>
          <w:lang w:val="fi-FI"/>
        </w:rPr>
        <w:t>.</w:t>
      </w:r>
    </w:p>
  </w:footnote>
  <w:footnote w:id="5">
    <w:p w14:paraId="78EEF575" w14:textId="1586BC56" w:rsidR="001C331E" w:rsidRPr="00A169ED" w:rsidRDefault="001C331E" w:rsidP="007A2700">
      <w:pPr>
        <w:pStyle w:val="FootnoteText"/>
        <w:ind w:left="567" w:hanging="567"/>
        <w:rPr>
          <w:sz w:val="24"/>
          <w:lang w:val="fi-FI"/>
        </w:rPr>
      </w:pPr>
      <w:r w:rsidRPr="007A2700">
        <w:rPr>
          <w:rStyle w:val="FootnoteReference"/>
          <w:sz w:val="24"/>
          <w:lang w:val="sv-SE"/>
        </w:rPr>
        <w:footnoteRef/>
      </w:r>
      <w:r w:rsidR="007A2700" w:rsidRPr="00A169ED">
        <w:rPr>
          <w:sz w:val="24"/>
          <w:lang w:val="fi-FI"/>
        </w:rPr>
        <w:t xml:space="preserve"> </w:t>
      </w:r>
      <w:r w:rsidR="007A2700" w:rsidRPr="00A169ED">
        <w:rPr>
          <w:sz w:val="24"/>
          <w:lang w:val="fi-FI"/>
        </w:rPr>
        <w:tab/>
      </w:r>
      <w:r w:rsidRPr="00A169ED">
        <w:rPr>
          <w:sz w:val="24"/>
          <w:lang w:val="fi-FI"/>
        </w:rPr>
        <w:t xml:space="preserve">EUT L 433 I, 22.12.2020, s. 28, ELI: </w:t>
      </w:r>
      <w:hyperlink r:id="rId5" w:history="1">
        <w:r w:rsidRPr="00A169ED">
          <w:rPr>
            <w:rStyle w:val="Hyperlink"/>
            <w:sz w:val="24"/>
            <w:lang w:val="fi-FI"/>
          </w:rPr>
          <w:t>http://data.europa.eu/eli/agree_interinstit/2020/1222/oj</w:t>
        </w:r>
      </w:hyperlink>
      <w:r w:rsidRPr="00A169ED">
        <w:rPr>
          <w:sz w:val="24"/>
          <w:lang w:val="fi-FI"/>
        </w:rPr>
        <w:t>.</w:t>
      </w:r>
    </w:p>
  </w:footnote>
  <w:footnote w:id="6">
    <w:p w14:paraId="024B85E4" w14:textId="6208AD21" w:rsidR="001C331E" w:rsidRPr="00A169ED" w:rsidRDefault="001C331E" w:rsidP="007A2700">
      <w:pPr>
        <w:pStyle w:val="FootnoteText"/>
        <w:ind w:left="567" w:hanging="567"/>
        <w:rPr>
          <w:sz w:val="24"/>
          <w:lang w:val="fi-FI"/>
        </w:rPr>
      </w:pPr>
      <w:r w:rsidRPr="007A2700">
        <w:rPr>
          <w:rStyle w:val="FootnoteReference"/>
          <w:sz w:val="24"/>
          <w:lang w:val="sv-SE"/>
        </w:rPr>
        <w:footnoteRef/>
      </w:r>
      <w:r w:rsidR="007A2700" w:rsidRPr="00A169ED">
        <w:rPr>
          <w:sz w:val="24"/>
          <w:lang w:val="fi-FI"/>
        </w:rPr>
        <w:t xml:space="preserve"> </w:t>
      </w:r>
      <w:r w:rsidR="007A2700" w:rsidRPr="00A169ED">
        <w:rPr>
          <w:sz w:val="24"/>
          <w:lang w:val="fi-FI"/>
        </w:rPr>
        <w:tab/>
      </w:r>
      <w:r w:rsidRPr="00A169ED">
        <w:rPr>
          <w:sz w:val="24"/>
          <w:lang w:val="fi-FI"/>
        </w:rPr>
        <w:t xml:space="preserve">EUT L 153, 3.5.2021, s. 48, ELI: </w:t>
      </w:r>
      <w:hyperlink r:id="rId6" w:tooltip="Ger tillgång till detta dokument via dess ELI-URI-adress." w:history="1">
        <w:r w:rsidRPr="00A169ED">
          <w:rPr>
            <w:rStyle w:val="Hyperlink1"/>
            <w:sz w:val="24"/>
            <w:lang w:val="fi-FI"/>
          </w:rPr>
          <w:t>http://data.europa.eu/eli/reg/2021/691/oj</w:t>
        </w:r>
      </w:hyperlink>
      <w:r w:rsidRPr="00A169ED">
        <w:rPr>
          <w:sz w:val="24"/>
          <w:lang w:val="fi-FI"/>
        </w:rPr>
        <w:t>.</w:t>
      </w:r>
    </w:p>
  </w:footnote>
  <w:footnote w:id="7">
    <w:p w14:paraId="265C1D06" w14:textId="090BE228" w:rsidR="001C331E" w:rsidRPr="00A169ED" w:rsidRDefault="001C331E" w:rsidP="007A2700">
      <w:pPr>
        <w:pStyle w:val="FootnoteText"/>
        <w:ind w:left="567" w:hanging="567"/>
        <w:rPr>
          <w:sz w:val="24"/>
          <w:lang w:val="fi-FI"/>
        </w:rPr>
      </w:pPr>
      <w:r w:rsidRPr="007A2700">
        <w:rPr>
          <w:rStyle w:val="FootnoteReference"/>
          <w:sz w:val="24"/>
          <w:lang w:val="sv-SE"/>
        </w:rPr>
        <w:footnoteRef/>
      </w:r>
      <w:r w:rsidR="007A2700" w:rsidRPr="00A169ED">
        <w:rPr>
          <w:sz w:val="24"/>
          <w:lang w:val="fi-FI"/>
        </w:rPr>
        <w:t xml:space="preserve"> </w:t>
      </w:r>
      <w:r w:rsidR="007A2700" w:rsidRPr="00A169ED">
        <w:rPr>
          <w:sz w:val="24"/>
          <w:lang w:val="fi-FI"/>
        </w:rPr>
        <w:tab/>
      </w:r>
      <w:r w:rsidRPr="00A169ED">
        <w:rPr>
          <w:sz w:val="24"/>
          <w:lang w:val="fi-FI"/>
        </w:rPr>
        <w:t xml:space="preserve">EUT L 433 I, 22.12.2020, s. 28, ELI: </w:t>
      </w:r>
      <w:hyperlink r:id="rId7" w:tooltip="Ger tillgång till detta dokument via dess ELI-URI-adress." w:history="1">
        <w:r w:rsidRPr="00A169ED">
          <w:rPr>
            <w:rStyle w:val="Hyperlink1"/>
            <w:sz w:val="24"/>
            <w:lang w:val="fi-FI"/>
          </w:rPr>
          <w:t>http://data.europa.eu/eli/reg/2020/1222/oj</w:t>
        </w:r>
      </w:hyperlink>
      <w:r w:rsidRPr="00A169ED">
        <w:rPr>
          <w:sz w:val="24"/>
          <w:lang w:val="fi-FI"/>
        </w:rPr>
        <w:t>.</w:t>
      </w:r>
    </w:p>
  </w:footnote>
  <w:footnote w:id="8">
    <w:p w14:paraId="36D23491" w14:textId="34DCD81E" w:rsidR="001C331E" w:rsidRPr="007A2700" w:rsidRDefault="001C331E" w:rsidP="007A2700">
      <w:pPr>
        <w:pStyle w:val="FootnoteText"/>
        <w:ind w:left="567" w:hanging="567"/>
        <w:rPr>
          <w:sz w:val="24"/>
          <w:lang w:val="sv-SE"/>
        </w:rPr>
      </w:pPr>
      <w:r w:rsidRPr="007A2700">
        <w:rPr>
          <w:rStyle w:val="FootnoteReference"/>
          <w:sz w:val="24"/>
          <w:lang w:val="sv-SE"/>
        </w:rPr>
        <w:footnoteRef/>
      </w:r>
      <w:r w:rsidR="007A2700" w:rsidRPr="007A2700">
        <w:rPr>
          <w:sz w:val="24"/>
          <w:lang w:val="sv-SE"/>
        </w:rPr>
        <w:t xml:space="preserve"> </w:t>
      </w:r>
      <w:r w:rsidR="007A2700" w:rsidRPr="007A2700">
        <w:rPr>
          <w:sz w:val="24"/>
          <w:lang w:val="sv-SE"/>
        </w:rPr>
        <w:tab/>
      </w:r>
      <w:r w:rsidRPr="007A2700">
        <w:rPr>
          <w:sz w:val="24"/>
          <w:lang w:val="sv-SE"/>
        </w:rPr>
        <w:t>Rådets förordning (EU, Euratom) 2020/2093 av den 17 december 2020 om den fleråriga budgetramen 2021–2027 (EUT L 433 I, 22.12.2020, s. 11, ELI: </w:t>
      </w:r>
      <w:hyperlink r:id="rId8" w:tooltip="Ger tillgång till detta dokument via dess ELI-URI-adress." w:history="1">
        <w:r w:rsidRPr="007A2700">
          <w:rPr>
            <w:rStyle w:val="Hyperlink1"/>
            <w:sz w:val="24"/>
            <w:lang w:val="sv-SE"/>
          </w:rPr>
          <w:t>http://data.europa.eu/</w:t>
        </w:r>
        <w:proofErr w:type="spellStart"/>
        <w:r w:rsidRPr="007A2700">
          <w:rPr>
            <w:rStyle w:val="Hyperlink1"/>
            <w:sz w:val="24"/>
            <w:lang w:val="sv-SE"/>
          </w:rPr>
          <w:t>eli</w:t>
        </w:r>
        <w:proofErr w:type="spellEnd"/>
        <w:r w:rsidRPr="007A2700">
          <w:rPr>
            <w:rStyle w:val="Hyperlink1"/>
            <w:sz w:val="24"/>
            <w:lang w:val="sv-SE"/>
          </w:rPr>
          <w:t>/</w:t>
        </w:r>
        <w:proofErr w:type="spellStart"/>
        <w:r w:rsidRPr="007A2700">
          <w:rPr>
            <w:rStyle w:val="Hyperlink1"/>
            <w:sz w:val="24"/>
            <w:lang w:val="sv-SE"/>
          </w:rPr>
          <w:t>reg</w:t>
        </w:r>
        <w:proofErr w:type="spellEnd"/>
        <w:r w:rsidRPr="007A2700">
          <w:rPr>
            <w:rStyle w:val="Hyperlink1"/>
            <w:sz w:val="24"/>
            <w:lang w:val="sv-SE"/>
          </w:rPr>
          <w:t>/2020/2093/oj</w:t>
        </w:r>
      </w:hyperlink>
      <w:r w:rsidRPr="007A2700">
        <w:rPr>
          <w:sz w:val="24"/>
          <w:lang w:val="sv-SE"/>
        </w:rPr>
        <w:t>).</w:t>
      </w:r>
    </w:p>
  </w:footnote>
  <w:footnote w:id="9">
    <w:p w14:paraId="393770CC" w14:textId="380C0847" w:rsidR="001C331E" w:rsidRPr="007A2700" w:rsidRDefault="001C331E" w:rsidP="007A2700">
      <w:pPr>
        <w:pStyle w:val="FootnoteText"/>
        <w:ind w:left="567" w:hanging="567"/>
        <w:rPr>
          <w:sz w:val="24"/>
          <w:lang w:val="sv-SE"/>
        </w:rPr>
      </w:pPr>
      <w:r w:rsidRPr="007A2700">
        <w:rPr>
          <w:rStyle w:val="FootnoteReference"/>
          <w:sz w:val="24"/>
          <w:lang w:val="sv-SE"/>
        </w:rPr>
        <w:footnoteRef/>
      </w:r>
      <w:r w:rsidR="007A2700" w:rsidRPr="007A2700">
        <w:rPr>
          <w:sz w:val="24"/>
          <w:lang w:val="sv-SE"/>
        </w:rPr>
        <w:t xml:space="preserve"> </w:t>
      </w:r>
      <w:r w:rsidR="007A2700" w:rsidRPr="007A2700">
        <w:rPr>
          <w:sz w:val="24"/>
          <w:lang w:val="sv-SE"/>
        </w:rPr>
        <w:tab/>
      </w:r>
      <w:r w:rsidRPr="007A2700">
        <w:rPr>
          <w:sz w:val="24"/>
          <w:lang w:val="sv-SE"/>
        </w:rPr>
        <w:t>Rådets förordning (EU, Euratom) 2024/765 av den 29 februari 2024 om ändring av förordning (EU, Euratom) 2020/2093 om den fleråriga budgetramen 2021–2027 (EUT L, 2024/765, 29.2.2024, ELI: </w:t>
      </w:r>
      <w:hyperlink r:id="rId9" w:history="1">
        <w:r w:rsidRPr="007A2700">
          <w:rPr>
            <w:rStyle w:val="Hyperlink1"/>
            <w:sz w:val="24"/>
            <w:lang w:val="sv-SE"/>
          </w:rPr>
          <w:t>http://data.europa.eu/</w:t>
        </w:r>
        <w:proofErr w:type="spellStart"/>
        <w:r w:rsidRPr="007A2700">
          <w:rPr>
            <w:rStyle w:val="Hyperlink1"/>
            <w:sz w:val="24"/>
            <w:lang w:val="sv-SE"/>
          </w:rPr>
          <w:t>eli</w:t>
        </w:r>
        <w:proofErr w:type="spellEnd"/>
        <w:r w:rsidRPr="007A2700">
          <w:rPr>
            <w:rStyle w:val="Hyperlink1"/>
            <w:sz w:val="24"/>
            <w:lang w:val="sv-SE"/>
          </w:rPr>
          <w:t>/</w:t>
        </w:r>
        <w:proofErr w:type="spellStart"/>
        <w:r w:rsidRPr="007A2700">
          <w:rPr>
            <w:rStyle w:val="Hyperlink1"/>
            <w:sz w:val="24"/>
            <w:lang w:val="sv-SE"/>
          </w:rPr>
          <w:t>reg</w:t>
        </w:r>
        <w:proofErr w:type="spellEnd"/>
        <w:r w:rsidRPr="007A2700">
          <w:rPr>
            <w:rStyle w:val="Hyperlink1"/>
            <w:sz w:val="24"/>
            <w:lang w:val="sv-SE"/>
          </w:rPr>
          <w:t>/2024/765/oj</w:t>
        </w:r>
      </w:hyperlink>
      <w:r w:rsidRPr="007A270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A2F0" w14:textId="77777777" w:rsidR="00064002" w:rsidRPr="007A27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C713C" w14:textId="77777777" w:rsidR="00064002" w:rsidRPr="007A27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76AA" w14:textId="77777777" w:rsidR="00064002" w:rsidRPr="007A27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9900985">
    <w:abstractNumId w:val="9"/>
  </w:num>
  <w:num w:numId="2" w16cid:durableId="983313730">
    <w:abstractNumId w:val="9"/>
  </w:num>
  <w:num w:numId="3" w16cid:durableId="1895189916">
    <w:abstractNumId w:val="7"/>
  </w:num>
  <w:num w:numId="4" w16cid:durableId="2139453577">
    <w:abstractNumId w:val="7"/>
  </w:num>
  <w:num w:numId="5" w16cid:durableId="1933514947">
    <w:abstractNumId w:val="6"/>
  </w:num>
  <w:num w:numId="6" w16cid:durableId="1878932111">
    <w:abstractNumId w:val="6"/>
  </w:num>
  <w:num w:numId="7" w16cid:durableId="1293822880">
    <w:abstractNumId w:val="5"/>
  </w:num>
  <w:num w:numId="8" w16cid:durableId="694888914">
    <w:abstractNumId w:val="5"/>
  </w:num>
  <w:num w:numId="9" w16cid:durableId="182403261">
    <w:abstractNumId w:val="4"/>
  </w:num>
  <w:num w:numId="10" w16cid:durableId="796605468">
    <w:abstractNumId w:val="4"/>
  </w:num>
  <w:num w:numId="11" w16cid:durableId="976715400">
    <w:abstractNumId w:val="8"/>
  </w:num>
  <w:num w:numId="12" w16cid:durableId="1629969883">
    <w:abstractNumId w:val="8"/>
  </w:num>
  <w:num w:numId="13" w16cid:durableId="76024676">
    <w:abstractNumId w:val="3"/>
  </w:num>
  <w:num w:numId="14" w16cid:durableId="861625346">
    <w:abstractNumId w:val="3"/>
  </w:num>
  <w:num w:numId="15" w16cid:durableId="1307125343">
    <w:abstractNumId w:val="2"/>
  </w:num>
  <w:num w:numId="16" w16cid:durableId="1638072651">
    <w:abstractNumId w:val="2"/>
  </w:num>
  <w:num w:numId="17" w16cid:durableId="1236890800">
    <w:abstractNumId w:val="1"/>
  </w:num>
  <w:num w:numId="18" w16cid:durableId="1723475945">
    <w:abstractNumId w:val="1"/>
  </w:num>
  <w:num w:numId="19" w16cid:durableId="1694376347">
    <w:abstractNumId w:val="0"/>
  </w:num>
  <w:num w:numId="20" w16cid:durableId="1674066069">
    <w:abstractNumId w:val="0"/>
  </w:num>
  <w:num w:numId="21" w16cid:durableId="1152523005">
    <w:abstractNumId w:val="9"/>
  </w:num>
  <w:num w:numId="22" w16cid:durableId="636573345">
    <w:abstractNumId w:val="7"/>
  </w:num>
  <w:num w:numId="23" w16cid:durableId="1129124750">
    <w:abstractNumId w:val="6"/>
  </w:num>
  <w:num w:numId="24" w16cid:durableId="679547313">
    <w:abstractNumId w:val="5"/>
  </w:num>
  <w:num w:numId="25" w16cid:durableId="1243904557">
    <w:abstractNumId w:val="4"/>
  </w:num>
  <w:num w:numId="26" w16cid:durableId="317462872">
    <w:abstractNumId w:val="8"/>
  </w:num>
  <w:num w:numId="27" w16cid:durableId="2050954536">
    <w:abstractNumId w:val="3"/>
  </w:num>
  <w:num w:numId="28" w16cid:durableId="1565023714">
    <w:abstractNumId w:val="2"/>
  </w:num>
  <w:num w:numId="29" w16cid:durableId="1876772990">
    <w:abstractNumId w:val="1"/>
  </w:num>
  <w:num w:numId="30" w16cid:durableId="1680886408">
    <w:abstractNumId w:val="0"/>
  </w:num>
  <w:num w:numId="31" w16cid:durableId="711534878">
    <w:abstractNumId w:val="9"/>
  </w:num>
  <w:num w:numId="32" w16cid:durableId="1620379328">
    <w:abstractNumId w:val="7"/>
  </w:num>
  <w:num w:numId="33" w16cid:durableId="659192845">
    <w:abstractNumId w:val="6"/>
  </w:num>
  <w:num w:numId="34" w16cid:durableId="691758277">
    <w:abstractNumId w:val="5"/>
  </w:num>
  <w:num w:numId="35" w16cid:durableId="229077346">
    <w:abstractNumId w:val="4"/>
  </w:num>
  <w:num w:numId="36" w16cid:durableId="279604767">
    <w:abstractNumId w:val="8"/>
  </w:num>
  <w:num w:numId="37" w16cid:durableId="483467948">
    <w:abstractNumId w:val="3"/>
  </w:num>
  <w:num w:numId="38" w16cid:durableId="439108044">
    <w:abstractNumId w:val="2"/>
  </w:num>
  <w:num w:numId="39" w16cid:durableId="1282305033">
    <w:abstractNumId w:val="1"/>
  </w:num>
  <w:num w:numId="40" w16cid:durableId="54284035">
    <w:abstractNumId w:val="0"/>
  </w:num>
  <w:num w:numId="41" w16cid:durableId="513420020">
    <w:abstractNumId w:val="10"/>
  </w:num>
  <w:num w:numId="42" w16cid:durableId="496770794">
    <w:abstractNumId w:val="10"/>
  </w:num>
  <w:num w:numId="43" w16cid:durableId="518783338">
    <w:abstractNumId w:val="10"/>
  </w:num>
  <w:num w:numId="44" w16cid:durableId="1913153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SV"/>
    <w:docVar w:name="dvnumam" w:val="0"/>
    <w:docVar w:name="dvpe" w:val="789.086"/>
    <w:docVar w:name="dvrapporteur" w:val="Föredragande: "/>
    <w:docVar w:name="dvtitre" w:val="Europaparlamentets resolution av den xx xx 2026 om förslaget till Europaparlamentets och rådets beslut om utnyttjande av Europeiska fonden för justering för globaliseringseffekter för uppsagda arbetstagare på kommissionens initiativ (EGF/2026/000 TA 2026 – tekniskt bistånd)(COM(2026)0360 – C10-0124/2026 – 2026/0126(BUD))"/>
  </w:docVars>
  <w:rsids>
    <w:rsidRoot w:val="007C69D4"/>
    <w:rsid w:val="00002272"/>
    <w:rsid w:val="00057A81"/>
    <w:rsid w:val="00064002"/>
    <w:rsid w:val="000677B9"/>
    <w:rsid w:val="000831BA"/>
    <w:rsid w:val="000A42CC"/>
    <w:rsid w:val="000E7DD9"/>
    <w:rsid w:val="0010095E"/>
    <w:rsid w:val="00125B37"/>
    <w:rsid w:val="00187494"/>
    <w:rsid w:val="001C331E"/>
    <w:rsid w:val="001F32AE"/>
    <w:rsid w:val="002767FF"/>
    <w:rsid w:val="002B18FE"/>
    <w:rsid w:val="002B5493"/>
    <w:rsid w:val="00343214"/>
    <w:rsid w:val="00361C00"/>
    <w:rsid w:val="00386C00"/>
    <w:rsid w:val="00395FA1"/>
    <w:rsid w:val="003E15D4"/>
    <w:rsid w:val="00411CCE"/>
    <w:rsid w:val="0041666E"/>
    <w:rsid w:val="00421060"/>
    <w:rsid w:val="00471C19"/>
    <w:rsid w:val="00485D75"/>
    <w:rsid w:val="004867E3"/>
    <w:rsid w:val="00494A28"/>
    <w:rsid w:val="004955B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DB0"/>
    <w:rsid w:val="00786EC0"/>
    <w:rsid w:val="007A2700"/>
    <w:rsid w:val="007B3145"/>
    <w:rsid w:val="007C69D4"/>
    <w:rsid w:val="007D1690"/>
    <w:rsid w:val="007E22AD"/>
    <w:rsid w:val="00817416"/>
    <w:rsid w:val="00842779"/>
    <w:rsid w:val="00865F67"/>
    <w:rsid w:val="00881A7B"/>
    <w:rsid w:val="008840E5"/>
    <w:rsid w:val="00887B3E"/>
    <w:rsid w:val="008B16D4"/>
    <w:rsid w:val="008C2AC6"/>
    <w:rsid w:val="00930C23"/>
    <w:rsid w:val="0093193B"/>
    <w:rsid w:val="009509D8"/>
    <w:rsid w:val="00950B64"/>
    <w:rsid w:val="009651C3"/>
    <w:rsid w:val="00977B11"/>
    <w:rsid w:val="00981893"/>
    <w:rsid w:val="00A1687D"/>
    <w:rsid w:val="00A169E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F0"/>
    <w:rsid w:val="00DA7FCD"/>
    <w:rsid w:val="00E365E1"/>
    <w:rsid w:val="00E47208"/>
    <w:rsid w:val="00E820A4"/>
    <w:rsid w:val="00EB006A"/>
    <w:rsid w:val="00EB4772"/>
    <w:rsid w:val="00ED169E"/>
    <w:rsid w:val="00ED4235"/>
    <w:rsid w:val="00F04346"/>
    <w:rsid w:val="00F075DC"/>
    <w:rsid w:val="00F10D1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EC445"/>
  <w15:chartTrackingRefBased/>
  <w15:docId w15:val="{E0650B19-65A0-4316-984A-E185552F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331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C331E"/>
    <w:pPr>
      <w:keepNext/>
      <w:spacing w:after="480"/>
      <w:jc w:val="center"/>
    </w:pPr>
    <w:rPr>
      <w:rFonts w:ascii="Arial" w:hAnsi="Arial" w:cs="Arial"/>
      <w:b/>
    </w:rPr>
  </w:style>
  <w:style w:type="paragraph" w:customStyle="1" w:styleId="NormalHanging12a">
    <w:name w:val="NormalHanging12a"/>
    <w:basedOn w:val="Normal"/>
    <w:link w:val="NormalHanging12aChar"/>
    <w:rsid w:val="001C331E"/>
    <w:pPr>
      <w:spacing w:after="240"/>
      <w:ind w:left="567" w:hanging="567"/>
    </w:pPr>
  </w:style>
  <w:style w:type="paragraph" w:styleId="Header">
    <w:name w:val="header"/>
    <w:basedOn w:val="Normal"/>
    <w:link w:val="HeaderChar"/>
    <w:rsid w:val="001C331E"/>
    <w:pPr>
      <w:tabs>
        <w:tab w:val="center" w:pos="4513"/>
        <w:tab w:val="right" w:pos="9026"/>
      </w:tabs>
    </w:pPr>
  </w:style>
  <w:style w:type="character" w:customStyle="1" w:styleId="HeaderChar">
    <w:name w:val="Header Char"/>
    <w:basedOn w:val="DefaultParagraphFont"/>
    <w:link w:val="Header"/>
    <w:rsid w:val="001C331E"/>
    <w:rPr>
      <w:sz w:val="24"/>
      <w:lang w:val="sv-SE"/>
    </w:rPr>
  </w:style>
  <w:style w:type="paragraph" w:customStyle="1" w:styleId="NormalBold24a">
    <w:name w:val="NormalBold24a"/>
    <w:basedOn w:val="Normal"/>
    <w:rsid w:val="001C331E"/>
    <w:pPr>
      <w:spacing w:after="480"/>
    </w:pPr>
    <w:rPr>
      <w:b/>
      <w:bCs/>
    </w:rPr>
  </w:style>
  <w:style w:type="paragraph" w:customStyle="1" w:styleId="EPFooter">
    <w:name w:val="EPFooter"/>
    <w:basedOn w:val="Normal"/>
    <w:rsid w:val="001C331E"/>
    <w:pPr>
      <w:tabs>
        <w:tab w:val="center" w:pos="4535"/>
        <w:tab w:val="right" w:pos="9071"/>
      </w:tabs>
      <w:spacing w:before="240" w:after="240"/>
    </w:pPr>
    <w:rPr>
      <w:color w:val="010000"/>
      <w:sz w:val="22"/>
    </w:rPr>
  </w:style>
  <w:style w:type="paragraph" w:customStyle="1" w:styleId="EPComma">
    <w:name w:val="EPComma"/>
    <w:basedOn w:val="Normal"/>
    <w:rsid w:val="001C331E"/>
    <w:pPr>
      <w:spacing w:before="480" w:after="240"/>
    </w:pPr>
  </w:style>
  <w:style w:type="character" w:styleId="Hyperlink">
    <w:name w:val="Hyperlink"/>
    <w:basedOn w:val="DefaultParagraphFont"/>
    <w:uiPriority w:val="99"/>
    <w:rsid w:val="001C331E"/>
    <w:rPr>
      <w:color w:val="0563C1" w:themeColor="hyperlink"/>
      <w:u w:val="single"/>
    </w:rPr>
  </w:style>
  <w:style w:type="character" w:customStyle="1" w:styleId="NormalHanging12aChar">
    <w:name w:val="NormalHanging12a Char"/>
    <w:basedOn w:val="DefaultParagraphFont"/>
    <w:link w:val="NormalHanging12a"/>
    <w:locked/>
    <w:rsid w:val="001C331E"/>
    <w:rPr>
      <w:sz w:val="24"/>
      <w:lang w:val="sv-SE"/>
    </w:rPr>
  </w:style>
  <w:style w:type="character" w:customStyle="1" w:styleId="Hyperlink1">
    <w:name w:val="Hyperlink1"/>
    <w:basedOn w:val="DefaultParagraphFont"/>
    <w:uiPriority w:val="99"/>
    <w:unhideWhenUsed/>
    <w:rsid w:val="001C331E"/>
    <w:rPr>
      <w:rFonts w:cs="Times New Roman"/>
      <w:color w:val="0000FF"/>
      <w:u w:val="single"/>
    </w:rPr>
  </w:style>
  <w:style w:type="paragraph" w:styleId="Revision">
    <w:name w:val="Revision"/>
    <w:hidden/>
    <w:uiPriority w:val="99"/>
    <w:semiHidden/>
    <w:rsid w:val="00977B11"/>
    <w:rPr>
      <w:sz w:val="24"/>
      <w:lang w:val="sv-SE"/>
    </w:rPr>
  </w:style>
  <w:style w:type="character" w:styleId="FollowedHyperlink">
    <w:name w:val="FollowedHyperlink"/>
    <w:basedOn w:val="DefaultParagraphFont"/>
    <w:rsid w:val="00777D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1499</Words>
  <Characters>9955</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2026-07-07T11:41:00Z</dcterms:created>
  <dcterms:modified xsi:type="dcterms:W3CDTF">2026-07-07T11:41:00Z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A10-0179/2026</vt:lpwstr>
  </property>
  <property fmtid="{D5CDD505-2E9C-101B-9397-08002B2CF9AE}" pid="4" name="&lt;Type&gt;">
    <vt:lpwstr>RR</vt:lpwstr>
  </property>
</Properties>
</file>