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57E7" w14:paraId="7F7173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F19F1" w14:textId="5D29CE6E" w:rsidR="00751A4A" w:rsidRPr="00D557E7" w:rsidRDefault="002473D4" w:rsidP="0010095E">
            <w:pPr>
              <w:pStyle w:val="EPName"/>
            </w:pPr>
            <w:r w:rsidRPr="00D557E7">
              <w:t>Evropský parlament</w:t>
            </w:r>
          </w:p>
          <w:p w14:paraId="09130C18" w14:textId="77777777" w:rsidR="00751A4A" w:rsidRPr="00D557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57E7">
              <w:t>2024</w:t>
            </w:r>
            <w:r w:rsidR="00817416" w:rsidRPr="00D557E7">
              <w:t>-202</w:t>
            </w:r>
            <w:r w:rsidRPr="00D557E7">
              <w:t>9</w:t>
            </w:r>
          </w:p>
        </w:tc>
        <w:tc>
          <w:tcPr>
            <w:tcW w:w="2268" w:type="dxa"/>
            <w:shd w:val="clear" w:color="auto" w:fill="auto"/>
          </w:tcPr>
          <w:p w14:paraId="3AC3AA85" w14:textId="77777777" w:rsidR="00751A4A" w:rsidRPr="00D557E7" w:rsidRDefault="00187494" w:rsidP="0010095E">
            <w:pPr>
              <w:pStyle w:val="EPLogo"/>
            </w:pPr>
            <w:r w:rsidRPr="00D557E7">
              <w:rPr>
                <w:noProof/>
                <w:lang w:eastAsia="ja-JP"/>
              </w:rPr>
              <w:drawing>
                <wp:inline distT="0" distB="0" distL="0" distR="0" wp14:anchorId="2DC0AC14" wp14:editId="539649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558BE" w14:textId="77777777" w:rsidR="00D058B8" w:rsidRPr="00D557E7" w:rsidRDefault="00D058B8" w:rsidP="004C5D52">
      <w:pPr>
        <w:pStyle w:val="LineTop"/>
      </w:pPr>
    </w:p>
    <w:p w14:paraId="36DA4ADD" w14:textId="04A4E5C9" w:rsidR="00680577" w:rsidRPr="00D557E7" w:rsidRDefault="002473D4" w:rsidP="00680577">
      <w:pPr>
        <w:pStyle w:val="EPBodyTA1"/>
      </w:pPr>
      <w:r w:rsidRPr="00D557E7">
        <w:t>PŘIJATÉ TEXTY</w:t>
      </w:r>
    </w:p>
    <w:p w14:paraId="6F76D1F4" w14:textId="77777777" w:rsidR="00D058B8" w:rsidRPr="00D557E7" w:rsidRDefault="00D058B8" w:rsidP="00D058B8">
      <w:pPr>
        <w:pStyle w:val="LineBottom"/>
      </w:pPr>
    </w:p>
    <w:p w14:paraId="1F8509D6" w14:textId="006E996D" w:rsidR="002473D4" w:rsidRPr="00D557E7" w:rsidRDefault="002473D4" w:rsidP="002473D4">
      <w:pPr>
        <w:pStyle w:val="ATHeading1"/>
      </w:pPr>
      <w:bookmarkStart w:id="0" w:name="TANumber"/>
      <w:r w:rsidRPr="00D557E7">
        <w:t>P10_</w:t>
      </w:r>
      <w:proofErr w:type="gramStart"/>
      <w:r w:rsidRPr="00D557E7">
        <w:t>TA(</w:t>
      </w:r>
      <w:proofErr w:type="gramEnd"/>
      <w:r w:rsidRPr="00D557E7">
        <w:t>2026)0</w:t>
      </w:r>
      <w:r w:rsidR="00A536EF">
        <w:t>244</w:t>
      </w:r>
      <w:bookmarkEnd w:id="0"/>
    </w:p>
    <w:p w14:paraId="62191E08" w14:textId="1EDC9603" w:rsidR="002473D4" w:rsidRPr="00D557E7" w:rsidRDefault="000758F8" w:rsidP="000758F8">
      <w:pPr>
        <w:pStyle w:val="ATHeading2"/>
      </w:pPr>
      <w:r>
        <w:t>Uvolnění prostředků z Fondu solidarity Evropské unie: pomoc Rumunsku, Kypru a Španělsku v souvislosti s přírodními katastrofami v roce 2025</w:t>
      </w:r>
    </w:p>
    <w:p w14:paraId="49EC8AB6" w14:textId="77777777" w:rsidR="002473D4" w:rsidRPr="00D557E7" w:rsidRDefault="002473D4" w:rsidP="002473D4">
      <w:pPr>
        <w:rPr>
          <w:i/>
          <w:vanish/>
        </w:rPr>
      </w:pPr>
      <w:r w:rsidRPr="00D557E7">
        <w:rPr>
          <w:i/>
        </w:rPr>
        <w:fldChar w:fldCharType="begin"/>
      </w:r>
      <w:r w:rsidRPr="00D557E7">
        <w:rPr>
          <w:i/>
        </w:rPr>
        <w:instrText xml:space="preserve"> TC"(</w:instrText>
      </w:r>
      <w:bookmarkStart w:id="1" w:name="DocNumber"/>
      <w:r w:rsidRPr="00D557E7">
        <w:rPr>
          <w:i/>
        </w:rPr>
        <w:instrText>A10-0178/2026</w:instrText>
      </w:r>
      <w:bookmarkEnd w:id="1"/>
      <w:r w:rsidRPr="00D557E7">
        <w:rPr>
          <w:i/>
        </w:rPr>
        <w:instrText xml:space="preserve"> - Zpravodaj: Bogdan </w:instrText>
      </w:r>
      <w:proofErr w:type="spellStart"/>
      <w:r w:rsidRPr="00D557E7">
        <w:rPr>
          <w:i/>
        </w:rPr>
        <w:instrText>Rzońca</w:instrText>
      </w:r>
      <w:proofErr w:type="spellEnd"/>
      <w:r w:rsidRPr="00D557E7">
        <w:rPr>
          <w:i/>
        </w:rPr>
        <w:instrText xml:space="preserve">)"\l3 \n&gt; \* MERGEFORMAT </w:instrText>
      </w:r>
      <w:r w:rsidRPr="00D557E7">
        <w:rPr>
          <w:i/>
        </w:rPr>
        <w:fldChar w:fldCharType="end"/>
      </w:r>
    </w:p>
    <w:p w14:paraId="73414221" w14:textId="77777777" w:rsidR="002473D4" w:rsidRPr="00D557E7" w:rsidRDefault="002473D4" w:rsidP="002473D4">
      <w:pPr>
        <w:rPr>
          <w:vanish/>
        </w:rPr>
      </w:pPr>
      <w:bookmarkStart w:id="2" w:name="Commission"/>
      <w:r w:rsidRPr="00D557E7">
        <w:rPr>
          <w:vanish/>
        </w:rPr>
        <w:t>Rozpočtový výbor</w:t>
      </w:r>
      <w:bookmarkEnd w:id="2"/>
    </w:p>
    <w:p w14:paraId="45F890ED" w14:textId="77777777" w:rsidR="002473D4" w:rsidRPr="00D557E7" w:rsidRDefault="002473D4" w:rsidP="002473D4">
      <w:pPr>
        <w:rPr>
          <w:vanish/>
        </w:rPr>
      </w:pPr>
      <w:bookmarkStart w:id="3" w:name="PE"/>
      <w:r w:rsidRPr="00D557E7">
        <w:rPr>
          <w:vanish/>
        </w:rPr>
        <w:t>PE789.090</w:t>
      </w:r>
      <w:bookmarkEnd w:id="3"/>
    </w:p>
    <w:p w14:paraId="55FF0C57" w14:textId="6D0B0E5E" w:rsidR="002473D4" w:rsidRPr="00D557E7" w:rsidRDefault="002473D4" w:rsidP="002473D4">
      <w:pPr>
        <w:pStyle w:val="ATHeading3"/>
      </w:pPr>
      <w:bookmarkStart w:id="4" w:name="Sujet"/>
      <w:r w:rsidRPr="00D557E7">
        <w:t>Usnesení Evropského parlamentu ze dne</w:t>
      </w:r>
      <w:r w:rsidR="00B14578">
        <w:t xml:space="preserve"> </w:t>
      </w:r>
      <w:r w:rsidR="00A536EF">
        <w:t>7</w:t>
      </w:r>
      <w:r w:rsidR="00B14578">
        <w:t>. července</w:t>
      </w:r>
      <w:r w:rsidRPr="00D557E7">
        <w:t xml:space="preserve"> 2026 o návrhu rozhodnutí Evropského parlamentu a Rady o uvolnění prostředků z Fondu solidarity Evropské unie za účelem poskytnutí pomoci Rumunsku v souvislosti s povodněmi na konci května 2025, Kypru po přírodních požárech v červenci 2025 a Španělsku po přírodních požárech v srpnu 2025</w:t>
      </w:r>
      <w:bookmarkEnd w:id="4"/>
      <w:r w:rsidRPr="00D557E7">
        <w:t xml:space="preserve"> </w:t>
      </w:r>
      <w:bookmarkStart w:id="5" w:name="References"/>
      <w:r w:rsidRPr="00D557E7">
        <w:t>(</w:t>
      </w:r>
      <w:proofErr w:type="gramStart"/>
      <w:r w:rsidRPr="00D557E7">
        <w:t>COM(</w:t>
      </w:r>
      <w:proofErr w:type="gramEnd"/>
      <w:r w:rsidRPr="00D557E7">
        <w:t>2026)1002 – C10-0119/2026 – 2026/0120(BUD))</w:t>
      </w:r>
      <w:bookmarkEnd w:id="5"/>
    </w:p>
    <w:p w14:paraId="5FB107DE" w14:textId="77777777" w:rsidR="00294B78" w:rsidRPr="00D557E7" w:rsidRDefault="00294B78" w:rsidP="00294B78">
      <w:pPr>
        <w:pStyle w:val="EPComma"/>
        <w:rPr>
          <w:noProof/>
        </w:rPr>
      </w:pPr>
      <w:r w:rsidRPr="00D557E7">
        <w:rPr>
          <w:i/>
        </w:rPr>
        <w:t>Evropský parlament,</w:t>
      </w:r>
    </w:p>
    <w:p w14:paraId="2587B4F4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návrh Komise předložený Evropskému parlamentu a Radě (</w:t>
      </w:r>
      <w:proofErr w:type="gramStart"/>
      <w:r w:rsidRPr="00D557E7">
        <w:t>COM(</w:t>
      </w:r>
      <w:proofErr w:type="gramEnd"/>
      <w:r w:rsidRPr="00D557E7">
        <w:t>2026)1002 – C10</w:t>
      </w:r>
      <w:r w:rsidRPr="00D557E7">
        <w:noBreakHyphen/>
        <w:t>0119/2026),</w:t>
      </w:r>
    </w:p>
    <w:p w14:paraId="6235BE4B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nařízení Rady (ES) č. 2012/2002 ze dne 11. listopadu 2002 o zřízení Fondu solidarity Evropské unie</w:t>
      </w:r>
      <w:r w:rsidRPr="00D557E7">
        <w:rPr>
          <w:rStyle w:val="FootnoteReference"/>
        </w:rPr>
        <w:footnoteReference w:id="1"/>
      </w:r>
      <w:r w:rsidRPr="00D557E7">
        <w:t>,</w:t>
      </w:r>
    </w:p>
    <w:p w14:paraId="42D2324A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nařízení Rady (EU, Euratom) 2020/2093 ze dne 17. prosince 2020, kterým se stanoví víceletý finanční rámec na období 2021–2027</w:t>
      </w:r>
      <w:r w:rsidRPr="00D557E7">
        <w:rPr>
          <w:rStyle w:val="FootnoteReference"/>
          <w:noProof/>
        </w:rPr>
        <w:footnoteReference w:id="2"/>
      </w:r>
      <w:r w:rsidRPr="00D557E7">
        <w:t>, a zejména na článek 9 tohoto nařízení,</w:t>
      </w:r>
    </w:p>
    <w:p w14:paraId="14E02211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D557E7">
        <w:rPr>
          <w:noProof/>
          <w:vertAlign w:val="superscript"/>
        </w:rPr>
        <w:footnoteReference w:id="3"/>
      </w:r>
      <w:r w:rsidRPr="00D557E7">
        <w:t xml:space="preserve">, a zejména na článek 10 této dohody, </w:t>
      </w:r>
    </w:p>
    <w:p w14:paraId="7587B034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 ohledem na nařízení Evropského parlamentu a Rady (EU) 2021/1058 ze dne 24. června 2021 o Evropském fondu pro regionální rozvoj a o Fondu soudržnosti</w:t>
      </w:r>
      <w:r w:rsidRPr="00D557E7">
        <w:rPr>
          <w:noProof/>
          <w:vertAlign w:val="superscript"/>
        </w:rPr>
        <w:footnoteReference w:id="4"/>
      </w:r>
      <w:r w:rsidRPr="00D557E7">
        <w:t xml:space="preserve">, </w:t>
      </w:r>
    </w:p>
    <w:p w14:paraId="717FA669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 xml:space="preserve">s ohledem na nařízení Evropského parlamentu a Rady (EU) 2021/1057 ze dne 24. </w:t>
      </w:r>
      <w:r w:rsidRPr="00D557E7">
        <w:lastRenderedPageBreak/>
        <w:t>června 2021, kterým se zřizuje Evropský sociální fond plus (ESF+)</w:t>
      </w:r>
      <w:r w:rsidRPr="00D557E7">
        <w:rPr>
          <w:noProof/>
          <w:vertAlign w:val="superscript"/>
        </w:rPr>
        <w:footnoteReference w:id="5"/>
      </w:r>
      <w:r w:rsidRPr="00D557E7">
        <w:t xml:space="preserve">, </w:t>
      </w:r>
    </w:p>
    <w:p w14:paraId="491FFD29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D557E7">
        <w:rPr>
          <w:rStyle w:val="FootnoteReference"/>
          <w:noProof/>
        </w:rPr>
        <w:footnoteReference w:id="6"/>
      </w:r>
      <w:r w:rsidRPr="00D557E7">
        <w:t>,</w:t>
      </w:r>
    </w:p>
    <w:p w14:paraId="6B3FE0D6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své usnesení ze dne 17. prosince 2024 o návrhu nařízení Evropského parlamentu a Rady RESTORE – Regionální mimořádná podpora na rekonstrukci, kterým se mění nařízení (EU) 2021/1058 a nařízení (EU) 2021/1057</w:t>
      </w:r>
      <w:r w:rsidRPr="00D557E7">
        <w:rPr>
          <w:rStyle w:val="FootnoteReference"/>
          <w:noProof/>
        </w:rPr>
        <w:footnoteReference w:id="7"/>
      </w:r>
      <w:r w:rsidRPr="00D557E7">
        <w:t>, a zejména na rozpočtové posouzení, které je k němu připojeno,</w:t>
      </w:r>
    </w:p>
    <w:p w14:paraId="0CA174DF" w14:textId="77777777" w:rsidR="00294B78" w:rsidRPr="00D557E7" w:rsidRDefault="00294B78" w:rsidP="00294B78">
      <w:pPr>
        <w:pStyle w:val="NormalHanging12a"/>
        <w:rPr>
          <w:noProof/>
        </w:rPr>
      </w:pPr>
      <w:r w:rsidRPr="00D557E7">
        <w:t>–</w:t>
      </w:r>
      <w:r w:rsidRPr="00D557E7">
        <w:tab/>
        <w:t>s ohledem na zprávu agentury EEA č. 1/2024 – Evropské posouzení klimatických rizik (EUCRA)</w:t>
      </w:r>
      <w:r w:rsidRPr="00D557E7">
        <w:rPr>
          <w:rStyle w:val="FootnoteReference"/>
          <w:noProof/>
        </w:rPr>
        <w:footnoteReference w:id="8"/>
      </w:r>
      <w:r w:rsidRPr="00D557E7">
        <w:t>,</w:t>
      </w:r>
    </w:p>
    <w:p w14:paraId="290D3DB2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A.</w:t>
      </w:r>
      <w:r w:rsidRPr="00D557E7">
        <w:tab/>
        <w:t xml:space="preserve">vzhledem k tomu, že mezi 26. květnem a začátkem června 2025 zasáhly Rumunsko silné deště, které způsobily rozsáhlé povodně v rumunských regionech Centru, Sud </w:t>
      </w:r>
      <w:proofErr w:type="spellStart"/>
      <w:r w:rsidRPr="00D557E7">
        <w:t>Muntenia</w:t>
      </w:r>
      <w:proofErr w:type="spellEnd"/>
      <w:r w:rsidRPr="00D557E7">
        <w:t xml:space="preserve"> a </w:t>
      </w:r>
      <w:proofErr w:type="spellStart"/>
      <w:r w:rsidRPr="00D557E7">
        <w:t>Nord</w:t>
      </w:r>
      <w:proofErr w:type="spellEnd"/>
      <w:r w:rsidRPr="00D557E7">
        <w:t xml:space="preserve"> </w:t>
      </w:r>
      <w:proofErr w:type="spellStart"/>
      <w:r w:rsidRPr="00D557E7">
        <w:t>Est</w:t>
      </w:r>
      <w:proofErr w:type="spellEnd"/>
      <w:r w:rsidRPr="00D557E7">
        <w:t xml:space="preserve">, vedly k celkovým přímým škodám odhadovaným Komisí na 573,59 milionu EUR a postihly kritickou infrastrukturu, veřejné služby a tisíce domácností; vzhledem k tomu, že povodně způsobily rozsáhlé škody v solném dole </w:t>
      </w:r>
      <w:proofErr w:type="spellStart"/>
      <w:r w:rsidRPr="00D557E7">
        <w:t>Praid</w:t>
      </w:r>
      <w:proofErr w:type="spellEnd"/>
      <w:r w:rsidRPr="00D557E7">
        <w:t xml:space="preserve"> a související hydrotechnické infrastruktuře;</w:t>
      </w:r>
    </w:p>
    <w:p w14:paraId="7C048F5B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B.</w:t>
      </w:r>
      <w:r w:rsidRPr="00D557E7">
        <w:tab/>
        <w:t xml:space="preserve">vzhledem k tomu, že v červenci 2025 byl Kypr zasažen bezprecedentními přírodními požáry v regionech </w:t>
      </w:r>
      <w:proofErr w:type="spellStart"/>
      <w:r w:rsidRPr="00D557E7">
        <w:t>Limassol</w:t>
      </w:r>
      <w:proofErr w:type="spellEnd"/>
      <w:r w:rsidRPr="00D557E7">
        <w:t xml:space="preserve"> a </w:t>
      </w:r>
      <w:proofErr w:type="spellStart"/>
      <w:r w:rsidRPr="00D557E7">
        <w:t>Pafos</w:t>
      </w:r>
      <w:proofErr w:type="spellEnd"/>
      <w:r w:rsidRPr="00D557E7">
        <w:t xml:space="preserve"> v důsledku dlouhotrvajícího sucha, extrémních vln veder a silných větrů, což vedlo k celkovým přímým škodám odhadovaným Komisí na 252,68 milionu EUR; vzhledem k tomu, že požáry postihly tisíce obyvatel, zničily téměř 900 soukromých nemovitostí a způsobily nejméně 2 úmrtí;</w:t>
      </w:r>
    </w:p>
    <w:p w14:paraId="55FC9104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C.</w:t>
      </w:r>
      <w:r w:rsidRPr="00D557E7">
        <w:tab/>
        <w:t>vzhledem k tomu, že v srpnu 2025 Španělsko utrpělo třetí vlnu závažných přírodních požárů, přičemž celkové přímé škody odhaduje Komise na 4,32 miliardy EUR; vzhledem k tomu, že požáry postihly 16 autonomních oblastí, způsobily velké environmentální, sociální a hospodářské škody a vedly k nejméně 8 úmrtím;</w:t>
      </w:r>
    </w:p>
    <w:p w14:paraId="55542323" w14:textId="77777777" w:rsidR="00294B78" w:rsidRPr="00D557E7" w:rsidRDefault="00294B78" w:rsidP="00294B78">
      <w:pPr>
        <w:spacing w:after="240"/>
        <w:ind w:left="567" w:hanging="567"/>
        <w:rPr>
          <w:noProof/>
          <w:szCs w:val="24"/>
        </w:rPr>
      </w:pPr>
      <w:r w:rsidRPr="00D557E7">
        <w:t>D.</w:t>
      </w:r>
      <w:r w:rsidRPr="00D557E7">
        <w:tab/>
        <w:t>vzhledem k tomu, že rostoucí závažnost a četnost povodní a přírodních požárů ve všech členských státech odráží zrychlující se dopady změny klimatu, což vyžaduje posílená opatření Unie v oblasti přizpůsobení, prevence a odolnosti;</w:t>
      </w:r>
    </w:p>
    <w:p w14:paraId="17D4EA02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bookmarkStart w:id="6" w:name="_Hlk230861495"/>
      <w:r w:rsidRPr="00D557E7">
        <w:t>1.</w:t>
      </w:r>
      <w:r w:rsidRPr="00D557E7">
        <w:tab/>
        <w:t>vyjadřuje hlubokou solidaritu se všemi oběťmi, jejich rodinami a všemi osobami postiženými povodněmi v Rumunsku na konci května a na začátku června 2025, jakož i přírodními požáry na Kypru v červenci 2025 a ve Španělsku v srpnu 2025, a s vnitrostátními, regionálními a místními orgány, které se podílely na poskytování pomoci;</w:t>
      </w:r>
    </w:p>
    <w:bookmarkEnd w:id="6"/>
    <w:p w14:paraId="5E21FE9B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2.</w:t>
      </w:r>
      <w:r w:rsidRPr="00D557E7">
        <w:tab/>
        <w:t xml:space="preserve">vítá toto rozhodnutí jako hmatatelnou a viditelnou formu solidarity Unie s občany a regiony postiženými povodněmi a přírodními požáry v Rumunsku, na Kypru a ve </w:t>
      </w:r>
      <w:r w:rsidRPr="00D557E7">
        <w:lastRenderedPageBreak/>
        <w:t>Španělsku;</w:t>
      </w:r>
    </w:p>
    <w:p w14:paraId="59315CC5" w14:textId="77777777" w:rsidR="00294B78" w:rsidRPr="00D557E7" w:rsidRDefault="00294B78" w:rsidP="00294B78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557E7">
        <w:t>3.</w:t>
      </w:r>
      <w:r w:rsidRPr="00D557E7">
        <w:tab/>
        <w:t>připomíná, že je důležité informovat veřejnost o reálných přínosech Fondu solidarity Evropské unie (EUSF) a dále zvyšovat povědomí občanů o nástrojích a programech Unie v členských státech a v zemích zapojených do přístupových jednání s Evropskou unií, jakož i o evropské solidaritě během krizí, zejména v postižených oblastech;</w:t>
      </w:r>
    </w:p>
    <w:p w14:paraId="55C0D0F3" w14:textId="77777777" w:rsidR="00294B78" w:rsidRPr="00D557E7" w:rsidRDefault="00294B78" w:rsidP="00294B78">
      <w:pPr>
        <w:spacing w:after="240"/>
        <w:ind w:left="567" w:hanging="567"/>
        <w:rPr>
          <w:bCs/>
          <w:iCs/>
          <w:noProof/>
        </w:rPr>
      </w:pPr>
      <w:r w:rsidRPr="00D557E7">
        <w:t>4.</w:t>
      </w:r>
      <w:r w:rsidRPr="00D557E7">
        <w:tab/>
        <w:t>připomíná, že Fond solidarity Evropské unie (EUSF) má omezený rozpočet a nelze jej považovat za jediný nástroj pro řešení závažných přírodních katastrof; vyzývá proto k posouzení finanční kapacity rozpočtu Unie; zdůrazňuje, že je třeba urychlit a zjednodušit všechny jeho postupy, aby se pomoc dostala do postižených oblastí co nejrychleji;</w:t>
      </w:r>
    </w:p>
    <w:p w14:paraId="611CDCE2" w14:textId="77777777" w:rsidR="00294B78" w:rsidRPr="00D557E7" w:rsidRDefault="00294B78" w:rsidP="00294B78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557E7">
        <w:t>5.</w:t>
      </w:r>
      <w:r w:rsidRPr="00D557E7">
        <w:tab/>
        <w:t>upozorňuje na rostoucí počet závažných, ničivých a smrtících přírodních katastrof v Evropě a vyzývá členské státy a Komisi, aby investovaly do opatření na zmírnění změny klimatu a do adaptačních opatření s cílem zabránit lidským a hospodářským ztrátám; vyzývá členské státy, aby vzaly v úvahu, že klimatická rizika postihují v důsledku socioekonomických faktorů mnohem tvrději zranitelné skupiny obyvatelstva; konstatuje, že členské státy by měly upřednostňovat opatření na obnovu s cílem podpořit postižené obyvatelstvo, zejména zranitelné komunity, aby jim byl během obnovy zajištěn přístup k odpovídajícímu bydlení a základním službám;</w:t>
      </w:r>
      <w:r w:rsidRPr="00D557E7">
        <w:rPr>
          <w:b/>
          <w:i/>
        </w:rPr>
        <w:t xml:space="preserve"> </w:t>
      </w:r>
      <w:r w:rsidRPr="00D557E7">
        <w:t>žádá, aby se usilovalo o to, aby se pomoc z EUSF rychle dostala ke konečným příjemcům, včetně podniků, malých a středních podniků, rodin a postižených občanů, a i na rekonstrukci infrastruktury a nápravu materiálních škod, a to vše s odpovídajícím posouzením dopadů a vhodnými kontrolními mechanismy;</w:t>
      </w:r>
      <w:r w:rsidRPr="00D557E7">
        <w:rPr>
          <w:b/>
          <w:i/>
        </w:rPr>
        <w:t xml:space="preserve"> </w:t>
      </w:r>
      <w:r w:rsidRPr="00D557E7">
        <w:t>zdůrazňuje význam obnovy a posílení kritické infrastruktury, včetně dopravních, energetických, vodohospodářských, zdravotnických a komunikačních sítí, s cílem zvýšit odolnost postižených regionů a snížit zranitelnost vůči budoucím katastrofám;</w:t>
      </w:r>
    </w:p>
    <w:p w14:paraId="2B52A571" w14:textId="77777777" w:rsidR="00294B78" w:rsidRPr="00D557E7" w:rsidRDefault="00294B78" w:rsidP="00294B78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557E7">
        <w:t>6.</w:t>
      </w:r>
      <w:r w:rsidRPr="00D557E7">
        <w:tab/>
        <w:t xml:space="preserve">zdůrazňuje, že EUSF je pouze nápravným nástrojem a že adaptační a </w:t>
      </w:r>
      <w:proofErr w:type="spellStart"/>
      <w:r w:rsidRPr="00D557E7">
        <w:t>mitigační</w:t>
      </w:r>
      <w:proofErr w:type="spellEnd"/>
      <w:r w:rsidRPr="00D557E7">
        <w:t xml:space="preserve"> snahy Unie v oblasti klimatu by měly být spojeny i s podporou evropských a vnitrostátních politik zaměřených na předcházení přírodním katastrofám; zdůrazňuje, že zpráva agentury EEA č. 1/2024 „Evropské posouzení klimatických rizik“ zdůrazňuje, že je třeba přijmout opatření v odpověď na zjištěná rizika; vyzývá členské státy a Komisi, aby nadále usilovaly o posílení odolnosti a zlepšení připravenosti a přispívaly k provádění závazků podle Pařížské dohody a zároveň aby v celé Unii zajistily účinnou prevenci katastrof, řízení rizik a kapacity civilní ochrany; rovněž upozorňuje na nutnost zavádět preventivní opatření, a to nejen s cílem zmírnit budoucí škody, ale rovněž zabránit zhoršení rizikových faktorů v důsledku ničivých událostí, jako jsou povodně, přírodní požáry, sesuvy půdy nebo vysychání jezer a řek; podtrhuje význam přiměřené flexibility mezi jednotlivými programy;</w:t>
      </w:r>
      <w:bookmarkStart w:id="7" w:name="_Hlk233120310"/>
      <w:r w:rsidRPr="00D557E7">
        <w:t xml:space="preserve"> zdůrazňuje, že flexibilita mezi různými programy financování musí být doprovázena přísnou rozpočtovou kontrolou, aby se zabránilo zdvojování financování nebo plýtvání finančními prostředky, a musí plně dodržovat zásady rozpočtové účinnosti a cílené ukazatele výkonnosti;</w:t>
      </w:r>
      <w:bookmarkEnd w:id="7"/>
    </w:p>
    <w:p w14:paraId="1CA1A3A3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7.</w:t>
      </w:r>
      <w:r w:rsidRPr="00D557E7">
        <w:tab/>
        <w:t>připomíná, že iniciativa RESTORE</w:t>
      </w:r>
      <w:r w:rsidRPr="00D557E7">
        <w:rPr>
          <w:rStyle w:val="FootnoteReference"/>
          <w:noProof/>
        </w:rPr>
        <w:footnoteReference w:id="9"/>
      </w:r>
      <w:r w:rsidRPr="00D557E7">
        <w:t xml:space="preserve"> a zvláštní opatření v rámci Evropského zemědělského fondu pro rozvoj venkova (EZFRV)</w:t>
      </w:r>
      <w:r w:rsidRPr="00D557E7">
        <w:rPr>
          <w:rStyle w:val="FootnoteReference"/>
          <w:noProof/>
        </w:rPr>
        <w:footnoteReference w:id="10"/>
      </w:r>
      <w:r w:rsidRPr="00D557E7">
        <w:t xml:space="preserve"> poskytují členským státům postiženým přírodními katastrofami dodatečnou pomoc prostřednictvím větší flexibility při využívání finančních prostředků; zdůrazňuje, že členské státy by měly tyto </w:t>
      </w:r>
      <w:r w:rsidRPr="00D557E7">
        <w:lastRenderedPageBreak/>
        <w:t>příležitosti využívat;</w:t>
      </w:r>
    </w:p>
    <w:p w14:paraId="000F77EA" w14:textId="77777777" w:rsidR="00294B78" w:rsidRPr="00D557E7" w:rsidRDefault="00294B78" w:rsidP="00294B78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D557E7">
        <w:t>8.</w:t>
      </w:r>
      <w:r w:rsidRPr="00D557E7">
        <w:tab/>
        <w:t>připomíná, že je nutná účinná součinnost s dalšími politikami a programy Unie, a zdůrazňuje, že členské státy by měly co nejlépe využívat možností financování, zejména z Evropského fondu pro regionální rozvoj, Evropského sociálního fondu+ a programů rozvoje venkova; vyzývá Komisi, aby s náležitou naléhavostí posoudila veškeré odůvodněné žádosti členských států o to, aby byly v rámci jejich národních plánů pro oživení a odolnost přerozděleny finanční prostředky na pomoc při přírodních katastrofách, a to v souladu s pravidly stanovenými v nařízení Evropského parlamentu a Rady (EU) 2021/241</w:t>
      </w:r>
      <w:r w:rsidRPr="00D557E7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D557E7">
        <w:t>; naléhavě vyzývá příslušné orgány, aby zajistily vhodnou a nezbytnou koordinaci mezi celostátní, regionální a místní úrovní, tak aby byly finanční prostředky ve všech dotčených lokalitách rozdělovány transparentně, spravedlivě a bez svévole;</w:t>
      </w:r>
    </w:p>
    <w:p w14:paraId="6C77FB5C" w14:textId="77777777" w:rsidR="00294B78" w:rsidRPr="00D557E7" w:rsidRDefault="00294B78" w:rsidP="00294B78">
      <w:pPr>
        <w:spacing w:after="240"/>
        <w:ind w:left="567" w:hanging="567"/>
        <w:rPr>
          <w:noProof/>
        </w:rPr>
      </w:pPr>
      <w:r w:rsidRPr="00D557E7">
        <w:t>9.</w:t>
      </w:r>
      <w:r w:rsidRPr="00D557E7">
        <w:tab/>
        <w:t>zdůrazňuje, že pomoc poskytovaná v rámci EUSF by neměla být na úkor unijního financování, které členské státy získávají v rámci jiných politik nebo programů Unie; připomíná, že členské státy mohou poskytovat státní podporu v souladu s platnými pravidly Unie, zejména zemědělským podnikům, které utrpěly škody v důsledku přírodních katastrof;</w:t>
      </w:r>
    </w:p>
    <w:p w14:paraId="51F2F0D5" w14:textId="77777777" w:rsidR="00294B78" w:rsidRPr="00D557E7" w:rsidRDefault="00294B78" w:rsidP="00294B78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557E7">
        <w:t>10.</w:t>
      </w:r>
      <w:r w:rsidRPr="00D557E7">
        <w:tab/>
        <w:t>připomíná důležitost rychlého a důkladného posouzení škod, které náležitě zohlední hospodářské důsledky, a vyzývá ke zvýšenému operativnímu úsilí s cílem zkrátit průměrnou dobu uvolňování zálohových plateb a zároveň zajistit ochranu rozpočtu Unie; v této souvislosti zdůrazňuje potřebu naprosté transparentnosti, účinného monitorování a následné kontroly využívání zdrojů EUSF, má-li být zajištěno, aby se finanční prostředky Unie dostaly k postiženým regionům a obyvatelům; naléhavě vyzývá Komisi, aby rovněž prozkoumala všechny možné způsoby, jak uvolňování prostředků z EUSF urychlit;</w:t>
      </w:r>
    </w:p>
    <w:p w14:paraId="700DFEF5" w14:textId="77777777" w:rsidR="00294B78" w:rsidRDefault="00294B78" w:rsidP="00294B78">
      <w:pPr>
        <w:spacing w:after="240"/>
        <w:ind w:left="567" w:hanging="567"/>
      </w:pPr>
      <w:r w:rsidRPr="00D557E7">
        <w:t>11.</w:t>
      </w:r>
      <w:r w:rsidRPr="00D557E7">
        <w:tab/>
        <w:t>zdůrazňuje, že je naléhavě nutné co nejrychleji uvolnit prostřednictvím EUSF okamžitou finanční pomoc postiženým občanům, rodinám, podnikům a místním komunitám, aby se zajistilo, že se podpora dostane do Rumunska, na Kypr a do Španělska včas; dále Komisi naléhavě vyzývá, aby prozkoumala všechny možné způsoby, jak urychlit uvolnění prostředků z EUSF, zejména změnou stávajících pravidel a poskytnutím vyšších záloh kandidátským zemím; zdůrazňuje, že je důležité zkrátit dobu mezi podáním žádosti o pomoc z EUSF a rozhodnutím o financování; zdůrazňuje, že je třeba zjednodušit a urychlit vnitřní postupy, aniž by byla narušena institucionální rovnováha, zejména práva Evropského parlamentu jako jedné složky rozpočtového orgánu;</w:t>
      </w:r>
    </w:p>
    <w:p w14:paraId="58CD4727" w14:textId="3C5D5192" w:rsidR="00A536EF" w:rsidRPr="00D557E7" w:rsidRDefault="00A536EF" w:rsidP="00294B78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rPr>
          <w:noProof/>
          <w:kern w:val="2"/>
          <w:szCs w:val="24"/>
          <w14:ligatures w14:val="standardContextual"/>
        </w:rPr>
        <w:t>12</w:t>
      </w:r>
      <w:r w:rsidRPr="00A536EF">
        <w:rPr>
          <w:noProof/>
          <w:kern w:val="2"/>
          <w:szCs w:val="24"/>
          <w14:ligatures w14:val="standardContextual"/>
        </w:rPr>
        <w:t>.</w:t>
      </w:r>
      <w:r w:rsidRPr="00A536EF">
        <w:rPr>
          <w:noProof/>
          <w:kern w:val="2"/>
          <w:szCs w:val="24"/>
          <w14:ligatures w14:val="standardContextual"/>
        </w:rPr>
        <w:tab/>
        <w:t xml:space="preserve">vyzývá Komisi, aby úzce spolupracovala s rumunskými orgány s cílem podpořit rychlou rekonstrukci solného dolu Praid a dotčených okolních komunit, přičemž uznává jeho jedinečný strategický význam pro hospodářskou odolnost regionu, zaměstnanost, cestovní ruch, veřejné zdraví, kritickou a vodohospodářskou infrastrukturu; vyzývá v této souvislosti k plné mobilizaci všech příslušných finančních nástrojů Unie a k využití maximální dostupné flexibility podle stávajících pravidel Unie s cílem urychlit oživení, obnovit základní služby, podpořit místní ekonomiku a zvýšit dlouhodobou odolnost regionu vůči budoucím rizikům souvisejícím s povodněmi; vzhledem k rozsahu výzev a </w:t>
      </w:r>
      <w:r w:rsidRPr="00A536EF">
        <w:rPr>
          <w:noProof/>
          <w:kern w:val="2"/>
          <w:szCs w:val="24"/>
          <w14:ligatures w14:val="standardContextual"/>
        </w:rPr>
        <w:lastRenderedPageBreak/>
        <w:t>jejich sociálnímu a hospodářskému dopadu žádá Komisi, aby určila další finanční nástroje a mechanismy solidarity na podporu postižených pracovníků a regionů, včetně větší flexibility při využívání fondů politiky soudržnosti, uvolnění prostředků z Evropského sociálního fondu plus (ESF+), Evropského fondu pro přizpůsobení se globalizaci na pomoc propuštěným pracovníkům (EFG) a jakýchkoli dalších příslušných finančních nástrojů Unie;</w:t>
      </w:r>
    </w:p>
    <w:p w14:paraId="63FAE634" w14:textId="4B45B830" w:rsidR="00294B78" w:rsidRPr="00D557E7" w:rsidRDefault="00A536EF" w:rsidP="00294B78">
      <w:pPr>
        <w:spacing w:after="240"/>
        <w:ind w:left="567" w:hanging="567"/>
        <w:rPr>
          <w:noProof/>
        </w:rPr>
      </w:pPr>
      <w:r w:rsidRPr="00D557E7">
        <w:t>1</w:t>
      </w:r>
      <w:r>
        <w:t>3</w:t>
      </w:r>
      <w:r w:rsidR="00294B78" w:rsidRPr="00D557E7">
        <w:t>.</w:t>
      </w:r>
      <w:r w:rsidR="00294B78" w:rsidRPr="00D557E7">
        <w:tab/>
        <w:t>schvaluje rozhodnutí uvedené v příloze k tomuto usnesení;</w:t>
      </w:r>
    </w:p>
    <w:p w14:paraId="2B5E33A1" w14:textId="4CB7F974" w:rsidR="00294B78" w:rsidRPr="00D557E7" w:rsidRDefault="00A536EF" w:rsidP="00294B78">
      <w:pPr>
        <w:spacing w:after="240"/>
        <w:ind w:left="567" w:hanging="567"/>
        <w:rPr>
          <w:noProof/>
        </w:rPr>
      </w:pPr>
      <w:r w:rsidRPr="00D557E7">
        <w:t>1</w:t>
      </w:r>
      <w:r>
        <w:t>4</w:t>
      </w:r>
      <w:r w:rsidR="00294B78" w:rsidRPr="00D557E7">
        <w:t>.</w:t>
      </w:r>
      <w:r w:rsidR="00294B78" w:rsidRPr="00D557E7">
        <w:tab/>
        <w:t>pověřuje svou předsedkyni, aby podepsala toto rozhodnutí společně s předsedou Rady a aby zajistila jeho zveřejnění v </w:t>
      </w:r>
      <w:r w:rsidR="00294B78" w:rsidRPr="00511F5C">
        <w:rPr>
          <w:i/>
          <w:iCs/>
        </w:rPr>
        <w:t>Úředním věstníku Evropské unie</w:t>
      </w:r>
      <w:r w:rsidR="00294B78" w:rsidRPr="00D557E7">
        <w:t>;</w:t>
      </w:r>
    </w:p>
    <w:p w14:paraId="57EF800D" w14:textId="48E9C62F" w:rsidR="00294B78" w:rsidRPr="00D557E7" w:rsidRDefault="00A536EF" w:rsidP="00294B78">
      <w:pPr>
        <w:spacing w:after="240"/>
        <w:ind w:left="567" w:hanging="567"/>
        <w:rPr>
          <w:noProof/>
        </w:rPr>
      </w:pPr>
      <w:r w:rsidRPr="00D557E7">
        <w:t>1</w:t>
      </w:r>
      <w:r>
        <w:t>5</w:t>
      </w:r>
      <w:r w:rsidR="00294B78" w:rsidRPr="00D557E7">
        <w:t>.</w:t>
      </w:r>
      <w:r w:rsidR="00294B78" w:rsidRPr="00D557E7">
        <w:tab/>
        <w:t>pověřuje svou předsedkyni, aby předala toto usnesení včetně přílohy Radě a Komisi.</w:t>
      </w:r>
    </w:p>
    <w:p w14:paraId="1A106763" w14:textId="77777777" w:rsidR="00294B78" w:rsidRPr="00D557E7" w:rsidRDefault="00294B78" w:rsidP="00294B78">
      <w:pPr>
        <w:pStyle w:val="PageHeading"/>
        <w:rPr>
          <w:noProof/>
        </w:rPr>
        <w:sectPr w:rsidR="00294B78" w:rsidRPr="00D557E7" w:rsidSect="00D557E7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5B13B1" w14:textId="77777777" w:rsidR="00294B78" w:rsidRPr="00D557E7" w:rsidRDefault="00294B78" w:rsidP="00294B78">
      <w:pPr>
        <w:pStyle w:val="PageHeading"/>
      </w:pPr>
      <w:bookmarkStart w:id="8" w:name="_Toc233875758"/>
      <w:r w:rsidRPr="00D557E7">
        <w:lastRenderedPageBreak/>
        <w:t>ROZHODNUTÍ EVROPSKÉHO PARLAMENTU A RADY</w:t>
      </w:r>
      <w:bookmarkEnd w:id="8"/>
    </w:p>
    <w:p w14:paraId="7B0F0ECA" w14:textId="77777777" w:rsidR="00294B78" w:rsidRPr="00D557E7" w:rsidRDefault="00294B78" w:rsidP="00294B78">
      <w:pPr>
        <w:pStyle w:val="PageHeading"/>
        <w:jc w:val="left"/>
        <w:rPr>
          <w:rFonts w:ascii="Times New Roman" w:hAnsi="Times New Roman" w:cs="Times New Roman"/>
        </w:rPr>
      </w:pPr>
      <w:bookmarkStart w:id="9" w:name="_Toc233875759"/>
      <w:r w:rsidRPr="00D557E7">
        <w:rPr>
          <w:rFonts w:ascii="Times New Roman" w:hAnsi="Times New Roman" w:cs="Times New Roman"/>
        </w:rPr>
        <w:t>o uvolnění prostředků z Fondu solidarity Evropské unie za účelem poskytnutí pomoci Rumunsku v souvislosti s povodněmi na konci května 2025, Kypru po přírodních požárech v červenci 2025 a Španělsku po přírodních požárech v srpnu 2025</w:t>
      </w:r>
      <w:bookmarkEnd w:id="9"/>
    </w:p>
    <w:p w14:paraId="0BB76302" w14:textId="77777777" w:rsidR="00294B78" w:rsidRPr="00D557E7" w:rsidRDefault="00294B78" w:rsidP="00294B78">
      <w:pPr>
        <w:pStyle w:val="NormalHanging12a"/>
        <w:ind w:left="0" w:firstLine="0"/>
      </w:pPr>
      <w:r w:rsidRPr="00D557E7">
        <w:t>EVROPSKÝ PARLAMENT A RADA EVROPSKÉ UNIE,</w:t>
      </w:r>
    </w:p>
    <w:p w14:paraId="155E0571" w14:textId="77777777" w:rsidR="00294B78" w:rsidRPr="00D557E7" w:rsidRDefault="00294B78" w:rsidP="00294B78">
      <w:pPr>
        <w:pStyle w:val="NormalHanging12a"/>
        <w:ind w:left="0" w:firstLine="0"/>
      </w:pPr>
      <w:r w:rsidRPr="00D557E7">
        <w:t>s ohledem na Smlouvu o fungování Evropské unie,</w:t>
      </w:r>
    </w:p>
    <w:p w14:paraId="53037EFD" w14:textId="77777777" w:rsidR="00294B78" w:rsidRPr="00D557E7" w:rsidRDefault="00294B78" w:rsidP="00294B78">
      <w:pPr>
        <w:pStyle w:val="NormalHanging12a"/>
        <w:ind w:left="0" w:firstLine="0"/>
      </w:pPr>
      <w:r w:rsidRPr="00D557E7">
        <w:t>s ohledem na nařízení Rady (ES) č. 2012/2002 ze dne 11. listopadu 2002 o zřízení Fondu solidarity Evropské unie</w:t>
      </w:r>
      <w:r w:rsidRPr="00B14578">
        <w:rPr>
          <w:vertAlign w:val="superscript"/>
        </w:rPr>
        <w:footnoteReference w:id="12"/>
      </w:r>
      <w:r w:rsidRPr="00D557E7">
        <w:t>, a zejména na čl. 4 odst. 3 uvedeného nařízení,</w:t>
      </w:r>
    </w:p>
    <w:p w14:paraId="482B9FEE" w14:textId="77777777" w:rsidR="00294B78" w:rsidRPr="00D557E7" w:rsidRDefault="00294B78" w:rsidP="00294B78">
      <w:pPr>
        <w:pStyle w:val="NormalHanging12a"/>
        <w:ind w:left="0" w:firstLine="0"/>
      </w:pPr>
      <w:r w:rsidRPr="00D557E7">
        <w:t>s ohledem na nařízení Rady (EU, Euratom) 2020/2093 ze dne 17. prosince 2020, kterým se stanoví víceletý finanční rámec na období 2021–2027</w:t>
      </w:r>
      <w:r w:rsidRPr="00B14578">
        <w:rPr>
          <w:vertAlign w:val="superscript"/>
        </w:rPr>
        <w:footnoteReference w:id="13"/>
      </w:r>
      <w:r w:rsidRPr="00D557E7">
        <w:t>, a zejména na článek 9 uvedeného nařízení,</w:t>
      </w:r>
    </w:p>
    <w:p w14:paraId="4CA33624" w14:textId="77777777" w:rsidR="00294B78" w:rsidRPr="00D557E7" w:rsidRDefault="00294B78" w:rsidP="00294B78">
      <w:pPr>
        <w:pStyle w:val="NormalHanging12a"/>
        <w:ind w:left="0" w:firstLine="0"/>
      </w:pPr>
      <w:r w:rsidRPr="00D557E7">
        <w:t>s ohledem na interinstitucionální dohodu ze dne 16. prosince 2020 mezi Evropským parlamentem, Radou Evropské unie a Evropskou komisí o rozpočtové kázni, spolupráci v rozpočtových záležitostech a řádném finančním řízení, jakož i o nových vlastních zdrojích, včetně plánu zavádění nových vlastních zdrojů</w:t>
      </w:r>
      <w:r w:rsidRPr="00B14578">
        <w:rPr>
          <w:vertAlign w:val="superscript"/>
        </w:rPr>
        <w:footnoteReference w:id="14"/>
      </w:r>
      <w:r w:rsidRPr="00D557E7">
        <w:t>, a zejména na bod 10 uvedené dohody,</w:t>
      </w:r>
    </w:p>
    <w:p w14:paraId="2C60E443" w14:textId="77777777" w:rsidR="00294B78" w:rsidRPr="00D557E7" w:rsidRDefault="00294B78" w:rsidP="00294B78">
      <w:pPr>
        <w:pStyle w:val="NormalHanging12a"/>
        <w:ind w:left="0" w:firstLine="0"/>
      </w:pPr>
      <w:r w:rsidRPr="00D557E7">
        <w:t>s ohledem na návrh Evropské komise,</w:t>
      </w:r>
    </w:p>
    <w:p w14:paraId="1C21A85F" w14:textId="77777777" w:rsidR="00294B78" w:rsidRPr="00D557E7" w:rsidRDefault="00294B78" w:rsidP="00294B78">
      <w:pPr>
        <w:pStyle w:val="NormalHanging12a"/>
        <w:ind w:left="0" w:firstLine="0"/>
      </w:pPr>
      <w:r w:rsidRPr="00D557E7">
        <w:t>vzhledem k těmto důvodům:</w:t>
      </w:r>
    </w:p>
    <w:p w14:paraId="524509AB" w14:textId="77777777" w:rsidR="00294B78" w:rsidRPr="00D557E7" w:rsidRDefault="00294B78" w:rsidP="00B14578">
      <w:pPr>
        <w:spacing w:after="240"/>
        <w:ind w:left="567" w:hanging="567"/>
      </w:pPr>
      <w:r w:rsidRPr="00D557E7">
        <w:t>(1)</w:t>
      </w:r>
      <w:r w:rsidRPr="00D557E7">
        <w:tab/>
        <w:t>Cílem Fondu solidarity Evropské unie (dále jen „fond“) je umožnit Unii rychle, účinně a pružně reagovat na nouzové situace a projevit solidaritu s obyvatelstvem regionů postižených závažnými nebo regionálními přírodními katastrofami nebo závažným ohrožením veřejného zdraví.</w:t>
      </w:r>
    </w:p>
    <w:p w14:paraId="3D90D810" w14:textId="77777777" w:rsidR="00294B78" w:rsidRPr="00D557E7" w:rsidRDefault="00294B78" w:rsidP="00B14578">
      <w:pPr>
        <w:spacing w:after="240"/>
        <w:ind w:left="567" w:hanging="567"/>
      </w:pPr>
      <w:r w:rsidRPr="00D557E7">
        <w:t>(2)</w:t>
      </w:r>
      <w:r w:rsidRPr="00D557E7">
        <w:tab/>
        <w:t>Výše fondu nesmí přesáhnout maximální částky uvedené v článku 9 nařízení Rady (EU, Euratom) 2020/2093, ve znění nařízení (EU, Euratom) 2024/765</w:t>
      </w:r>
      <w:r w:rsidRPr="00D557E7">
        <w:rPr>
          <w:b/>
          <w:bCs/>
          <w:vertAlign w:val="superscript"/>
        </w:rPr>
        <w:footnoteReference w:id="15"/>
      </w:r>
      <w:r w:rsidRPr="00D557E7">
        <w:t>.</w:t>
      </w:r>
    </w:p>
    <w:p w14:paraId="78BDA9B6" w14:textId="77777777" w:rsidR="00294B78" w:rsidRPr="00D557E7" w:rsidRDefault="00294B78" w:rsidP="00B14578">
      <w:pPr>
        <w:spacing w:after="240"/>
        <w:ind w:left="567" w:hanging="567"/>
      </w:pPr>
      <w:r w:rsidRPr="00D557E7">
        <w:t>(3)</w:t>
      </w:r>
      <w:r w:rsidRPr="00D557E7">
        <w:tab/>
        <w:t>Dne 14. srpna 2025 předložilo Rumunsko žádost o uvolnění prostředků z fondu v souvislosti s povodněmi na konci května a na začátku června 2025.</w:t>
      </w:r>
    </w:p>
    <w:p w14:paraId="1F24AB66" w14:textId="77777777" w:rsidR="00294B78" w:rsidRPr="00D557E7" w:rsidRDefault="00294B78" w:rsidP="00B14578">
      <w:pPr>
        <w:spacing w:after="240"/>
        <w:ind w:left="567" w:hanging="567"/>
      </w:pPr>
      <w:r w:rsidRPr="00D557E7">
        <w:t>(4)</w:t>
      </w:r>
      <w:r w:rsidRPr="00D557E7">
        <w:tab/>
        <w:t>Dne 14. října 2025 podal Kypr žádost o uvolnění prostředků z fondu v souvislosti s přírodními požáry v červenci 2025.</w:t>
      </w:r>
    </w:p>
    <w:p w14:paraId="5CD01A55" w14:textId="77777777" w:rsidR="00294B78" w:rsidRPr="00D557E7" w:rsidRDefault="00294B78" w:rsidP="00B14578">
      <w:pPr>
        <w:spacing w:after="240"/>
        <w:ind w:left="567" w:hanging="567"/>
      </w:pPr>
      <w:r w:rsidRPr="00D557E7">
        <w:t>(5)</w:t>
      </w:r>
      <w:r w:rsidRPr="00D557E7">
        <w:tab/>
        <w:t>Dne 30. října 2025 podalo Španělsko žádost o uvolnění prostředků z fondu v souvislosti s přírodními požáry v srpnu 2025.</w:t>
      </w:r>
    </w:p>
    <w:p w14:paraId="368F0426" w14:textId="77777777" w:rsidR="00294B78" w:rsidRPr="00D557E7" w:rsidRDefault="00294B78" w:rsidP="00B14578">
      <w:pPr>
        <w:spacing w:after="240"/>
        <w:ind w:left="567" w:hanging="567"/>
      </w:pPr>
      <w:r w:rsidRPr="00D557E7">
        <w:lastRenderedPageBreak/>
        <w:t>(6)</w:t>
      </w:r>
      <w:r w:rsidRPr="00D557E7">
        <w:tab/>
        <w:t>Uvedené žádosti splňují podmínky pro poskytnutí finančního příspěvku z fondu, jež jsou stanoveny v článku 4 nařízení (ES) č. 2012/2002.</w:t>
      </w:r>
    </w:p>
    <w:p w14:paraId="279EF468" w14:textId="77777777" w:rsidR="00294B78" w:rsidRPr="00D557E7" w:rsidRDefault="00294B78" w:rsidP="00B14578">
      <w:pPr>
        <w:spacing w:after="240"/>
        <w:ind w:left="567" w:hanging="567"/>
      </w:pPr>
      <w:r w:rsidRPr="00D557E7">
        <w:t>(7)</w:t>
      </w:r>
      <w:r w:rsidRPr="00D557E7">
        <w:tab/>
        <w:t>Z fondu by proto měly být uvolněny prostředky na finanční příspěvky Rumunsku, Kypru a Španělsku.</w:t>
      </w:r>
    </w:p>
    <w:p w14:paraId="18130204" w14:textId="77777777" w:rsidR="00294B78" w:rsidRPr="00D557E7" w:rsidRDefault="00294B78" w:rsidP="00B14578">
      <w:pPr>
        <w:spacing w:after="240"/>
        <w:ind w:left="567" w:hanging="567"/>
      </w:pPr>
      <w:r w:rsidRPr="00D557E7">
        <w:t>(8)</w:t>
      </w:r>
      <w:r w:rsidRPr="00D557E7">
        <w:tab/>
        <w:t xml:space="preserve">Aby bylo zajištěno, že finanční pomoc Unie bude dotčeným členským státům poskytnuta co nejrychleji, a aby se zabránilo jakémukoli zpoždění při uvolňování prostředků z Fondu solidarity Evropské unie, mělo by toto rozhodnutí vstoupit v platnost co nejdříve, a to dnem vyhlášení v </w:t>
      </w:r>
      <w:r w:rsidRPr="00D557E7">
        <w:rPr>
          <w:i/>
        </w:rPr>
        <w:t>Úředním věstníku Evropské unie</w:t>
      </w:r>
      <w:r w:rsidRPr="00D557E7">
        <w:t>, a mělo by se použít ode dne svého přijetí,</w:t>
      </w:r>
    </w:p>
    <w:p w14:paraId="2C410AD4" w14:textId="77777777" w:rsidR="00294B78" w:rsidRPr="00D557E7" w:rsidRDefault="00294B78" w:rsidP="00294B78">
      <w:pPr>
        <w:spacing w:after="240"/>
        <w:ind w:left="720" w:hanging="567"/>
        <w:jc w:val="both"/>
      </w:pPr>
      <w:r w:rsidRPr="00D557E7">
        <w:t>PŘIJALY TOTO ROZHODNUTÍ:</w:t>
      </w:r>
    </w:p>
    <w:p w14:paraId="56492368" w14:textId="77777777" w:rsidR="00294B78" w:rsidRPr="00D557E7" w:rsidRDefault="00294B78" w:rsidP="00294B78">
      <w:pPr>
        <w:spacing w:after="240"/>
        <w:ind w:left="720" w:hanging="567"/>
        <w:jc w:val="center"/>
        <w:rPr>
          <w:i/>
        </w:rPr>
      </w:pPr>
      <w:r w:rsidRPr="00D557E7">
        <w:rPr>
          <w:i/>
        </w:rPr>
        <w:t>Článek 1</w:t>
      </w:r>
    </w:p>
    <w:p w14:paraId="4EE0360E" w14:textId="77777777" w:rsidR="00294B78" w:rsidRPr="00D557E7" w:rsidRDefault="00294B78" w:rsidP="00B14578">
      <w:pPr>
        <w:spacing w:after="240"/>
      </w:pPr>
      <w:r w:rsidRPr="00D557E7">
        <w:t>V rámci souhrnného rozpočtu Unie na rozpočtový rok 2026 se z Fondu solidarity Evropské unie uvolňují následující částky v prostředcích na závazky i v prostředcích na platby v souvislosti s přírodními katastrofami:</w:t>
      </w:r>
    </w:p>
    <w:p w14:paraId="0A8698CC" w14:textId="77777777" w:rsidR="00294B78" w:rsidRPr="00D557E7" w:rsidRDefault="00294B78" w:rsidP="00B14578">
      <w:pPr>
        <w:spacing w:after="240"/>
        <w:ind w:left="567" w:hanging="567"/>
      </w:pPr>
      <w:r w:rsidRPr="00D557E7">
        <w:t>a)</w:t>
      </w:r>
      <w:r w:rsidRPr="00D557E7">
        <w:tab/>
        <w:t>částka ve výši 14 339 675 EUR se poskytuje Rumunsku v souvislosti s povodněmi na konci května a na začátku června 2025;</w:t>
      </w:r>
    </w:p>
    <w:p w14:paraId="68A07830" w14:textId="77777777" w:rsidR="00294B78" w:rsidRPr="00D557E7" w:rsidRDefault="00294B78" w:rsidP="00B14578">
      <w:pPr>
        <w:spacing w:after="240"/>
        <w:ind w:left="567" w:hanging="567"/>
      </w:pPr>
      <w:r w:rsidRPr="00D557E7">
        <w:t>b)</w:t>
      </w:r>
      <w:r w:rsidRPr="00D557E7">
        <w:tab/>
        <w:t>částka ve výši 9 209 223 EUR se poskytuje Kypru v souvislosti s přírodními požáry v červenci 2025;</w:t>
      </w:r>
    </w:p>
    <w:p w14:paraId="6F2FBE79" w14:textId="77777777" w:rsidR="00294B78" w:rsidRPr="00D557E7" w:rsidRDefault="00294B78" w:rsidP="00B14578">
      <w:pPr>
        <w:spacing w:after="240"/>
        <w:ind w:left="567" w:hanging="567"/>
      </w:pPr>
      <w:r w:rsidRPr="00D557E7">
        <w:t>c)</w:t>
      </w:r>
      <w:r w:rsidRPr="00D557E7">
        <w:tab/>
        <w:t>částka ve výši 120 550 858 EUR se poskytuje Španělsku v souvislosti s přírodními požáry v srpnu 2025.</w:t>
      </w:r>
    </w:p>
    <w:p w14:paraId="15AB1D86" w14:textId="77777777" w:rsidR="00294B78" w:rsidRPr="00D557E7" w:rsidRDefault="00294B78" w:rsidP="00294B78">
      <w:pPr>
        <w:spacing w:after="240"/>
        <w:ind w:hanging="567"/>
        <w:jc w:val="center"/>
        <w:rPr>
          <w:i/>
        </w:rPr>
      </w:pPr>
      <w:r w:rsidRPr="00D557E7">
        <w:rPr>
          <w:i/>
        </w:rPr>
        <w:t>Článek 2</w:t>
      </w:r>
    </w:p>
    <w:p w14:paraId="60985101" w14:textId="77777777" w:rsidR="00294B78" w:rsidRPr="00D557E7" w:rsidRDefault="00294B78" w:rsidP="00B14578">
      <w:pPr>
        <w:spacing w:after="240"/>
      </w:pPr>
      <w:r w:rsidRPr="00D557E7">
        <w:t>Toto rozhodnutí vstupuje v platnost dnem vyhlášení v </w:t>
      </w:r>
      <w:r w:rsidRPr="00D557E7">
        <w:rPr>
          <w:i/>
        </w:rPr>
        <w:t>Úředním věstníku Evropské unie</w:t>
      </w:r>
      <w:r w:rsidRPr="00D557E7">
        <w:t>.</w:t>
      </w:r>
    </w:p>
    <w:p w14:paraId="4E687D76" w14:textId="77777777" w:rsidR="00294B78" w:rsidRPr="00D557E7" w:rsidRDefault="00294B78" w:rsidP="00B14578">
      <w:pPr>
        <w:spacing w:after="240"/>
        <w:jc w:val="both"/>
      </w:pPr>
      <w:r w:rsidRPr="00D557E7">
        <w:t>Použije se ode dne ... [</w:t>
      </w:r>
      <w:r w:rsidRPr="00D557E7">
        <w:rPr>
          <w:i/>
        </w:rPr>
        <w:t>datum přijetí</w:t>
      </w:r>
      <w:r w:rsidRPr="00D557E7">
        <w:t>]</w:t>
      </w:r>
      <w:r w:rsidRPr="00D557E7">
        <w:rPr>
          <w:b/>
          <w:i/>
          <w:vertAlign w:val="superscript"/>
        </w:rPr>
        <w:footnoteReference w:customMarkFollows="1" w:id="16"/>
        <w:sym w:font="Symbol" w:char="F02A"/>
      </w:r>
      <w:r w:rsidRPr="00D557E7">
        <w:t>.</w:t>
      </w:r>
    </w:p>
    <w:p w14:paraId="75ED70F9" w14:textId="4B64DA41" w:rsidR="00294B78" w:rsidRPr="00D557E7" w:rsidRDefault="00294B78" w:rsidP="00294B78">
      <w:pPr>
        <w:jc w:val="both"/>
      </w:pPr>
      <w:r w:rsidRPr="00D557E7">
        <w:t xml:space="preserve">V </w:t>
      </w:r>
      <w:r w:rsidR="00511F5C">
        <w:t>…</w:t>
      </w:r>
      <w:r w:rsidRPr="00D557E7">
        <w:t xml:space="preserve"> dne</w:t>
      </w:r>
    </w:p>
    <w:p w14:paraId="3113F99E" w14:textId="77777777" w:rsidR="00294B78" w:rsidRDefault="00294B78" w:rsidP="00294B78">
      <w:pPr>
        <w:jc w:val="both"/>
      </w:pPr>
    </w:p>
    <w:p w14:paraId="13C39500" w14:textId="77777777" w:rsidR="00B14578" w:rsidRPr="00D557E7" w:rsidRDefault="00B14578" w:rsidP="00294B78">
      <w:pPr>
        <w:jc w:val="both"/>
      </w:pPr>
    </w:p>
    <w:p w14:paraId="665BF14C" w14:textId="7715E001" w:rsidR="00294B78" w:rsidRPr="0084108D" w:rsidRDefault="00294B78" w:rsidP="00294B78">
      <w:pPr>
        <w:jc w:val="both"/>
        <w:rPr>
          <w:i/>
        </w:rPr>
      </w:pPr>
      <w:r w:rsidRPr="0084108D">
        <w:rPr>
          <w:i/>
        </w:rPr>
        <w:t>Za Evropský parlament</w:t>
      </w:r>
      <w:r w:rsidRPr="0084108D">
        <w:rPr>
          <w:i/>
        </w:rPr>
        <w:tab/>
      </w:r>
      <w:r w:rsidR="00B14578" w:rsidRPr="0084108D">
        <w:rPr>
          <w:i/>
        </w:rPr>
        <w:tab/>
      </w:r>
      <w:r w:rsidR="00B14578" w:rsidRPr="0084108D">
        <w:rPr>
          <w:i/>
        </w:rPr>
        <w:tab/>
      </w:r>
      <w:r w:rsidRPr="0084108D">
        <w:rPr>
          <w:i/>
        </w:rPr>
        <w:t>Za Radu</w:t>
      </w:r>
    </w:p>
    <w:p w14:paraId="7044D4B6" w14:textId="2600DE1E" w:rsidR="00294B78" w:rsidRPr="0084108D" w:rsidRDefault="00294B78" w:rsidP="00294B78">
      <w:pPr>
        <w:jc w:val="both"/>
        <w:rPr>
          <w:i/>
        </w:rPr>
      </w:pPr>
      <w:r w:rsidRPr="0084108D">
        <w:rPr>
          <w:i/>
        </w:rPr>
        <w:t>předsedkyně</w:t>
      </w:r>
      <w:r w:rsidRPr="0084108D">
        <w:rPr>
          <w:i/>
        </w:rPr>
        <w:tab/>
      </w:r>
      <w:r w:rsidRPr="0084108D">
        <w:rPr>
          <w:i/>
        </w:rPr>
        <w:tab/>
      </w:r>
      <w:r w:rsidR="00B14578" w:rsidRPr="0084108D">
        <w:rPr>
          <w:i/>
        </w:rPr>
        <w:tab/>
      </w:r>
      <w:r w:rsidR="00B14578" w:rsidRPr="0084108D">
        <w:rPr>
          <w:i/>
        </w:rPr>
        <w:tab/>
      </w:r>
      <w:r w:rsidR="00A536EF">
        <w:rPr>
          <w:i/>
        </w:rPr>
        <w:tab/>
      </w:r>
      <w:r w:rsidRPr="0084108D">
        <w:rPr>
          <w:i/>
        </w:rPr>
        <w:t>předseda/předsedkyně</w:t>
      </w:r>
    </w:p>
    <w:p w14:paraId="1BA13DBC" w14:textId="77777777" w:rsidR="00294B78" w:rsidRPr="00D557E7" w:rsidRDefault="00294B78" w:rsidP="00294B78">
      <w:pPr>
        <w:jc w:val="both"/>
        <w:rPr>
          <w:b/>
        </w:rPr>
      </w:pPr>
    </w:p>
    <w:p w14:paraId="13CA1344" w14:textId="77777777" w:rsidR="00294B78" w:rsidRPr="00D557E7" w:rsidRDefault="00294B78" w:rsidP="00294B78">
      <w:pPr>
        <w:jc w:val="both"/>
      </w:pPr>
    </w:p>
    <w:p w14:paraId="4A51D37F" w14:textId="51D01616" w:rsidR="00294B78" w:rsidRPr="00D557E7" w:rsidRDefault="00294B78" w:rsidP="00294B78">
      <w:pPr>
        <w:widowControl/>
      </w:pPr>
    </w:p>
    <w:sectPr w:rsidR="00294B78" w:rsidRPr="00D557E7" w:rsidSect="00D557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5B0B7" w14:textId="77777777" w:rsidR="002473D4" w:rsidRPr="00D557E7" w:rsidRDefault="002473D4">
      <w:r w:rsidRPr="00D557E7">
        <w:separator/>
      </w:r>
    </w:p>
  </w:endnote>
  <w:endnote w:type="continuationSeparator" w:id="0">
    <w:p w14:paraId="6C5C4C99" w14:textId="77777777" w:rsidR="002473D4" w:rsidRPr="00D557E7" w:rsidRDefault="002473D4">
      <w:r w:rsidRPr="00D557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8350" w14:textId="77777777" w:rsidR="00294B78" w:rsidRPr="00D557E7" w:rsidRDefault="00294B78" w:rsidP="002544EC">
    <w:pPr>
      <w:pStyle w:val="EPFooter"/>
    </w:pPr>
    <w:r w:rsidRPr="00D557E7">
      <w:t>PE</w:t>
    </w:r>
    <w:r w:rsidRPr="00D557E7">
      <w:rPr>
        <w:rStyle w:val="HideTWBExt"/>
      </w:rPr>
      <w:t>&lt;</w:t>
    </w:r>
    <w:proofErr w:type="spellStart"/>
    <w:r w:rsidRPr="00D557E7">
      <w:rPr>
        <w:rStyle w:val="HideTWBExt"/>
      </w:rPr>
      <w:t>NoPE</w:t>
    </w:r>
    <w:proofErr w:type="spellEnd"/>
    <w:r w:rsidRPr="00D557E7">
      <w:rPr>
        <w:rStyle w:val="HideTWBExt"/>
      </w:rPr>
      <w:t>&gt;</w:t>
    </w:r>
    <w:r w:rsidRPr="00D557E7">
      <w:t>789.090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NoPE</w:t>
    </w:r>
    <w:proofErr w:type="spellEnd"/>
    <w:r w:rsidRPr="00D557E7">
      <w:rPr>
        <w:rStyle w:val="HideTWBExt"/>
      </w:rPr>
      <w:t>&gt;&lt;Version&gt;</w:t>
    </w:r>
    <w:r w:rsidRPr="00D557E7">
      <w:t>v02-00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Version</w:t>
    </w:r>
    <w:proofErr w:type="spellEnd"/>
    <w:r w:rsidRPr="00D557E7">
      <w:rPr>
        <w:rStyle w:val="HideTWBExt"/>
      </w:rPr>
      <w:t>&gt;</w:t>
    </w:r>
    <w:r w:rsidRPr="00D557E7">
      <w:tab/>
    </w:r>
    <w:r w:rsidRPr="00D557E7">
      <w:fldChar w:fldCharType="begin"/>
    </w:r>
    <w:r w:rsidRPr="00D557E7">
      <w:instrText xml:space="preserve"> PAGE  \* MERGEFORMAT </w:instrText>
    </w:r>
    <w:r w:rsidRPr="00D557E7">
      <w:fldChar w:fldCharType="separate"/>
    </w:r>
    <w:r w:rsidRPr="00D557E7">
      <w:rPr>
        <w:noProof/>
      </w:rPr>
      <w:t>14</w:t>
    </w:r>
    <w:r w:rsidRPr="00D557E7">
      <w:fldChar w:fldCharType="end"/>
    </w:r>
    <w:r w:rsidRPr="00D557E7">
      <w:t>/</w:t>
    </w:r>
    <w:fldSimple w:instr=" NUMPAGES  \* MERGEFORMAT ">
      <w:r w:rsidRPr="00D557E7">
        <w:rPr>
          <w:noProof/>
        </w:rPr>
        <w:t>16</w:t>
      </w:r>
    </w:fldSimple>
    <w:r w:rsidRPr="00D557E7">
      <w:tab/>
    </w:r>
    <w:r w:rsidRPr="00D557E7">
      <w:rPr>
        <w:rStyle w:val="HideTWBExt"/>
      </w:rPr>
      <w:t>&lt;PathFdR&gt;</w:t>
    </w:r>
    <w:r w:rsidRPr="00D557E7">
      <w:t>RR\1346601CS.docx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PathFdR</w:t>
    </w:r>
    <w:proofErr w:type="spellEnd"/>
    <w:r w:rsidRPr="00D557E7">
      <w:rPr>
        <w:rStyle w:val="HideTWBExt"/>
      </w:rPr>
      <w:t>&gt;</w:t>
    </w:r>
  </w:p>
  <w:p w14:paraId="108F47C4" w14:textId="77777777" w:rsidR="00294B78" w:rsidRPr="00D557E7" w:rsidRDefault="00294B78" w:rsidP="002544EC">
    <w:pPr>
      <w:pStyle w:val="EPFooter2"/>
    </w:pPr>
    <w:r w:rsidRPr="00D557E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852F" w14:textId="77777777" w:rsidR="00294B78" w:rsidRPr="00D557E7" w:rsidRDefault="00294B78" w:rsidP="002544EC">
    <w:pPr>
      <w:pStyle w:val="EPFooter"/>
    </w:pPr>
    <w:r w:rsidRPr="00D557E7">
      <w:rPr>
        <w:rStyle w:val="HideTWBExt"/>
      </w:rPr>
      <w:t>&lt;PathFdR&gt;</w:t>
    </w:r>
    <w:r w:rsidRPr="00D557E7">
      <w:t>RR\1346601CS.docx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PathFdR</w:t>
    </w:r>
    <w:proofErr w:type="spellEnd"/>
    <w:r w:rsidRPr="00D557E7">
      <w:rPr>
        <w:rStyle w:val="HideTWBExt"/>
      </w:rPr>
      <w:t>&gt;</w:t>
    </w:r>
    <w:r w:rsidRPr="00D557E7">
      <w:tab/>
    </w:r>
    <w:r w:rsidRPr="00D557E7">
      <w:tab/>
      <w:t>PE</w:t>
    </w:r>
    <w:r w:rsidRPr="00D557E7">
      <w:rPr>
        <w:rStyle w:val="HideTWBExt"/>
      </w:rPr>
      <w:t>&lt;</w:t>
    </w:r>
    <w:proofErr w:type="spellStart"/>
    <w:r w:rsidRPr="00D557E7">
      <w:rPr>
        <w:rStyle w:val="HideTWBExt"/>
      </w:rPr>
      <w:t>NoPE</w:t>
    </w:r>
    <w:proofErr w:type="spellEnd"/>
    <w:r w:rsidRPr="00D557E7">
      <w:rPr>
        <w:rStyle w:val="HideTWBExt"/>
      </w:rPr>
      <w:t>&gt;</w:t>
    </w:r>
    <w:r w:rsidRPr="00D557E7">
      <w:t>789.090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NoPE</w:t>
    </w:r>
    <w:proofErr w:type="spellEnd"/>
    <w:r w:rsidRPr="00D557E7">
      <w:rPr>
        <w:rStyle w:val="HideTWBExt"/>
      </w:rPr>
      <w:t>&gt;&lt;Version&gt;</w:t>
    </w:r>
    <w:r w:rsidRPr="00D557E7">
      <w:t>v02-00</w:t>
    </w:r>
    <w:r w:rsidRPr="00D557E7">
      <w:rPr>
        <w:rStyle w:val="HideTWBExt"/>
      </w:rPr>
      <w:t>&lt;/</w:t>
    </w:r>
    <w:proofErr w:type="spellStart"/>
    <w:r w:rsidRPr="00D557E7">
      <w:rPr>
        <w:rStyle w:val="HideTWBExt"/>
      </w:rPr>
      <w:t>Version</w:t>
    </w:r>
    <w:proofErr w:type="spellEnd"/>
    <w:r w:rsidRPr="00D557E7">
      <w:rPr>
        <w:rStyle w:val="HideTWBExt"/>
      </w:rPr>
      <w:t>&gt;</w:t>
    </w:r>
  </w:p>
  <w:p w14:paraId="41B801C3" w14:textId="77777777" w:rsidR="00294B78" w:rsidRPr="00D557E7" w:rsidRDefault="00294B78" w:rsidP="002544EC">
    <w:pPr>
      <w:pStyle w:val="EPFooter2"/>
    </w:pPr>
    <w:r w:rsidRPr="00D557E7">
      <w:t>CS</w:t>
    </w:r>
    <w:r w:rsidRPr="00D557E7">
      <w:tab/>
    </w:r>
    <w:r w:rsidRPr="00D557E7">
      <w:rPr>
        <w:b w:val="0"/>
        <w:i/>
        <w:color w:val="C0C0C0"/>
        <w:sz w:val="22"/>
      </w:rPr>
      <w:t>Jednotná v rozmanitosti</w:t>
    </w:r>
    <w:r w:rsidRPr="00D557E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54B2" w14:textId="77777777" w:rsidR="00064002" w:rsidRPr="00D557E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6E5B" w14:textId="77777777" w:rsidR="00064002" w:rsidRPr="00D557E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F7D7" w14:textId="77777777" w:rsidR="00064002" w:rsidRPr="00D557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4279" w14:textId="77777777" w:rsidR="002473D4" w:rsidRPr="00D557E7" w:rsidRDefault="002473D4">
      <w:r w:rsidRPr="00D557E7">
        <w:separator/>
      </w:r>
    </w:p>
  </w:footnote>
  <w:footnote w:type="continuationSeparator" w:id="0">
    <w:p w14:paraId="30EF7565" w14:textId="77777777" w:rsidR="002473D4" w:rsidRPr="00D557E7" w:rsidRDefault="002473D4">
      <w:r w:rsidRPr="00D557E7">
        <w:continuationSeparator/>
      </w:r>
    </w:p>
  </w:footnote>
  <w:footnote w:id="1">
    <w:p w14:paraId="60E7F3DA" w14:textId="38E80C88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311, 14.11.2002, s. 3, ELI: </w:t>
      </w:r>
      <w:hyperlink r:id="rId1" w:tooltip="http://data.europa.eu/eli/reg/2002/2012/oj" w:history="1">
        <w:r w:rsidRPr="00D557E7">
          <w:rPr>
            <w:rStyle w:val="Hyperlink"/>
            <w:sz w:val="24"/>
            <w:lang w:val="cs-CZ"/>
          </w:rPr>
          <w:t>http://data.europa.eu/eli/reg/2002/2012/oj</w:t>
        </w:r>
      </w:hyperlink>
      <w:r w:rsidRPr="00D557E7">
        <w:rPr>
          <w:sz w:val="24"/>
          <w:lang w:val="cs-CZ"/>
        </w:rPr>
        <w:t>.</w:t>
      </w:r>
    </w:p>
  </w:footnote>
  <w:footnote w:id="2">
    <w:p w14:paraId="3D82EA02" w14:textId="557CDA23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433 I, 22.12.2020, s. 11, ELI: </w:t>
      </w:r>
      <w:hyperlink r:id="rId2" w:tooltip="http://data.europa.eu/eli/reg/2020/2093/oj" w:history="1">
        <w:r w:rsidRPr="00D557E7">
          <w:rPr>
            <w:rStyle w:val="Hyperlink"/>
            <w:sz w:val="24"/>
            <w:lang w:val="cs-CZ"/>
          </w:rPr>
          <w:t>http://data.europa.eu/eli/reg/2020/2093/oj</w:t>
        </w:r>
      </w:hyperlink>
      <w:r w:rsidRPr="00D557E7">
        <w:rPr>
          <w:sz w:val="24"/>
          <w:lang w:val="cs-CZ"/>
        </w:rPr>
        <w:t>.</w:t>
      </w:r>
    </w:p>
  </w:footnote>
  <w:footnote w:id="3">
    <w:p w14:paraId="62581336" w14:textId="0A5B27ED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>. 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433 I, 22.12.2020, s. 28, ELI: </w:t>
      </w:r>
      <w:hyperlink r:id="rId3" w:history="1">
        <w:r w:rsidRPr="00B14578">
          <w:rPr>
            <w:rStyle w:val="Hyperlink"/>
            <w:sz w:val="24"/>
            <w:szCs w:val="24"/>
            <w:lang w:val="cs-CZ"/>
          </w:rPr>
          <w:t>http://data.europa.eu/eli/agree_interinstit/2020/1222/oj</w:t>
        </w:r>
      </w:hyperlink>
      <w:r w:rsidRPr="00D557E7">
        <w:rPr>
          <w:sz w:val="24"/>
          <w:lang w:val="cs-CZ"/>
        </w:rPr>
        <w:t>.</w:t>
      </w:r>
    </w:p>
  </w:footnote>
  <w:footnote w:id="4">
    <w:p w14:paraId="67E5D934" w14:textId="7A957C01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231, 30.6.2021, s. 60, ELI: </w:t>
      </w:r>
      <w:hyperlink r:id="rId4" w:history="1">
        <w:r w:rsidRPr="00B14578">
          <w:rPr>
            <w:rStyle w:val="Hyperlink"/>
            <w:sz w:val="24"/>
            <w:szCs w:val="24"/>
            <w:lang w:val="cs-CZ"/>
          </w:rPr>
          <w:t>http://data.europa.eu/eli/reg/2021/1058/oj</w:t>
        </w:r>
      </w:hyperlink>
      <w:r w:rsidRPr="00D557E7">
        <w:rPr>
          <w:sz w:val="24"/>
          <w:lang w:val="cs-CZ"/>
        </w:rPr>
        <w:t>.</w:t>
      </w:r>
    </w:p>
  </w:footnote>
  <w:footnote w:id="5">
    <w:p w14:paraId="77CA90E1" w14:textId="7EF9BE90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231, 30.6.2021, s. 21, ELI: </w:t>
      </w:r>
      <w:hyperlink r:id="rId5" w:history="1">
        <w:r w:rsidRPr="00B14578">
          <w:rPr>
            <w:rStyle w:val="Hyperlink"/>
            <w:sz w:val="24"/>
            <w:szCs w:val="24"/>
            <w:lang w:val="cs-CZ"/>
          </w:rPr>
          <w:t>http://data.europa.eu/eli/reg/2021/1057/oj</w:t>
        </w:r>
      </w:hyperlink>
      <w:r w:rsidRPr="00D557E7">
        <w:rPr>
          <w:sz w:val="24"/>
          <w:lang w:val="cs-CZ"/>
        </w:rPr>
        <w:t>.</w:t>
      </w:r>
    </w:p>
  </w:footnote>
  <w:footnote w:id="6">
    <w:p w14:paraId="312504A5" w14:textId="704C1185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>. L 435, 6.12.2021, s. 1, ELI: </w:t>
      </w:r>
      <w:hyperlink r:id="rId6" w:tgtFrame="_blank" w:tooltip="http://data.europa.eu/eli/reg/2021/2115/oj" w:history="1">
        <w:r w:rsidRPr="00D557E7">
          <w:rPr>
            <w:rStyle w:val="Hyperlink"/>
            <w:sz w:val="24"/>
            <w:lang w:val="cs-CZ"/>
          </w:rPr>
          <w:t>http://data.europa.eu/eli/reg/2021/2115/oj</w:t>
        </w:r>
      </w:hyperlink>
      <w:r w:rsidRPr="00D557E7">
        <w:rPr>
          <w:sz w:val="24"/>
          <w:lang w:val="cs-CZ"/>
        </w:rPr>
        <w:t>.</w:t>
      </w:r>
    </w:p>
  </w:footnote>
  <w:footnote w:id="7">
    <w:p w14:paraId="742FFFFC" w14:textId="5A13CD45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r w:rsidRPr="00D557E7">
        <w:rPr>
          <w:sz w:val="24"/>
          <w:lang w:val="cs-CZ"/>
        </w:rPr>
        <w:t>Přijaté texty, P10_</w:t>
      </w:r>
      <w:proofErr w:type="gramStart"/>
      <w:r w:rsidRPr="00D557E7">
        <w:rPr>
          <w:sz w:val="24"/>
          <w:lang w:val="cs-CZ"/>
        </w:rPr>
        <w:t>TA(</w:t>
      </w:r>
      <w:proofErr w:type="gramEnd"/>
      <w:r w:rsidRPr="00D557E7">
        <w:rPr>
          <w:sz w:val="24"/>
          <w:lang w:val="cs-CZ"/>
        </w:rPr>
        <w:t>2024)0059.</w:t>
      </w:r>
    </w:p>
  </w:footnote>
  <w:footnote w:id="8">
    <w:p w14:paraId="707C62C6" w14:textId="4035EAC4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hyperlink r:id="rId7" w:history="1">
        <w:r w:rsidRPr="00B14578">
          <w:rPr>
            <w:rStyle w:val="Hyperlink"/>
            <w:sz w:val="24"/>
            <w:lang w:val="cs-CZ"/>
          </w:rPr>
          <w:t>https://www.eea.europa.eu/en/analysis/publications/european-climate-risk-assessment</w:t>
        </w:r>
      </w:hyperlink>
    </w:p>
  </w:footnote>
  <w:footnote w:id="9">
    <w:p w14:paraId="6EE64C6C" w14:textId="4FD4E4AC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L, 2024/3236, 23.12.2024, ELI: </w:t>
      </w:r>
      <w:hyperlink r:id="rId8" w:tgtFrame="_blank" w:tooltip="http://data.europa.eu/eli/reg/2024/3236/oj" w:history="1">
        <w:r w:rsidRPr="00D557E7">
          <w:rPr>
            <w:rStyle w:val="Hyperlink"/>
            <w:sz w:val="24"/>
            <w:lang w:val="cs-CZ"/>
          </w:rPr>
          <w:t>http://data.europa.eu/eli/reg/2024/3236/oj</w:t>
        </w:r>
      </w:hyperlink>
      <w:r w:rsidRPr="00D557E7">
        <w:rPr>
          <w:sz w:val="24"/>
          <w:lang w:val="cs-CZ"/>
        </w:rPr>
        <w:t>.</w:t>
      </w:r>
    </w:p>
  </w:footnote>
  <w:footnote w:id="10">
    <w:p w14:paraId="140ECD3D" w14:textId="28D5776A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L, 2024/3242, 23.12.2024, ELI: </w:t>
      </w:r>
      <w:hyperlink r:id="rId9" w:tgtFrame="_blank" w:tooltip="http://data.europa.eu/eli/reg/2024/3242/oj" w:history="1">
        <w:r w:rsidRPr="00D557E7">
          <w:rPr>
            <w:rStyle w:val="Hyperlink"/>
            <w:sz w:val="24"/>
            <w:lang w:val="cs-CZ"/>
          </w:rPr>
          <w:t>http://data.europa.eu/eli/reg/2024/3242/oj</w:t>
        </w:r>
      </w:hyperlink>
      <w:r w:rsidRPr="00D557E7">
        <w:rPr>
          <w:sz w:val="24"/>
          <w:lang w:val="cs-CZ"/>
        </w:rPr>
        <w:t>.</w:t>
      </w:r>
    </w:p>
  </w:footnote>
  <w:footnote w:id="11">
    <w:p w14:paraId="16E45655" w14:textId="11E36F8A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r w:rsidRPr="00D557E7">
        <w:rPr>
          <w:sz w:val="24"/>
          <w:lang w:val="cs-CZ"/>
        </w:rPr>
        <w:t>Nařízení Evropského parlamentu a Rady (EU) 2021/241 ze dne 12. února 2021, kterým se zřizuje Nástroj pro oživení a odolnost (</w:t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>. 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 57, 18.2.2021, s. 17, ELI: </w:t>
      </w:r>
      <w:hyperlink r:id="rId10" w:history="1">
        <w:r w:rsidRPr="00B14578">
          <w:rPr>
            <w:rStyle w:val="Hyperlink"/>
            <w:sz w:val="24"/>
            <w:lang w:val="cs-CZ"/>
          </w:rPr>
          <w:t>http://data.europa.eu/eli/reg/2021/241/oj</w:t>
        </w:r>
      </w:hyperlink>
      <w:r w:rsidRPr="00D557E7">
        <w:rPr>
          <w:sz w:val="24"/>
          <w:lang w:val="cs-CZ"/>
        </w:rPr>
        <w:t>).</w:t>
      </w:r>
    </w:p>
  </w:footnote>
  <w:footnote w:id="12">
    <w:p w14:paraId="50D0C50F" w14:textId="2BFC0E92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shd w:val="clear" w:color="auto" w:fill="FFFFFF"/>
          <w:lang w:val="cs-CZ"/>
        </w:rPr>
        <w:t xml:space="preserve"> </w:t>
      </w:r>
      <w:r w:rsidR="00D557E7" w:rsidRPr="00D557E7">
        <w:rPr>
          <w:sz w:val="24"/>
          <w:shd w:val="clear" w:color="auto" w:fill="FFFFFF"/>
          <w:lang w:val="cs-CZ"/>
        </w:rPr>
        <w:tab/>
      </w:r>
      <w:proofErr w:type="spellStart"/>
      <w:r w:rsidRPr="00D557E7">
        <w:rPr>
          <w:sz w:val="24"/>
          <w:shd w:val="clear" w:color="auto" w:fill="FFFFFF"/>
          <w:lang w:val="cs-CZ"/>
        </w:rPr>
        <w:t>Úř</w:t>
      </w:r>
      <w:proofErr w:type="spellEnd"/>
      <w:r w:rsidRPr="00D557E7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D557E7">
        <w:rPr>
          <w:sz w:val="24"/>
          <w:shd w:val="clear" w:color="auto" w:fill="FFFFFF"/>
          <w:lang w:val="cs-CZ"/>
        </w:rPr>
        <w:t>věst</w:t>
      </w:r>
      <w:proofErr w:type="spellEnd"/>
      <w:r w:rsidRPr="00D557E7">
        <w:rPr>
          <w:sz w:val="24"/>
          <w:shd w:val="clear" w:color="auto" w:fill="FFFFFF"/>
          <w:lang w:val="cs-CZ"/>
        </w:rPr>
        <w:t xml:space="preserve">. L 311, 14.11.2002, s. 3, ELI: </w:t>
      </w:r>
      <w:hyperlink r:id="rId11" w:history="1">
        <w:r w:rsidRPr="00D557E7">
          <w:rPr>
            <w:rStyle w:val="Hyperlink"/>
            <w:sz w:val="24"/>
            <w:shd w:val="clear" w:color="auto" w:fill="FFFFFF"/>
            <w:lang w:val="cs-CZ"/>
          </w:rPr>
          <w:t>http://data.europa.eu/eli/reg/2002/2012/oj</w:t>
        </w:r>
      </w:hyperlink>
      <w:r w:rsidRPr="00D557E7">
        <w:rPr>
          <w:sz w:val="24"/>
          <w:shd w:val="clear" w:color="auto" w:fill="FFFFFF"/>
          <w:lang w:val="cs-CZ"/>
        </w:rPr>
        <w:t>.</w:t>
      </w:r>
    </w:p>
  </w:footnote>
  <w:footnote w:id="13">
    <w:p w14:paraId="7424A38B" w14:textId="2D048EAD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433 I, 22.12.2020, s. 11, ELI: </w:t>
      </w:r>
      <w:hyperlink r:id="rId12" w:history="1">
        <w:r w:rsidRPr="00D557E7">
          <w:rPr>
            <w:rStyle w:val="Hyperlink"/>
            <w:sz w:val="24"/>
            <w:lang w:val="cs-CZ"/>
          </w:rPr>
          <w:t>http://data.europa.eu/eli/reg/2020/2093/oj</w:t>
        </w:r>
      </w:hyperlink>
      <w:r w:rsidRPr="00D557E7">
        <w:rPr>
          <w:sz w:val="24"/>
          <w:lang w:val="cs-CZ"/>
        </w:rPr>
        <w:t>.</w:t>
      </w:r>
    </w:p>
  </w:footnote>
  <w:footnote w:id="14">
    <w:p w14:paraId="3CA2F632" w14:textId="6069A4DA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 433 I, 22.12.2020, s. 28, ELI: </w:t>
      </w:r>
      <w:hyperlink r:id="rId13" w:history="1">
        <w:r w:rsidRPr="00D557E7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D557E7">
        <w:rPr>
          <w:sz w:val="24"/>
          <w:lang w:val="cs-CZ"/>
        </w:rPr>
        <w:t>.</w:t>
      </w:r>
    </w:p>
  </w:footnote>
  <w:footnote w:id="15">
    <w:p w14:paraId="52CBA8D1" w14:textId="4960FFAF" w:rsidR="00294B78" w:rsidRPr="00D557E7" w:rsidRDefault="00294B78" w:rsidP="00D557E7">
      <w:pPr>
        <w:pStyle w:val="FootnoteText"/>
        <w:ind w:left="567" w:hanging="567"/>
        <w:rPr>
          <w:sz w:val="24"/>
          <w:lang w:val="cs-CZ"/>
        </w:rPr>
      </w:pPr>
      <w:r w:rsidRPr="00D557E7">
        <w:rPr>
          <w:rStyle w:val="FootnoteReference"/>
          <w:sz w:val="24"/>
          <w:lang w:val="cs-CZ"/>
        </w:rPr>
        <w:footnoteRef/>
      </w:r>
      <w:r w:rsidR="00D557E7" w:rsidRPr="00D557E7">
        <w:rPr>
          <w:sz w:val="24"/>
          <w:lang w:val="cs-CZ"/>
        </w:rPr>
        <w:t xml:space="preserve"> </w:t>
      </w:r>
      <w:r w:rsidR="00D557E7" w:rsidRPr="00D557E7">
        <w:rPr>
          <w:sz w:val="24"/>
          <w:lang w:val="cs-CZ"/>
        </w:rPr>
        <w:tab/>
      </w:r>
      <w:r w:rsidRPr="00D557E7">
        <w:rPr>
          <w:sz w:val="24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proofErr w:type="spellStart"/>
      <w:r w:rsidRPr="00D557E7">
        <w:rPr>
          <w:sz w:val="24"/>
          <w:lang w:val="cs-CZ"/>
        </w:rPr>
        <w:t>Úř</w:t>
      </w:r>
      <w:proofErr w:type="spellEnd"/>
      <w:r w:rsidRPr="00D557E7">
        <w:rPr>
          <w:sz w:val="24"/>
          <w:lang w:val="cs-CZ"/>
        </w:rPr>
        <w:t xml:space="preserve">. </w:t>
      </w:r>
      <w:proofErr w:type="spellStart"/>
      <w:r w:rsidRPr="00D557E7">
        <w:rPr>
          <w:sz w:val="24"/>
          <w:lang w:val="cs-CZ"/>
        </w:rPr>
        <w:t>věst</w:t>
      </w:r>
      <w:proofErr w:type="spellEnd"/>
      <w:r w:rsidRPr="00D557E7">
        <w:rPr>
          <w:sz w:val="24"/>
          <w:lang w:val="cs-CZ"/>
        </w:rPr>
        <w:t xml:space="preserve">. L, 2024/765, 29.2.2024, ELI: </w:t>
      </w:r>
      <w:hyperlink r:id="rId14" w:history="1">
        <w:r w:rsidRPr="00D557E7">
          <w:rPr>
            <w:rStyle w:val="Hyperlink"/>
            <w:sz w:val="24"/>
            <w:lang w:val="cs-CZ"/>
          </w:rPr>
          <w:t>http://data.europa.eu/eli/reg/2024/765/oj</w:t>
        </w:r>
      </w:hyperlink>
      <w:r w:rsidRPr="00D557E7">
        <w:rPr>
          <w:sz w:val="24"/>
          <w:lang w:val="cs-CZ"/>
        </w:rPr>
        <w:t>).</w:t>
      </w:r>
    </w:p>
  </w:footnote>
  <w:footnote w:id="16">
    <w:p w14:paraId="6A182CCB" w14:textId="3E3E612F" w:rsidR="00294B78" w:rsidRPr="00D557E7" w:rsidRDefault="00294B78" w:rsidP="00D557E7">
      <w:pPr>
        <w:pStyle w:val="FootnoteText"/>
        <w:ind w:left="567" w:hanging="567"/>
        <w:rPr>
          <w:iCs/>
          <w:sz w:val="24"/>
          <w:lang w:val="cs-CZ"/>
        </w:rPr>
      </w:pPr>
      <w:r w:rsidRPr="00B14578">
        <w:rPr>
          <w:rStyle w:val="FootnoteReference"/>
          <w:sz w:val="24"/>
          <w:lang w:val="cs-CZ"/>
        </w:rPr>
        <w:sym w:font="Symbol" w:char="F02A"/>
      </w:r>
      <w:r w:rsidR="00D557E7" w:rsidRPr="00B14578">
        <w:rPr>
          <w:sz w:val="24"/>
          <w:lang w:val="cs-CZ"/>
        </w:rPr>
        <w:t xml:space="preserve"> </w:t>
      </w:r>
      <w:r w:rsidR="00D557E7" w:rsidRPr="00B14578">
        <w:rPr>
          <w:sz w:val="24"/>
          <w:lang w:val="cs-CZ"/>
        </w:rPr>
        <w:tab/>
      </w:r>
      <w:r w:rsidRPr="00D557E7">
        <w:rPr>
          <w:iCs/>
          <w:sz w:val="24"/>
          <w:lang w:val="cs-CZ"/>
        </w:rPr>
        <w:t>Datum vloží Evropský parlament před vyhlášením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BD02" w14:textId="77777777" w:rsidR="00064002" w:rsidRPr="00D557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D310" w14:textId="77777777" w:rsidR="00064002" w:rsidRPr="00D557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FEDF" w14:textId="77777777" w:rsidR="00064002" w:rsidRPr="00D557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174179">
    <w:abstractNumId w:val="9"/>
  </w:num>
  <w:num w:numId="2" w16cid:durableId="852382617">
    <w:abstractNumId w:val="9"/>
  </w:num>
  <w:num w:numId="3" w16cid:durableId="886795268">
    <w:abstractNumId w:val="7"/>
  </w:num>
  <w:num w:numId="4" w16cid:durableId="1024093533">
    <w:abstractNumId w:val="7"/>
  </w:num>
  <w:num w:numId="5" w16cid:durableId="2025284337">
    <w:abstractNumId w:val="6"/>
  </w:num>
  <w:num w:numId="6" w16cid:durableId="1955668521">
    <w:abstractNumId w:val="6"/>
  </w:num>
  <w:num w:numId="7" w16cid:durableId="1283851522">
    <w:abstractNumId w:val="5"/>
  </w:num>
  <w:num w:numId="8" w16cid:durableId="539245832">
    <w:abstractNumId w:val="5"/>
  </w:num>
  <w:num w:numId="9" w16cid:durableId="806165680">
    <w:abstractNumId w:val="4"/>
  </w:num>
  <w:num w:numId="10" w16cid:durableId="553396066">
    <w:abstractNumId w:val="4"/>
  </w:num>
  <w:num w:numId="11" w16cid:durableId="1944803779">
    <w:abstractNumId w:val="8"/>
  </w:num>
  <w:num w:numId="12" w16cid:durableId="1391923741">
    <w:abstractNumId w:val="8"/>
  </w:num>
  <w:num w:numId="13" w16cid:durableId="1409428101">
    <w:abstractNumId w:val="3"/>
  </w:num>
  <w:num w:numId="14" w16cid:durableId="419715817">
    <w:abstractNumId w:val="3"/>
  </w:num>
  <w:num w:numId="15" w16cid:durableId="1345136259">
    <w:abstractNumId w:val="2"/>
  </w:num>
  <w:num w:numId="16" w16cid:durableId="246772044">
    <w:abstractNumId w:val="2"/>
  </w:num>
  <w:num w:numId="17" w16cid:durableId="1308974790">
    <w:abstractNumId w:val="1"/>
  </w:num>
  <w:num w:numId="18" w16cid:durableId="105664659">
    <w:abstractNumId w:val="1"/>
  </w:num>
  <w:num w:numId="19" w16cid:durableId="1076243263">
    <w:abstractNumId w:val="0"/>
  </w:num>
  <w:num w:numId="20" w16cid:durableId="1339652297">
    <w:abstractNumId w:val="0"/>
  </w:num>
  <w:num w:numId="21" w16cid:durableId="607197813">
    <w:abstractNumId w:val="9"/>
  </w:num>
  <w:num w:numId="22" w16cid:durableId="1167137481">
    <w:abstractNumId w:val="7"/>
  </w:num>
  <w:num w:numId="23" w16cid:durableId="770706896">
    <w:abstractNumId w:val="6"/>
  </w:num>
  <w:num w:numId="24" w16cid:durableId="847644405">
    <w:abstractNumId w:val="5"/>
  </w:num>
  <w:num w:numId="25" w16cid:durableId="1852602412">
    <w:abstractNumId w:val="4"/>
  </w:num>
  <w:num w:numId="26" w16cid:durableId="360283242">
    <w:abstractNumId w:val="8"/>
  </w:num>
  <w:num w:numId="27" w16cid:durableId="1195079857">
    <w:abstractNumId w:val="3"/>
  </w:num>
  <w:num w:numId="28" w16cid:durableId="128129783">
    <w:abstractNumId w:val="2"/>
  </w:num>
  <w:num w:numId="29" w16cid:durableId="828714224">
    <w:abstractNumId w:val="1"/>
  </w:num>
  <w:num w:numId="30" w16cid:durableId="1955746377">
    <w:abstractNumId w:val="0"/>
  </w:num>
  <w:num w:numId="31" w16cid:durableId="2058628024">
    <w:abstractNumId w:val="9"/>
  </w:num>
  <w:num w:numId="32" w16cid:durableId="76053003">
    <w:abstractNumId w:val="7"/>
  </w:num>
  <w:num w:numId="33" w16cid:durableId="960499962">
    <w:abstractNumId w:val="6"/>
  </w:num>
  <w:num w:numId="34" w16cid:durableId="542861849">
    <w:abstractNumId w:val="5"/>
  </w:num>
  <w:num w:numId="35" w16cid:durableId="2101482860">
    <w:abstractNumId w:val="4"/>
  </w:num>
  <w:num w:numId="36" w16cid:durableId="35744806">
    <w:abstractNumId w:val="8"/>
  </w:num>
  <w:num w:numId="37" w16cid:durableId="305739927">
    <w:abstractNumId w:val="3"/>
  </w:num>
  <w:num w:numId="38" w16cid:durableId="1056464518">
    <w:abstractNumId w:val="2"/>
  </w:num>
  <w:num w:numId="39" w16cid:durableId="1354384896">
    <w:abstractNumId w:val="1"/>
  </w:num>
  <w:num w:numId="40" w16cid:durableId="1501777482">
    <w:abstractNumId w:val="0"/>
  </w:num>
  <w:num w:numId="41" w16cid:durableId="703208910">
    <w:abstractNumId w:val="10"/>
  </w:num>
  <w:num w:numId="42" w16cid:durableId="1871795780">
    <w:abstractNumId w:val="10"/>
  </w:num>
  <w:num w:numId="43" w16cid:durableId="158158045">
    <w:abstractNumId w:val="10"/>
  </w:num>
  <w:num w:numId="44" w16cid:durableId="6246543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CS"/>
    <w:docVar w:name="dvnumam" w:val="0"/>
    <w:docVar w:name="dvpe" w:val="789.090"/>
    <w:docVar w:name="dvrapporteur" w:val="Zpravodaj: "/>
    <w:docVar w:name="dvtitre" w:val="Usnesení Evropského parlamentu ze dne.... 2026 o návrhu rozhodnutí Evropského parlamentu a Rady o uvolnění prostředků z Fondu solidarity Evropské unie za účelem poskytnutí pomoci Rumunsku v souvislosti s povodněmi na konci května 2025, Kypru po přírodních požárech v červenci 2025 a Španělsku po přírodních požárech v srpnu 2025(COM(2026)1002 – C10-0119/2026 – 2026/0120(BUD))"/>
  </w:docVars>
  <w:rsids>
    <w:rsidRoot w:val="002473D4"/>
    <w:rsid w:val="00002272"/>
    <w:rsid w:val="00064002"/>
    <w:rsid w:val="000677B9"/>
    <w:rsid w:val="000758F8"/>
    <w:rsid w:val="000831BA"/>
    <w:rsid w:val="000A42CC"/>
    <w:rsid w:val="000E7DD9"/>
    <w:rsid w:val="0010095E"/>
    <w:rsid w:val="00125B37"/>
    <w:rsid w:val="00187494"/>
    <w:rsid w:val="001F32AE"/>
    <w:rsid w:val="002473D4"/>
    <w:rsid w:val="002767FF"/>
    <w:rsid w:val="00293B4A"/>
    <w:rsid w:val="00294B7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F5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08D"/>
    <w:rsid w:val="00842779"/>
    <w:rsid w:val="0086374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6EF"/>
    <w:rsid w:val="00A778C7"/>
    <w:rsid w:val="00AB441E"/>
    <w:rsid w:val="00AB6293"/>
    <w:rsid w:val="00AE0928"/>
    <w:rsid w:val="00AF3B82"/>
    <w:rsid w:val="00B12E95"/>
    <w:rsid w:val="00B14578"/>
    <w:rsid w:val="00B22876"/>
    <w:rsid w:val="00B558F0"/>
    <w:rsid w:val="00BD48FE"/>
    <w:rsid w:val="00BD7BD8"/>
    <w:rsid w:val="00BE6ADC"/>
    <w:rsid w:val="00C05BFE"/>
    <w:rsid w:val="00C23CD4"/>
    <w:rsid w:val="00C61C0C"/>
    <w:rsid w:val="00C92703"/>
    <w:rsid w:val="00C941CB"/>
    <w:rsid w:val="00CC2357"/>
    <w:rsid w:val="00CF071A"/>
    <w:rsid w:val="00D058B8"/>
    <w:rsid w:val="00D557E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9E8B6"/>
  <w15:chartTrackingRefBased/>
  <w15:docId w15:val="{142C5611-8DE1-49CF-9CC4-DE0743C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94B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94B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94B7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94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4B78"/>
    <w:rPr>
      <w:sz w:val="24"/>
      <w:lang w:val="cs-CZ"/>
    </w:rPr>
  </w:style>
  <w:style w:type="paragraph" w:customStyle="1" w:styleId="EPFooter">
    <w:name w:val="EPFooter"/>
    <w:basedOn w:val="Normal"/>
    <w:rsid w:val="00294B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94B78"/>
    <w:pPr>
      <w:spacing w:before="480" w:after="240"/>
    </w:pPr>
  </w:style>
  <w:style w:type="character" w:styleId="Hyperlink">
    <w:name w:val="Hyperlink"/>
    <w:basedOn w:val="DefaultParagraphFont"/>
    <w:uiPriority w:val="99"/>
    <w:rsid w:val="00294B78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145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4578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B1457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11F5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36/oj" TargetMode="External"/><Relationship Id="rId13" Type="http://schemas.openxmlformats.org/officeDocument/2006/relationships/hyperlink" Target="http://data.europa.eu/eli/agree_interinstit/2020/122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en/analysis/publications/european-climate-risk-assessment" TargetMode="External"/><Relationship Id="rId12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Relationship Id="rId1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2026-07-07T12:58:00Z</dcterms:created>
  <dcterms:modified xsi:type="dcterms:W3CDTF">2026-07-07T12:58:00Z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