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5FFD" w14:paraId="0DB40168" w14:textId="77777777" w:rsidTr="0010095E">
        <w:trPr>
          <w:trHeight w:hRule="exact" w:val="1418"/>
        </w:trPr>
        <w:tc>
          <w:tcPr>
            <w:tcW w:w="6804" w:type="dxa"/>
            <w:shd w:val="clear" w:color="auto" w:fill="auto"/>
            <w:vAlign w:val="center"/>
          </w:tcPr>
          <w:p w14:paraId="0ADBEEEE" w14:textId="77777777" w:rsidR="00751A4A" w:rsidRPr="00DD5FFD" w:rsidRDefault="00173CAF" w:rsidP="0010095E">
            <w:pPr>
              <w:pStyle w:val="EPName"/>
            </w:pPr>
            <w:r w:rsidRPr="00DD5FFD">
              <w:t>Europa-Parlamentet</w:t>
            </w:r>
          </w:p>
          <w:p w14:paraId="3269D330" w14:textId="77777777" w:rsidR="00751A4A" w:rsidRPr="00DD5FFD" w:rsidRDefault="005F1B17" w:rsidP="005F1B17">
            <w:pPr>
              <w:pStyle w:val="EPTerm"/>
              <w:rPr>
                <w:rStyle w:val="HideTWBExt"/>
                <w:noProof w:val="0"/>
                <w:vanish w:val="0"/>
                <w:color w:val="auto"/>
              </w:rPr>
            </w:pPr>
            <w:r w:rsidRPr="00DD5FFD">
              <w:t>2024</w:t>
            </w:r>
            <w:r w:rsidR="00817416" w:rsidRPr="00DD5FFD">
              <w:t>-202</w:t>
            </w:r>
            <w:r w:rsidRPr="00DD5FFD">
              <w:t>9</w:t>
            </w:r>
          </w:p>
        </w:tc>
        <w:tc>
          <w:tcPr>
            <w:tcW w:w="2268" w:type="dxa"/>
            <w:shd w:val="clear" w:color="auto" w:fill="auto"/>
          </w:tcPr>
          <w:p w14:paraId="20D7B128" w14:textId="77777777" w:rsidR="00751A4A" w:rsidRPr="00DD5FFD" w:rsidRDefault="00187494" w:rsidP="0010095E">
            <w:pPr>
              <w:pStyle w:val="EPLogo"/>
            </w:pPr>
            <w:r w:rsidRPr="00DD5FFD">
              <w:rPr>
                <w:noProof/>
                <w:lang w:eastAsia="ja-JP"/>
              </w:rPr>
              <w:drawing>
                <wp:inline distT="0" distB="0" distL="0" distR="0" wp14:anchorId="02777618" wp14:editId="3BFA2D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A6BD42" w14:textId="77777777" w:rsidR="00D058B8" w:rsidRPr="00DD5FFD" w:rsidRDefault="00D058B8" w:rsidP="004C5D52">
      <w:pPr>
        <w:pStyle w:val="LineTop"/>
      </w:pPr>
    </w:p>
    <w:p w14:paraId="10B77BF3" w14:textId="77777777" w:rsidR="00680577" w:rsidRPr="00DD5FFD" w:rsidRDefault="00173CAF" w:rsidP="00680577">
      <w:pPr>
        <w:pStyle w:val="EPBodyTA1"/>
      </w:pPr>
      <w:r w:rsidRPr="00DD5FFD">
        <w:t>VEDTAGNE TEKSTER</w:t>
      </w:r>
    </w:p>
    <w:p w14:paraId="6A1ACD20" w14:textId="77777777" w:rsidR="00D058B8" w:rsidRPr="00DD5FFD" w:rsidRDefault="00D058B8" w:rsidP="00D058B8">
      <w:pPr>
        <w:pStyle w:val="LineBottom"/>
      </w:pPr>
    </w:p>
    <w:p w14:paraId="213C3924" w14:textId="151C46EA" w:rsidR="00173CAF" w:rsidRPr="00A71976" w:rsidRDefault="00173CAF" w:rsidP="00173CAF">
      <w:pPr>
        <w:pStyle w:val="ATHeading1"/>
      </w:pPr>
      <w:bookmarkStart w:id="0" w:name="TANumber"/>
      <w:r w:rsidRPr="00A71976">
        <w:t>P10_</w:t>
      </w:r>
      <w:proofErr w:type="gramStart"/>
      <w:r w:rsidRPr="00A71976">
        <w:t>TA(</w:t>
      </w:r>
      <w:proofErr w:type="gramEnd"/>
      <w:r w:rsidRPr="00A71976">
        <w:t>2026)0</w:t>
      </w:r>
      <w:r w:rsidR="002B1086">
        <w:t>244</w:t>
      </w:r>
      <w:bookmarkEnd w:id="0"/>
    </w:p>
    <w:p w14:paraId="1E68DEDD" w14:textId="77777777" w:rsidR="00173CAF" w:rsidRPr="00A71976" w:rsidRDefault="00173CAF" w:rsidP="00173CAF">
      <w:pPr>
        <w:pStyle w:val="ATHeading2"/>
      </w:pPr>
      <w:bookmarkStart w:id="1" w:name="title"/>
      <w:r w:rsidRPr="00A71976">
        <w:t>Anvendelse af Den Europæiske Unions Solidaritetsfond: bistand til Rumænien, Cypern og Spanien i forbindelse med naturkatastrofer i 2025</w:t>
      </w:r>
      <w:bookmarkEnd w:id="1"/>
    </w:p>
    <w:p w14:paraId="383A9462" w14:textId="77777777" w:rsidR="00173CAF" w:rsidRPr="00DD5FFD" w:rsidRDefault="00173CAF" w:rsidP="00173CAF">
      <w:pPr>
        <w:rPr>
          <w:i/>
          <w:vanish/>
        </w:rPr>
      </w:pPr>
      <w:r w:rsidRPr="00DD5FFD">
        <w:rPr>
          <w:i/>
        </w:rPr>
        <w:fldChar w:fldCharType="begin"/>
      </w:r>
      <w:r w:rsidRPr="00DD5FFD">
        <w:rPr>
          <w:i/>
        </w:rPr>
        <w:instrText xml:space="preserve"> TC"(</w:instrText>
      </w:r>
      <w:bookmarkStart w:id="2" w:name="DocNumber"/>
      <w:r w:rsidRPr="00DD5FFD">
        <w:rPr>
          <w:i/>
        </w:rPr>
        <w:instrText>A10-0178/2026</w:instrText>
      </w:r>
      <w:bookmarkEnd w:id="2"/>
      <w:r w:rsidRPr="00DD5FFD">
        <w:rPr>
          <w:i/>
        </w:rPr>
        <w:instrText xml:space="preserve"> - Ordfører: Bogdan Rzońca)"\l3 \n&gt; \* MERGEFORMAT </w:instrText>
      </w:r>
      <w:r w:rsidRPr="00DD5FFD">
        <w:rPr>
          <w:i/>
        </w:rPr>
        <w:fldChar w:fldCharType="end"/>
      </w:r>
    </w:p>
    <w:p w14:paraId="3A5B541C" w14:textId="77777777" w:rsidR="00173CAF" w:rsidRPr="00DD5FFD" w:rsidRDefault="00173CAF" w:rsidP="00173CAF">
      <w:pPr>
        <w:rPr>
          <w:vanish/>
        </w:rPr>
      </w:pPr>
      <w:bookmarkStart w:id="3" w:name="Commission"/>
      <w:r w:rsidRPr="00DD5FFD">
        <w:rPr>
          <w:vanish/>
        </w:rPr>
        <w:t>Budgetudvalget</w:t>
      </w:r>
      <w:bookmarkEnd w:id="3"/>
    </w:p>
    <w:p w14:paraId="5CB68E36" w14:textId="77777777" w:rsidR="00173CAF" w:rsidRPr="00DD5FFD" w:rsidRDefault="00173CAF" w:rsidP="00173CAF">
      <w:pPr>
        <w:rPr>
          <w:vanish/>
        </w:rPr>
      </w:pPr>
      <w:bookmarkStart w:id="4" w:name="PE"/>
      <w:r w:rsidRPr="00DD5FFD">
        <w:rPr>
          <w:vanish/>
        </w:rPr>
        <w:t>PE789.090</w:t>
      </w:r>
      <w:bookmarkEnd w:id="4"/>
    </w:p>
    <w:p w14:paraId="627A97DD" w14:textId="506908A9" w:rsidR="00173CAF" w:rsidRPr="00A71976" w:rsidRDefault="00173CAF" w:rsidP="00173CAF">
      <w:pPr>
        <w:pStyle w:val="ATHeading3"/>
      </w:pPr>
      <w:bookmarkStart w:id="5" w:name="Sujet"/>
      <w:r w:rsidRPr="00A71976">
        <w:t xml:space="preserve">Europa-Parlamentets beslutning af </w:t>
      </w:r>
      <w:r w:rsidR="002B1086">
        <w:t>7</w:t>
      </w:r>
      <w:r w:rsidRPr="00A71976">
        <w:t>. juli 2026 om forslag til Europa-Parlamentets og Rådets afgørelse om anvendelse af Den Europæiske Unions Solidaritetsfond med henblik på at yde bistand til Rumænien i forbindelse med oversvømmelserne i slutningen af maj 2025, Cypern efter naturbrandene i juli 2025 og Spanien efter naturbrandene i august 2025</w:t>
      </w:r>
      <w:bookmarkEnd w:id="5"/>
      <w:r w:rsidRPr="00A71976">
        <w:t xml:space="preserve"> </w:t>
      </w:r>
      <w:bookmarkStart w:id="6" w:name="References"/>
      <w:r w:rsidRPr="00A71976">
        <w:t>(</w:t>
      </w:r>
      <w:proofErr w:type="gramStart"/>
      <w:r w:rsidRPr="00A71976">
        <w:t>COM(</w:t>
      </w:r>
      <w:proofErr w:type="gramEnd"/>
      <w:r w:rsidRPr="00A71976">
        <w:t>2026)1002 – C10-0119/2026 – 2026/0120(BUD))</w:t>
      </w:r>
      <w:bookmarkEnd w:id="6"/>
    </w:p>
    <w:p w14:paraId="369BC5A8" w14:textId="77777777" w:rsidR="001F509E" w:rsidRPr="00DD5FFD" w:rsidRDefault="001F509E" w:rsidP="001F509E">
      <w:pPr>
        <w:pStyle w:val="EPComma"/>
        <w:rPr>
          <w:noProof/>
        </w:rPr>
      </w:pPr>
      <w:r w:rsidRPr="00DD5FFD">
        <w:rPr>
          <w:i/>
        </w:rPr>
        <w:t>Europa-Parlamentet</w:t>
      </w:r>
      <w:r w:rsidRPr="00DD5FFD">
        <w:t>,</w:t>
      </w:r>
    </w:p>
    <w:p w14:paraId="10FA8212" w14:textId="77777777" w:rsidR="001F509E" w:rsidRPr="00DD5FFD" w:rsidRDefault="001F509E" w:rsidP="001F509E">
      <w:pPr>
        <w:pStyle w:val="NormalHanging12a"/>
        <w:rPr>
          <w:noProof/>
        </w:rPr>
      </w:pPr>
      <w:r w:rsidRPr="00DD5FFD">
        <w:t>–</w:t>
      </w:r>
      <w:r w:rsidRPr="00DD5FFD">
        <w:tab/>
        <w:t>der henviser til Kommissionens forslag til Europa-Parlamentet og Rådet (</w:t>
      </w:r>
      <w:proofErr w:type="gramStart"/>
      <w:r w:rsidRPr="00DD5FFD">
        <w:t>COM(</w:t>
      </w:r>
      <w:proofErr w:type="gramEnd"/>
      <w:r w:rsidRPr="00DD5FFD">
        <w:t>2026)1002 – C10</w:t>
      </w:r>
      <w:r w:rsidRPr="00DD5FFD">
        <w:noBreakHyphen/>
        <w:t>0119/2026),</w:t>
      </w:r>
    </w:p>
    <w:p w14:paraId="755C9D51" w14:textId="77777777" w:rsidR="001F509E" w:rsidRPr="00DD5FFD" w:rsidRDefault="001F509E" w:rsidP="001F509E">
      <w:pPr>
        <w:pStyle w:val="NormalHanging12a"/>
        <w:rPr>
          <w:noProof/>
        </w:rPr>
      </w:pPr>
      <w:r w:rsidRPr="00DD5FFD">
        <w:t>–</w:t>
      </w:r>
      <w:r w:rsidRPr="00DD5FFD">
        <w:tab/>
        <w:t>der henviser til Rådets forordning (EF) nr. 2012/2002 af 11. november 2002 om oprettelse af Den Europæiske Unions Solidaritetsfond</w:t>
      </w:r>
      <w:r w:rsidRPr="00DD5FFD">
        <w:rPr>
          <w:rStyle w:val="FootnoteReference"/>
        </w:rPr>
        <w:footnoteReference w:id="1"/>
      </w:r>
      <w:r w:rsidRPr="00DD5FFD">
        <w:t>,</w:t>
      </w:r>
    </w:p>
    <w:p w14:paraId="7D0C0FC7" w14:textId="77777777" w:rsidR="001F509E" w:rsidRPr="00DD5FFD" w:rsidRDefault="001F509E" w:rsidP="001F509E">
      <w:pPr>
        <w:pStyle w:val="NormalHanging12a"/>
        <w:rPr>
          <w:noProof/>
        </w:rPr>
      </w:pPr>
      <w:r w:rsidRPr="00DD5FFD">
        <w:t>–</w:t>
      </w:r>
      <w:r w:rsidRPr="00DD5FFD">
        <w:tab/>
        <w:t xml:space="preserve">der henviser til Rådets forordning (EU, </w:t>
      </w:r>
      <w:proofErr w:type="spellStart"/>
      <w:r w:rsidRPr="00DD5FFD">
        <w:t>Euratom</w:t>
      </w:r>
      <w:proofErr w:type="spellEnd"/>
      <w:r w:rsidRPr="00DD5FFD">
        <w:t>) 2020/2093 af 17. december 2020 om fastlæggelse af den flerårige finansielle ramme for årene 2021-2027</w:t>
      </w:r>
      <w:r w:rsidRPr="00DD5FFD">
        <w:rPr>
          <w:rStyle w:val="FootnoteReference"/>
          <w:noProof/>
        </w:rPr>
        <w:footnoteReference w:id="2"/>
      </w:r>
      <w:r w:rsidRPr="00DD5FFD">
        <w:t>, særlig artikel 9,</w:t>
      </w:r>
    </w:p>
    <w:p w14:paraId="52C6401A" w14:textId="77777777" w:rsidR="001F509E" w:rsidRPr="00DD5FFD" w:rsidRDefault="001F509E" w:rsidP="001F509E">
      <w:pPr>
        <w:pStyle w:val="NormalHanging12a"/>
        <w:rPr>
          <w:noProof/>
        </w:rPr>
      </w:pPr>
      <w:r w:rsidRPr="00DD5FFD">
        <w:t>–</w:t>
      </w:r>
      <w:r w:rsidRPr="00DD5FFD">
        <w:tab/>
        <w:t xml:space="preserve">der henviser til den </w:t>
      </w:r>
      <w:proofErr w:type="spellStart"/>
      <w:r w:rsidRPr="00DD5FFD">
        <w:t>interinstitutionelle</w:t>
      </w:r>
      <w:proofErr w:type="spellEnd"/>
      <w:r w:rsidRPr="00DD5FFD">
        <w:t xml:space="preserve"> aftale af 16. december 2020 mellem Europa-Parlamentet, Rådet og Kommissionen om budgetdisciplin, om samarbejde på budgetområdet og om forsvarlig økonomisk forvaltning samt om nye egne indtægter, herunder en køreplan hen imod indførelse af nye egne indtægter</w:t>
      </w:r>
      <w:r w:rsidRPr="00DD5FFD">
        <w:rPr>
          <w:noProof/>
          <w:vertAlign w:val="superscript"/>
        </w:rPr>
        <w:footnoteReference w:id="3"/>
      </w:r>
      <w:r w:rsidRPr="00DD5FFD">
        <w:t xml:space="preserve">, særlig punkt 10, </w:t>
      </w:r>
    </w:p>
    <w:p w14:paraId="1A95F433" w14:textId="77777777" w:rsidR="001F509E" w:rsidRPr="00DD5FFD" w:rsidRDefault="001F509E" w:rsidP="001F509E">
      <w:pPr>
        <w:pStyle w:val="NormalHanging12a"/>
        <w:rPr>
          <w:noProof/>
        </w:rPr>
      </w:pPr>
      <w:r w:rsidRPr="00DD5FFD">
        <w:t>–</w:t>
      </w:r>
      <w:r w:rsidRPr="00DD5FFD">
        <w:tab/>
        <w:t>der henviser til Europa-Parlamentets og Rådets forordning (EU) 2021/1058 af 24. juni 2021 om Den Europæiske Fond for Regionaludvikling og Samhørighedsfonden</w:t>
      </w:r>
      <w:r w:rsidRPr="00DD5FFD">
        <w:rPr>
          <w:noProof/>
          <w:vertAlign w:val="superscript"/>
        </w:rPr>
        <w:footnoteReference w:id="4"/>
      </w:r>
      <w:r w:rsidRPr="00DD5FFD">
        <w:t xml:space="preserve">, </w:t>
      </w:r>
    </w:p>
    <w:p w14:paraId="05C5F856" w14:textId="77777777" w:rsidR="001F509E" w:rsidRPr="00DD5FFD" w:rsidRDefault="001F509E" w:rsidP="001F509E">
      <w:pPr>
        <w:pStyle w:val="NormalHanging12a"/>
        <w:rPr>
          <w:noProof/>
        </w:rPr>
      </w:pPr>
      <w:r w:rsidRPr="00DD5FFD">
        <w:t>–</w:t>
      </w:r>
      <w:r w:rsidRPr="00DD5FFD">
        <w:tab/>
        <w:t>der henviser til Europa-Parlamentets og Rådets forordning (EU) 2021/1057 af 24. juni 2021 om oprettelse af Den Europæiske Socialfond Plus (ESF+)</w:t>
      </w:r>
      <w:r w:rsidRPr="00DD5FFD">
        <w:rPr>
          <w:noProof/>
          <w:vertAlign w:val="superscript"/>
        </w:rPr>
        <w:footnoteReference w:id="5"/>
      </w:r>
      <w:r w:rsidRPr="00DD5FFD">
        <w:t xml:space="preserve">, </w:t>
      </w:r>
    </w:p>
    <w:p w14:paraId="16D4AA60" w14:textId="77777777" w:rsidR="001F509E" w:rsidRPr="00DD5FFD" w:rsidRDefault="001F509E" w:rsidP="001F509E">
      <w:pPr>
        <w:pStyle w:val="NormalHanging12a"/>
        <w:rPr>
          <w:noProof/>
        </w:rPr>
      </w:pPr>
      <w:r w:rsidRPr="00DD5FFD">
        <w:lastRenderedPageBreak/>
        <w:t>–</w:t>
      </w:r>
      <w:r w:rsidRPr="00DD5FFD">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w:t>
      </w:r>
      <w:r w:rsidRPr="00DD5FFD">
        <w:rPr>
          <w:rStyle w:val="FootnoteReference"/>
          <w:noProof/>
        </w:rPr>
        <w:footnoteReference w:id="6"/>
      </w:r>
      <w:r w:rsidRPr="00DD5FFD">
        <w:t>,</w:t>
      </w:r>
    </w:p>
    <w:p w14:paraId="7798E203" w14:textId="77777777" w:rsidR="001F509E" w:rsidRPr="00DD5FFD" w:rsidRDefault="001F509E" w:rsidP="001F509E">
      <w:pPr>
        <w:pStyle w:val="NormalHanging12a"/>
        <w:rPr>
          <w:noProof/>
        </w:rPr>
      </w:pPr>
      <w:r w:rsidRPr="00DD5FFD">
        <w:t>–</w:t>
      </w:r>
      <w:r w:rsidRPr="00DD5FFD">
        <w:tab/>
        <w:t>der henviser til sin beslutning af 17. december 2024 om forslag til Europa-Parlamentets og Rådets forordning om RESTORE – regional nødhjælp til genopbygning og om ændring af forordning (EU) 2021/1058 og forordning (EU) 2021/1057</w:t>
      </w:r>
      <w:r w:rsidRPr="00DD5FFD">
        <w:rPr>
          <w:rStyle w:val="FootnoteReference"/>
          <w:noProof/>
        </w:rPr>
        <w:footnoteReference w:id="7"/>
      </w:r>
      <w:r w:rsidRPr="00DD5FFD">
        <w:t>, navnlig den vedføjede budgetvurdering,</w:t>
      </w:r>
    </w:p>
    <w:p w14:paraId="3F2395AF" w14:textId="77777777" w:rsidR="001F509E" w:rsidRPr="00DD5FFD" w:rsidRDefault="001F509E" w:rsidP="001F509E">
      <w:pPr>
        <w:pStyle w:val="NormalHanging12a"/>
        <w:rPr>
          <w:noProof/>
        </w:rPr>
      </w:pPr>
      <w:r w:rsidRPr="00DD5FFD">
        <w:t>–</w:t>
      </w:r>
      <w:r w:rsidRPr="00DD5FFD">
        <w:tab/>
        <w:t>der henviser til Det Europæiske Miljøagenturs rapport nr. 1/2024 – Europæisk klimarisikovurdering (EUCRA)</w:t>
      </w:r>
      <w:r w:rsidRPr="00DD5FFD">
        <w:rPr>
          <w:rStyle w:val="FootnoteReference"/>
          <w:noProof/>
        </w:rPr>
        <w:footnoteReference w:id="8"/>
      </w:r>
      <w:r w:rsidRPr="00DD5FFD">
        <w:t>,</w:t>
      </w:r>
    </w:p>
    <w:p w14:paraId="53323982" w14:textId="77777777" w:rsidR="001F509E" w:rsidRPr="00DD5FFD" w:rsidRDefault="001F509E" w:rsidP="001F509E">
      <w:pPr>
        <w:spacing w:after="240"/>
        <w:ind w:left="567" w:hanging="567"/>
        <w:rPr>
          <w:noProof/>
        </w:rPr>
      </w:pPr>
      <w:r w:rsidRPr="00DD5FFD">
        <w:t>A.</w:t>
      </w:r>
      <w:r w:rsidRPr="00DD5FFD">
        <w:tab/>
        <w:t xml:space="preserve">der henviser til, at Rumænien mellem den 26. maj og begyndelsen af juni 2025 blev ramt af kraftige regnskyl, der forårsagede alvorlige oversvømmelser i regionerne </w:t>
      </w:r>
      <w:proofErr w:type="spellStart"/>
      <w:r w:rsidRPr="00DD5FFD">
        <w:t>Centru</w:t>
      </w:r>
      <w:proofErr w:type="spellEnd"/>
      <w:r w:rsidRPr="00DD5FFD">
        <w:t xml:space="preserve">, </w:t>
      </w:r>
      <w:proofErr w:type="spellStart"/>
      <w:r w:rsidRPr="00DD5FFD">
        <w:t>Sud-Muntenia</w:t>
      </w:r>
      <w:proofErr w:type="spellEnd"/>
      <w:r w:rsidRPr="00DD5FFD">
        <w:t xml:space="preserve"> og Nord-Est i Rumænien, hvilket resulterede i samlede direkte skader, som Kommissionen anslog til 573,59 mio. EUR, og påvirkede kritisk infrastruktur, offentlige tjenester og tusindvis af husstande; der henviser til, at oversvømmelserne forårsagede omfattende skader på saltminen i </w:t>
      </w:r>
      <w:proofErr w:type="spellStart"/>
      <w:r w:rsidRPr="00DD5FFD">
        <w:t>Praid</w:t>
      </w:r>
      <w:proofErr w:type="spellEnd"/>
      <w:r w:rsidRPr="00DD5FFD">
        <w:t xml:space="preserve"> og den dermed forbundne hydrotekniske infrastruktur;</w:t>
      </w:r>
    </w:p>
    <w:p w14:paraId="48D50F63" w14:textId="77777777" w:rsidR="001F509E" w:rsidRPr="00DD5FFD" w:rsidRDefault="001F509E" w:rsidP="001F509E">
      <w:pPr>
        <w:spacing w:after="240"/>
        <w:ind w:left="567" w:hanging="567"/>
        <w:rPr>
          <w:noProof/>
        </w:rPr>
      </w:pPr>
      <w:r w:rsidRPr="00DD5FFD">
        <w:t>B.</w:t>
      </w:r>
      <w:r w:rsidRPr="00DD5FFD">
        <w:tab/>
        <w:t xml:space="preserve">der henviser til, at Cypern i juli 2025 blev ramt af hidtil usete naturbrande i regionerne Limassol og </w:t>
      </w:r>
      <w:proofErr w:type="spellStart"/>
      <w:r w:rsidRPr="00DD5FFD">
        <w:t>Pafos</w:t>
      </w:r>
      <w:proofErr w:type="spellEnd"/>
      <w:r w:rsidRPr="00DD5FFD">
        <w:t xml:space="preserve"> efter langvarig tørke, ekstreme hedebølger og hård vind, hvilket resulterede i samlede direkte skader, som Kommissionen anslog til 252,68 mio. EUR; der henviser til, at naturbrandene ramte tusindvis af beboere, ødelagde næsten 900 private ejendomme og forårsagede mindst to dødsfald;</w:t>
      </w:r>
    </w:p>
    <w:p w14:paraId="30BC16AB" w14:textId="77777777" w:rsidR="001F509E" w:rsidRPr="00DD5FFD" w:rsidRDefault="001F509E" w:rsidP="001F509E">
      <w:pPr>
        <w:spacing w:after="240"/>
        <w:ind w:left="567" w:hanging="567"/>
        <w:rPr>
          <w:noProof/>
        </w:rPr>
      </w:pPr>
      <w:r w:rsidRPr="00DD5FFD">
        <w:t>C.</w:t>
      </w:r>
      <w:r w:rsidRPr="00DD5FFD">
        <w:tab/>
        <w:t>der henviser til, at Spanien i august 2025 blev ramt af en tredje bølge af alvorlige naturbrande, og at Kommissionen anslog de samlede direkte skader til 4,32 mia. EUR; der henviser til, at brandene ramte 16 selvstyrende regioner, forårsagede store miljømæssige, sociale og økonomiske skader og resulterede i mindst otte dødsfald;</w:t>
      </w:r>
    </w:p>
    <w:p w14:paraId="3ABE5F76" w14:textId="77777777" w:rsidR="001F509E" w:rsidRPr="00DD5FFD" w:rsidRDefault="001F509E" w:rsidP="001F509E">
      <w:pPr>
        <w:spacing w:after="240"/>
        <w:ind w:left="567" w:hanging="567"/>
        <w:rPr>
          <w:noProof/>
          <w:szCs w:val="24"/>
        </w:rPr>
      </w:pPr>
      <w:r w:rsidRPr="00DD5FFD">
        <w:t>D.</w:t>
      </w:r>
      <w:r w:rsidRPr="00DD5FFD">
        <w:tab/>
        <w:t>der henviser til, at den stigende alvor og hyppighed af oversvømmelser og naturbrande i mange medlemsstater afspejler de accelererende virkninger af klimaændringer, hvilket kræver en styrket EU-indsats med hensyn til tilpasnings-, forebyggelses- og resiliensforanstaltninger;</w:t>
      </w:r>
    </w:p>
    <w:p w14:paraId="3460F454" w14:textId="77777777" w:rsidR="001F509E" w:rsidRPr="00DD5FFD" w:rsidRDefault="001F509E" w:rsidP="001F509E">
      <w:pPr>
        <w:spacing w:after="240"/>
        <w:ind w:left="567" w:hanging="567"/>
        <w:rPr>
          <w:noProof/>
        </w:rPr>
      </w:pPr>
      <w:bookmarkStart w:id="7" w:name="_Hlk230861495"/>
      <w:r w:rsidRPr="00DD5FFD">
        <w:t>1.</w:t>
      </w:r>
      <w:r w:rsidRPr="00DD5FFD">
        <w:tab/>
        <w:t>udtrykker sin dybeste solidaritet med alle ofrene, deres familier og alle de personer, der er berørt af oversvømmelserne i Rumænien i slutningen af maj og begyndelsen af juni 2025 samt af naturbrandene i Cypern i juli 2025 og i Spanien i august 2025, og med de nationale, regionale og lokale myndigheder, der er involveret i nødhjælpsindsatsen;</w:t>
      </w:r>
    </w:p>
    <w:bookmarkEnd w:id="7"/>
    <w:p w14:paraId="068A18C7" w14:textId="77777777" w:rsidR="001F509E" w:rsidRPr="00DD5FFD" w:rsidRDefault="001F509E" w:rsidP="001F509E">
      <w:pPr>
        <w:spacing w:after="240"/>
        <w:ind w:left="567" w:hanging="567"/>
        <w:rPr>
          <w:noProof/>
        </w:rPr>
      </w:pPr>
      <w:r w:rsidRPr="00DD5FFD">
        <w:t>2.</w:t>
      </w:r>
      <w:r w:rsidRPr="00DD5FFD">
        <w:tab/>
        <w:t>glæder sig over afgørelsen som et håndgribeligt og synligt udtryk for Unionens solidaritet med de borgere og regioner, der er berørt af oversvømmelserne og naturbrandene i Rumænien, Cypern og Spanien;</w:t>
      </w:r>
    </w:p>
    <w:p w14:paraId="7AE55119" w14:textId="77777777" w:rsidR="001F509E" w:rsidRPr="00DD5FFD" w:rsidRDefault="001F509E" w:rsidP="001F509E">
      <w:pPr>
        <w:spacing w:after="240"/>
        <w:ind w:left="567" w:hanging="567"/>
        <w:rPr>
          <w:noProof/>
          <w:kern w:val="2"/>
          <w:szCs w:val="24"/>
          <w14:ligatures w14:val="standardContextual"/>
        </w:rPr>
      </w:pPr>
      <w:r w:rsidRPr="00DD5FFD">
        <w:t>3.</w:t>
      </w:r>
      <w:r w:rsidRPr="00DD5FFD">
        <w:tab/>
        <w:t xml:space="preserve">gentager, at det er vigtigt, at offentligheden oplyses om de konkrete fordele, som Den </w:t>
      </w:r>
      <w:r w:rsidRPr="00DD5FFD">
        <w:lastRenderedPageBreak/>
        <w:t>Europæiske Unions Solidaritetsfond (EUSF) har bragt med sig, også for yderligere at øge borgernes bevidsthed om Unionens værktøjer og programmer og om den europæiske solidaritet i krisesituationer, navnlig i de berørte områder;</w:t>
      </w:r>
    </w:p>
    <w:p w14:paraId="4A651EDF" w14:textId="77777777" w:rsidR="001F509E" w:rsidRPr="00DD5FFD" w:rsidRDefault="001F509E" w:rsidP="001F509E">
      <w:pPr>
        <w:spacing w:after="240"/>
        <w:ind w:left="567" w:hanging="567"/>
        <w:rPr>
          <w:bCs/>
          <w:iCs/>
          <w:noProof/>
        </w:rPr>
      </w:pPr>
      <w:r w:rsidRPr="00DD5FFD">
        <w:t>4.</w:t>
      </w:r>
      <w:r w:rsidRPr="00DD5FFD">
        <w:tab/>
        <w:t>minder om, at EUSF har et begrænset budget og ikke kan betragtes som det eneste instrument til håndtering af større naturkatastrofer; opfordrer derfor til en vurdering af EU-budgettets finansielle kapacitet; understreger behovet for at fremskynde og forenkle alle procedurerne for at sikre, at bistanden når ud til de berørte områder så hurtigt som muligt;</w:t>
      </w:r>
    </w:p>
    <w:p w14:paraId="245E3558" w14:textId="77777777" w:rsidR="001F509E" w:rsidRPr="00DD5FFD" w:rsidRDefault="001F509E" w:rsidP="001F509E">
      <w:pPr>
        <w:spacing w:after="240"/>
        <w:ind w:left="567" w:hanging="567"/>
        <w:rPr>
          <w:noProof/>
          <w:kern w:val="2"/>
          <w:szCs w:val="24"/>
          <w14:ligatures w14:val="standardContextual"/>
        </w:rPr>
      </w:pPr>
      <w:r w:rsidRPr="00DD5FFD">
        <w:t>5.</w:t>
      </w:r>
      <w:r w:rsidRPr="00DD5FFD">
        <w:tab/>
        <w:t xml:space="preserve">fremhæver det stigende antal alvorlige, ødelæggende og dødbringende naturkatastrofer i Europa og opfordrer medlemsstaterne og Kommissionen til at investere i foranstaltninger til </w:t>
      </w:r>
      <w:proofErr w:type="spellStart"/>
      <w:r w:rsidRPr="00DD5FFD">
        <w:t>modvirkning</w:t>
      </w:r>
      <w:proofErr w:type="spellEnd"/>
      <w:r w:rsidRPr="00DD5FFD">
        <w:t xml:space="preserve"> af og tilpasning til klimaforandringer for at undgå menneskelige og økonomiske tab; opfordrer medlemsstaterne til at tage hensyn til, at klimarisici påvirker sårbare befolkningsgrupper i uforholdsmæssig grad på grund af socioøkonomiske faktorer; bemærker, at medlemsstaterne bør prioritere genopretningsforanstaltninger for at støtte de berørte befolkningsgrupper, primært de sårbare samfund, for at sikre adgang til passende boliger og væsentlige tjenester under genopretningen;</w:t>
      </w:r>
      <w:r w:rsidRPr="00DD5FFD">
        <w:rPr>
          <w:b/>
          <w:i/>
        </w:rPr>
        <w:t xml:space="preserve"> </w:t>
      </w:r>
      <w:r w:rsidRPr="00DD5FFD">
        <w:t>opfordrer til, at der gøres en indsats for at sikre, at EUSF-støtten hurtigt når ud til de endelige modtagere, herunder virksomheder, SMV'er, familier og berørte borgere, samt til genopbygning af infrastruktur og reparation af materielle skader, alt sammen med den tilhørende konsekvensanalyse og passende kontrolmekanismer;</w:t>
      </w:r>
      <w:r w:rsidRPr="00DD5FFD">
        <w:rPr>
          <w:b/>
          <w:i/>
        </w:rPr>
        <w:t xml:space="preserve"> </w:t>
      </w:r>
      <w:r w:rsidRPr="00DD5FFD">
        <w:t>fremhæver betydningen af at genoprette og styrke kritisk infrastruktur, herunder transport-, energi-, vandforvaltnings-, sundheds- og kommunikationsnet, med henblik på at øge modstandsdygtigheden i de berørte regioner og mindske sårbarheden over for fremtidige katastrofer;</w:t>
      </w:r>
    </w:p>
    <w:p w14:paraId="4D312CC3" w14:textId="77777777" w:rsidR="001F509E" w:rsidRPr="00DD5FFD" w:rsidRDefault="001F509E" w:rsidP="001F509E">
      <w:pPr>
        <w:spacing w:after="240"/>
        <w:ind w:left="567" w:hanging="567"/>
        <w:rPr>
          <w:noProof/>
          <w:kern w:val="2"/>
          <w:szCs w:val="24"/>
          <w14:ligatures w14:val="standardContextual"/>
        </w:rPr>
      </w:pPr>
      <w:r w:rsidRPr="00DD5FFD">
        <w:t>6.</w:t>
      </w:r>
      <w:r w:rsidRPr="00DD5FFD">
        <w:tab/>
        <w:t xml:space="preserve">understreger, at EUSF kun er et afhjælpende instrument, og at Unionen også fortsat bør bidrage til tilpasning til og </w:t>
      </w:r>
      <w:proofErr w:type="spellStart"/>
      <w:r w:rsidRPr="00DD5FFD">
        <w:t>modvirkning</w:t>
      </w:r>
      <w:proofErr w:type="spellEnd"/>
      <w:r w:rsidRPr="00DD5FFD">
        <w:t xml:space="preserve"> af klimaforandringer ved at støtte europæiske og nationale politikker til forebyggelse af naturkatastrofer; understreger, at Det Europæiske Miljøagenturs rapport nr. 1/2024 "Europæisk klimarisikovurdering" understreger behovet for en indsats over for de deri identificerede risici; opfordrer medlemsstaterne og Kommissionen til at fortsætte bestræbelserne på at styrke modstandsdygtigheden, øge beredskabet og bidrage til gennemførelsen af forpligtelserne i henhold til </w:t>
      </w:r>
      <w:proofErr w:type="spellStart"/>
      <w:r w:rsidRPr="00DD5FFD">
        <w:t>Parisaftalen</w:t>
      </w:r>
      <w:proofErr w:type="spellEnd"/>
      <w:r w:rsidRPr="00DD5FFD">
        <w:t>, samtidig med at der sikres effektiv katastrofeforebyggelse, risikostyring og civilbeskyttelseskapacitet i hele Unionen; fremhæver også behovet for forebyggende foranstaltninger, ikke blot for at afbøde fremtidige skader, men også for at forhindre en forværring af risikoforholdene som følge af katastrofale hændelser såsom oversvømmelser, naturbrande, jordskred eller udtørring af søer og floder; understreger vigtigheden af tilstrækkelig fleksibilitet mellem de forskellige programmer;</w:t>
      </w:r>
      <w:bookmarkStart w:id="8" w:name="_Hlk233120310"/>
      <w:r w:rsidRPr="00DD5FFD">
        <w:t xml:space="preserve"> understreger, at enhver fleksibilitet mellem forskellige finansieringsprogrammer skal ledsages af streng budgetkontrol for at undgå overlapning eller spild af finansiering og fuldt ud skal overholde principperne om budgeteffektivitet og målrettede resultatindikatorer;</w:t>
      </w:r>
      <w:bookmarkEnd w:id="8"/>
    </w:p>
    <w:p w14:paraId="728F0CBA" w14:textId="77777777" w:rsidR="001F509E" w:rsidRPr="00DD5FFD" w:rsidRDefault="001F509E" w:rsidP="001F509E">
      <w:pPr>
        <w:spacing w:after="240"/>
        <w:ind w:left="567" w:hanging="567"/>
        <w:rPr>
          <w:noProof/>
        </w:rPr>
      </w:pPr>
      <w:r w:rsidRPr="00DD5FFD">
        <w:t>7.</w:t>
      </w:r>
      <w:r w:rsidRPr="00DD5FFD">
        <w:tab/>
        <w:t>minder om, at RESTORE</w:t>
      </w:r>
      <w:r w:rsidRPr="00DD5FFD">
        <w:rPr>
          <w:rStyle w:val="FootnoteReference"/>
          <w:noProof/>
        </w:rPr>
        <w:footnoteReference w:id="9"/>
      </w:r>
      <w:r w:rsidRPr="00DD5FFD">
        <w:t xml:space="preserve"> og de specifikke foranstaltninger under Den Europæiske Landbrugsfond for Udvikling af Landdistrikterne (ELFUL)</w:t>
      </w:r>
      <w:r w:rsidRPr="00DD5FFD">
        <w:rPr>
          <w:rStyle w:val="FootnoteReference"/>
          <w:noProof/>
        </w:rPr>
        <w:footnoteReference w:id="10"/>
      </w:r>
      <w:r w:rsidRPr="00DD5FFD">
        <w:t xml:space="preserve"> yder supplerende bistand til medlemsstater, der er ramt af naturkatastrofer, gennem yderligere fleksibilitet i anvendelsen af midlerne; understreger, at medlemsstaterne bør gøre brug af disse </w:t>
      </w:r>
      <w:r w:rsidRPr="00DD5FFD">
        <w:lastRenderedPageBreak/>
        <w:t>muligheder;</w:t>
      </w:r>
    </w:p>
    <w:p w14:paraId="74E83E3E" w14:textId="77777777" w:rsidR="001F509E" w:rsidRPr="00DD5FFD" w:rsidRDefault="001F509E" w:rsidP="001F509E">
      <w:pPr>
        <w:spacing w:after="240"/>
        <w:ind w:left="567" w:hanging="567"/>
        <w:rPr>
          <w:rFonts w:eastAsiaTheme="minorHAnsi"/>
          <w:noProof/>
          <w:kern w:val="2"/>
          <w:szCs w:val="24"/>
          <w14:ligatures w14:val="standardContextual"/>
        </w:rPr>
      </w:pPr>
      <w:r w:rsidRPr="00DD5FFD">
        <w:t>8.</w:t>
      </w:r>
      <w:r w:rsidRPr="00DD5FFD">
        <w:tab/>
        <w:t>minder om behovet for effektive synergier med andre EU-politikker og programmer og understreger, at medlemsstaterne bør gøre bedst mulig brug af finansieringsmulighederne, navnlig Den Europæiske Fond for Regionaludvikling, Den Europæiske Socialfond Plus og programmerne for udvikling af landdistrikterne; opfordrer Kommissionen til hurtigst muligt at vurdere eventuelle begrundede anmodninger fra medlemsstaterne om at omfordele midler inden for rammerne af de nationale genopretnings- og resiliensplaner til naturkatastrofebistand i overensstemmelse med de regler, der er fastsat i Europa-Parlamentets og Rådets forordning (EU) 2021/241</w:t>
      </w:r>
      <w:r w:rsidRPr="00DD5FFD">
        <w:rPr>
          <w:rFonts w:eastAsiaTheme="minorHAnsi"/>
          <w:noProof/>
          <w:kern w:val="2"/>
          <w:szCs w:val="24"/>
          <w:vertAlign w:val="superscript"/>
          <w:lang w:eastAsia="en-US"/>
        </w:rPr>
        <w:footnoteReference w:id="11"/>
      </w:r>
      <w:r w:rsidRPr="00DD5FFD">
        <w:t>; opfordrer indtrængende de relevante myndigheder til at sikre en passende og nødvendig koordinering mellem det nationale, regionale og lokale niveau for at sikre, at midlerne fordeles gennemsigtigt, retfærdigt og uden vilkårlighed på tværs af alle berørte lokaliteter;</w:t>
      </w:r>
    </w:p>
    <w:p w14:paraId="0CA8C856" w14:textId="77777777" w:rsidR="001F509E" w:rsidRPr="00DD5FFD" w:rsidRDefault="001F509E" w:rsidP="001F509E">
      <w:pPr>
        <w:spacing w:after="240"/>
        <w:ind w:left="567" w:hanging="567"/>
        <w:rPr>
          <w:noProof/>
        </w:rPr>
      </w:pPr>
      <w:r w:rsidRPr="00DD5FFD">
        <w:t>9.</w:t>
      </w:r>
      <w:r w:rsidRPr="00DD5FFD">
        <w:tab/>
        <w:t>understreger, at den bistand, der ydes under EUSF, ikke bør være på bekostning af den EU-finansiering, som medlemsstaterne modtager under andre EU-politikker eller -programmer; minder om, at medlemsstaterne kan yde statsstøtte i overensstemmelse med gældende EU-regler, navnlig til landbrugsvirksomheder, der har lidt skade som følge af naturkatastrofer;</w:t>
      </w:r>
    </w:p>
    <w:p w14:paraId="421A4FCD" w14:textId="77777777" w:rsidR="001F509E" w:rsidRPr="00DD5FFD" w:rsidRDefault="001F509E" w:rsidP="001F509E">
      <w:pPr>
        <w:spacing w:after="240"/>
        <w:ind w:left="567" w:hanging="567"/>
        <w:rPr>
          <w:noProof/>
          <w:kern w:val="2"/>
          <w:szCs w:val="24"/>
          <w14:ligatures w14:val="standardContextual"/>
        </w:rPr>
      </w:pPr>
      <w:r w:rsidRPr="00DD5FFD">
        <w:t>10.</w:t>
      </w:r>
      <w:r w:rsidRPr="00DD5FFD">
        <w:tab/>
        <w:t>minder om betydningen af en hurtig og solid skadesvurdering, der tager behørigt hensyn til de økonomiske konsekvenser, og opfordrer til, at der gøres en øget operationel indsats for at reducere den gennemsnitlige tid, der går, før forskudsbetalinger frigives, samtidig med at det sikres, at EU-budgettet beskyttes; understreger i den forbindelse behovet for fuld gennemsigtighed, effektiv overvågning og efterfølgende kontrol af anvendelsen af EUSF-midler for at sikre, at EU-midlerne når ud til de berørte regioner og befolkninger; opfordrer desuden indtrængende Kommissionen til at undersøge alle muligheder for at fremskynde anvendelsen af EUSF;</w:t>
      </w:r>
    </w:p>
    <w:p w14:paraId="06744D08" w14:textId="77777777" w:rsidR="001F509E" w:rsidRDefault="001F509E" w:rsidP="001F509E">
      <w:pPr>
        <w:spacing w:after="240"/>
        <w:ind w:left="567" w:hanging="567"/>
      </w:pPr>
      <w:r w:rsidRPr="00DD5FFD">
        <w:t>11.</w:t>
      </w:r>
      <w:r w:rsidRPr="00DD5FFD">
        <w:tab/>
        <w:t>understreger, at det er påtrængende nødvendigt at frigive omgående finansiel bistand gennem EUSF til berørte borgere, familier, virksomheder og lokalsamfund så hurtigt som muligt for at sikre, at støtten kan nå frem til Rumænien, Cypern og Spanien i tide; opfordrer også indtrængende Kommissionen til at undersøge alle muligheder for at fremskynde anvendelsen af EUSF, navnlig ved at ændre de nuværende regler og yde højere forskudsbetalinger til ansøgerlande; fremhæver betydningen af at forkorte tidsrummet mellem indgivelsen af en ansøgning om EUSF-støtte og finansieringsafgørelsen; understreger nødvendigheden af at forenkle og fremskynde interne procedurer, uden at dette undergraver den institutionelle balance, navnlig Europa-Parlamentets rettigheder som den ene af budgetmyndighedens to parter;</w:t>
      </w:r>
    </w:p>
    <w:p w14:paraId="073C3645" w14:textId="6A6F53F9" w:rsidR="002B1086" w:rsidRPr="00DD5FFD" w:rsidRDefault="002B1086" w:rsidP="001F509E">
      <w:pPr>
        <w:spacing w:after="240"/>
        <w:ind w:left="567" w:hanging="567"/>
        <w:rPr>
          <w:noProof/>
          <w:kern w:val="2"/>
          <w:szCs w:val="24"/>
          <w14:ligatures w14:val="standardContextual"/>
        </w:rPr>
      </w:pPr>
      <w:r>
        <w:rPr>
          <w:noProof/>
          <w:kern w:val="2"/>
          <w:szCs w:val="24"/>
          <w14:ligatures w14:val="standardContextual"/>
        </w:rPr>
        <w:t>12</w:t>
      </w:r>
      <w:r w:rsidRPr="002B1086">
        <w:rPr>
          <w:noProof/>
          <w:kern w:val="2"/>
          <w:szCs w:val="24"/>
          <w14:ligatures w14:val="standardContextual"/>
        </w:rPr>
        <w:t>.</w:t>
      </w:r>
      <w:r w:rsidRPr="002B1086">
        <w:rPr>
          <w:noProof/>
          <w:kern w:val="2"/>
          <w:szCs w:val="24"/>
          <w14:ligatures w14:val="standardContextual"/>
        </w:rPr>
        <w:tab/>
        <w:t xml:space="preserve">opfordrer Kommissionen til at arbejde tæt sammen med de rumænske myndigheder om at støtte en hurtig genopbygning af saltminen i Praid og de berørte omkringliggende samfund i erkendelse af dens unikke strategiske betydning for regional økonomisk modstandsdygtighed, beskæftigelse, turisme, folkesundhed, kritisk infrastruktur og vandforvaltningsinfrastruktur; opfordrer i denne forbindelse til fuld mobilisering af alle relevante EU-finansieringsinstrumenter og til anvendelse af den størst mulige tilgængelige fleksibilitet i henhold til de eksisterende EU-regler med henblik på at </w:t>
      </w:r>
      <w:r w:rsidRPr="002B1086">
        <w:rPr>
          <w:noProof/>
          <w:kern w:val="2"/>
          <w:szCs w:val="24"/>
          <w14:ligatures w14:val="standardContextual"/>
        </w:rPr>
        <w:lastRenderedPageBreak/>
        <w:t>fremskynde genopretningen, genoprette væsentlige tjenester, støtte den lokale økonomi og styrke regionens langsigtede modstandsdygtighed over for fremtidige oversvømmelsesrelaterede risici; opfordrer i betragtning af udfordringernes omfang og deres sociale og økonomiske konsekvenser Kommissionen til at identificere yderligere finansielle instrumenter og solidaritetsmekanismer til støtte for berørte arbejdstagere og regioner, herunder større fleksibilitet i anvendelsen af fondene under samhørighedspolitikken, mobilisering af Den Europæiske Socialfond Plus (ESF+), Den Europæiske Fond for Tilpasning til Globaliseringen for Afskedigede Arbejdstagere (EGF) og andre relevante finansielle EU-instrumenter;</w:t>
      </w:r>
    </w:p>
    <w:p w14:paraId="36BBF26A" w14:textId="25EE7F4F" w:rsidR="001F509E" w:rsidRPr="00DD5FFD" w:rsidRDefault="002B1086" w:rsidP="001F509E">
      <w:pPr>
        <w:spacing w:after="240"/>
        <w:ind w:left="567" w:hanging="567"/>
        <w:rPr>
          <w:noProof/>
        </w:rPr>
      </w:pPr>
      <w:r>
        <w:t>13</w:t>
      </w:r>
      <w:r w:rsidR="001F509E" w:rsidRPr="00DD5FFD">
        <w:t>.</w:t>
      </w:r>
      <w:r w:rsidR="001F509E" w:rsidRPr="00DD5FFD">
        <w:tab/>
        <w:t>godkender den afgørelse, der er vedføjet denne beslutning;</w:t>
      </w:r>
    </w:p>
    <w:p w14:paraId="634FA36C" w14:textId="4996B292" w:rsidR="001F509E" w:rsidRPr="00DD5FFD" w:rsidRDefault="002B1086" w:rsidP="001F509E">
      <w:pPr>
        <w:spacing w:after="240"/>
        <w:ind w:left="567" w:hanging="567"/>
        <w:rPr>
          <w:noProof/>
        </w:rPr>
      </w:pPr>
      <w:r>
        <w:t>14</w:t>
      </w:r>
      <w:r w:rsidR="001F509E" w:rsidRPr="00DD5FFD">
        <w:t>.</w:t>
      </w:r>
      <w:r w:rsidR="001F509E" w:rsidRPr="00DD5FFD">
        <w:tab/>
        <w:t xml:space="preserve">pålægger sin formand at undertegne denne afgørelse sammen med Rådets formand og drage omsorg for, at den offentliggøres i </w:t>
      </w:r>
      <w:r w:rsidR="001F509E" w:rsidRPr="00DD5FFD">
        <w:rPr>
          <w:i/>
        </w:rPr>
        <w:t>Den Europæiske Unions Tidende</w:t>
      </w:r>
      <w:r w:rsidR="001F509E" w:rsidRPr="00DD5FFD">
        <w:t>;</w:t>
      </w:r>
    </w:p>
    <w:p w14:paraId="013D5B0D" w14:textId="354D5FB6" w:rsidR="001F509E" w:rsidRPr="00DD5FFD" w:rsidRDefault="002B1086" w:rsidP="001F509E">
      <w:pPr>
        <w:spacing w:after="240"/>
        <w:ind w:left="567" w:hanging="567"/>
        <w:rPr>
          <w:noProof/>
        </w:rPr>
      </w:pPr>
      <w:r>
        <w:t>15</w:t>
      </w:r>
      <w:r w:rsidR="001F509E" w:rsidRPr="00DD5FFD">
        <w:t>.</w:t>
      </w:r>
      <w:r w:rsidR="001F509E" w:rsidRPr="00DD5FFD">
        <w:tab/>
        <w:t>pålægger sin formand at sende denne beslutning sammen med bilaget til Rådet og Kommissionen.</w:t>
      </w:r>
    </w:p>
    <w:p w14:paraId="0D682879" w14:textId="77777777" w:rsidR="001F509E" w:rsidRPr="00DD5FFD" w:rsidRDefault="001F509E" w:rsidP="001F509E">
      <w:pPr>
        <w:pStyle w:val="PageHeading"/>
        <w:rPr>
          <w:noProof/>
        </w:rPr>
        <w:sectPr w:rsidR="001F509E" w:rsidRPr="00DD5FFD" w:rsidSect="007D5ED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E55C28" w14:textId="77777777" w:rsidR="001F509E" w:rsidRPr="00DD5FFD" w:rsidRDefault="001F509E" w:rsidP="001F509E">
      <w:pPr>
        <w:pStyle w:val="PageHeading"/>
        <w:rPr>
          <w:noProof/>
        </w:rPr>
      </w:pPr>
      <w:bookmarkStart w:id="9" w:name="_Toc233879961"/>
      <w:r w:rsidRPr="00DD5FFD">
        <w:lastRenderedPageBreak/>
        <w:t>BILAG: EUROPA-PARLAMENTETS OG RÅDETS AFGØRELSE</w:t>
      </w:r>
      <w:bookmarkEnd w:id="9"/>
    </w:p>
    <w:p w14:paraId="4D0D5F32" w14:textId="77777777" w:rsidR="001F509E" w:rsidRPr="00DD5FFD" w:rsidRDefault="001F509E" w:rsidP="001F509E">
      <w:pPr>
        <w:spacing w:after="480"/>
        <w:rPr>
          <w:b/>
          <w:bCs/>
        </w:rPr>
      </w:pPr>
      <w:r w:rsidRPr="00DD5FFD">
        <w:rPr>
          <w:b/>
        </w:rPr>
        <w:t>om anvendelse af Den Europæiske Unions Solidaritetsfond med henblik på at yde bistand til Rumænien i forbindelse med oversvømmelserne i slutningen af maj 2025, Cypern efter naturbrandene i juli 2025 og Spanien efter naturbrandene i august 2025</w:t>
      </w:r>
    </w:p>
    <w:p w14:paraId="1509D3F6" w14:textId="77777777" w:rsidR="001F509E" w:rsidRPr="00DD5FFD" w:rsidRDefault="001F509E" w:rsidP="001F509E">
      <w:pPr>
        <w:pStyle w:val="NormalHanging12a"/>
      </w:pPr>
      <w:r w:rsidRPr="00DD5FFD">
        <w:t>EUROPA-PARLAMENTET OG RÅDET FOR DEN EUROPÆISKE UNION HAR —</w:t>
      </w:r>
    </w:p>
    <w:p w14:paraId="35155331" w14:textId="77777777" w:rsidR="001F509E" w:rsidRPr="00DD5FFD" w:rsidRDefault="001F509E" w:rsidP="001F509E">
      <w:pPr>
        <w:pStyle w:val="NormalHanging12a"/>
      </w:pPr>
      <w:r w:rsidRPr="00DD5FFD">
        <w:t>under henvisning til traktaten om Den Europæiske Unions funktionsmåde,</w:t>
      </w:r>
    </w:p>
    <w:p w14:paraId="0E255BF1" w14:textId="77777777" w:rsidR="001F509E" w:rsidRPr="00DD5FFD" w:rsidRDefault="001F509E" w:rsidP="001F509E">
      <w:pPr>
        <w:pStyle w:val="NormalHanging12a"/>
        <w:ind w:left="0" w:firstLine="0"/>
      </w:pPr>
      <w:r w:rsidRPr="00DD5FFD">
        <w:t>under henvisning til Rådets forordning (EF) nr. 2012/2002 af 11. november 2002 om oprettelse af Den Europæiske Unions Solidaritetsfond</w:t>
      </w:r>
      <w:r w:rsidRPr="00DD5FFD">
        <w:rPr>
          <w:vertAlign w:val="superscript"/>
        </w:rPr>
        <w:footnoteReference w:id="12"/>
      </w:r>
      <w:r w:rsidRPr="00DD5FFD">
        <w:t>, særlig artikel 4, stk. 3,</w:t>
      </w:r>
    </w:p>
    <w:p w14:paraId="4A44D78F" w14:textId="331C76F4" w:rsidR="001F509E" w:rsidRPr="00DD5FFD" w:rsidRDefault="001F509E" w:rsidP="001F509E">
      <w:pPr>
        <w:tabs>
          <w:tab w:val="left" w:pos="567"/>
          <w:tab w:val="left" w:pos="1134"/>
        </w:tabs>
        <w:rPr>
          <w:noProof/>
          <w:szCs w:val="24"/>
        </w:rPr>
      </w:pPr>
      <w:r w:rsidRPr="00DD5FFD">
        <w:t>under henvisning til Rådets forordning (E</w:t>
      </w:r>
      <w:r w:rsidR="00705237" w:rsidRPr="0074351A">
        <w:t>U</w:t>
      </w:r>
      <w:r w:rsidR="00705237" w:rsidRPr="00DD5FFD">
        <w:t xml:space="preserve">, </w:t>
      </w:r>
      <w:proofErr w:type="spellStart"/>
      <w:proofErr w:type="gramStart"/>
      <w:r w:rsidR="00705237" w:rsidRPr="00DD5FFD">
        <w:t>Euratom</w:t>
      </w:r>
      <w:proofErr w:type="spellEnd"/>
      <w:r w:rsidRPr="00DD5FFD">
        <w:t>)  2012</w:t>
      </w:r>
      <w:proofErr w:type="gramEnd"/>
      <w:r w:rsidRPr="00DD5FFD">
        <w:t>/2093 af 17. december 2020 om fastlæggelse af den flerårige finansielle ramme for årene 2021-2027</w:t>
      </w:r>
      <w:r w:rsidRPr="00DD5FFD">
        <w:rPr>
          <w:rStyle w:val="FootnoteReference"/>
          <w:noProof/>
          <w:szCs w:val="24"/>
        </w:rPr>
        <w:footnoteReference w:id="13"/>
      </w:r>
      <w:r w:rsidRPr="00DD5FFD">
        <w:t>, særlig artikel 9,</w:t>
      </w:r>
    </w:p>
    <w:p w14:paraId="4E0E6CD4" w14:textId="77777777" w:rsidR="001F509E" w:rsidRPr="00DD5FFD" w:rsidRDefault="001F509E" w:rsidP="001F509E">
      <w:pPr>
        <w:tabs>
          <w:tab w:val="left" w:pos="567"/>
          <w:tab w:val="left" w:pos="1134"/>
        </w:tabs>
        <w:rPr>
          <w:noProof/>
        </w:rPr>
      </w:pPr>
    </w:p>
    <w:p w14:paraId="1A71DFBA" w14:textId="77777777" w:rsidR="001F509E" w:rsidRPr="00DD5FFD" w:rsidRDefault="001F509E" w:rsidP="001F509E">
      <w:pPr>
        <w:pStyle w:val="NormalHanging12a"/>
        <w:ind w:left="0" w:firstLine="0"/>
      </w:pPr>
      <w:r w:rsidRPr="00DD5FFD">
        <w:t xml:space="preserve">under henvisning til den </w:t>
      </w:r>
      <w:proofErr w:type="spellStart"/>
      <w:r w:rsidRPr="00DD5FFD">
        <w:t>interinstitutionelle</w:t>
      </w:r>
      <w:proofErr w:type="spellEnd"/>
      <w:r w:rsidRPr="00DD5FFD">
        <w:t xml:space="preserve"> aftale af 16. december 2020 mellem Europa Parlamentet, Rådet for Den Europæiske Union og Europa-Kommissionen om budgetdisciplin, om samarbejde på budgetområdet og om forsvarlig økonomisk forvaltning samt om nye egne indtægter, herunder en køreplan hen imod indførelse af nye egne indtægter</w:t>
      </w:r>
      <w:r w:rsidRPr="00DD5FFD">
        <w:rPr>
          <w:vertAlign w:val="superscript"/>
        </w:rPr>
        <w:footnoteReference w:id="14"/>
      </w:r>
      <w:r w:rsidRPr="00DD5FFD">
        <w:t>, særlig punkt 10,</w:t>
      </w:r>
    </w:p>
    <w:p w14:paraId="1DA0ACD4" w14:textId="77777777" w:rsidR="001F509E" w:rsidRPr="00DD5FFD" w:rsidRDefault="001F509E" w:rsidP="001F509E">
      <w:pPr>
        <w:pStyle w:val="NormalHanging12a"/>
      </w:pPr>
      <w:r w:rsidRPr="00DD5FFD">
        <w:t>under henvisning til forslag fra Europa-Kommissionen, og</w:t>
      </w:r>
    </w:p>
    <w:p w14:paraId="3812F4B8" w14:textId="77777777" w:rsidR="001F509E" w:rsidRPr="00DD5FFD" w:rsidRDefault="001F509E" w:rsidP="001F509E">
      <w:pPr>
        <w:pStyle w:val="NormalHanging12a"/>
      </w:pPr>
      <w:r w:rsidRPr="00DD5FFD">
        <w:t>ud fra følgende betragtninger:</w:t>
      </w:r>
    </w:p>
    <w:p w14:paraId="4A42F70F" w14:textId="77777777" w:rsidR="001F509E" w:rsidRPr="00DD5FFD" w:rsidRDefault="001F509E" w:rsidP="001F509E">
      <w:pPr>
        <w:pStyle w:val="NormalHanging12a"/>
      </w:pPr>
      <w:r w:rsidRPr="00DD5FFD">
        <w:t>(1)</w:t>
      </w:r>
      <w:r w:rsidRPr="00DD5FFD">
        <w:tab/>
        <w:t>Den Europæiske Unions Solidaritetsfond ("fonden") har til formål at gøre det muligt for Unionen at reagere hurtigt, effektivt og smidigt på katastrofesituationer for at udvise solidaritet med befolkningen i regioner, der rammes af større eller regionale naturkatastrofer eller større folkesundhedskriser.</w:t>
      </w:r>
    </w:p>
    <w:p w14:paraId="060CC77B" w14:textId="77777777" w:rsidR="001F509E" w:rsidRPr="00DD5FFD" w:rsidRDefault="001F509E" w:rsidP="001F509E">
      <w:pPr>
        <w:pStyle w:val="NormalHanging12a"/>
      </w:pPr>
      <w:r w:rsidRPr="00DD5FFD">
        <w:t>(2)</w:t>
      </w:r>
      <w:r w:rsidRPr="00DD5FFD">
        <w:tab/>
        <w:t xml:space="preserve">Fonden må ikke overstige de lofter, der er fastsat i artikel 9 i Rådets forordning (EU, </w:t>
      </w:r>
      <w:proofErr w:type="spellStart"/>
      <w:r w:rsidRPr="00DD5FFD">
        <w:t>Euratom</w:t>
      </w:r>
      <w:proofErr w:type="spellEnd"/>
      <w:r w:rsidRPr="00DD5FFD">
        <w:t>) 2020/2093 som ændret ved forordning (</w:t>
      </w:r>
      <w:proofErr w:type="spellStart"/>
      <w:r w:rsidRPr="00DD5FFD">
        <w:t>Euratom</w:t>
      </w:r>
      <w:proofErr w:type="spellEnd"/>
      <w:r w:rsidRPr="00DD5FFD">
        <w:t>) 2024/765</w:t>
      </w:r>
      <w:r w:rsidRPr="00DD5FFD">
        <w:rPr>
          <w:b/>
          <w:bCs/>
          <w:noProof/>
          <w:vertAlign w:val="superscript"/>
        </w:rPr>
        <w:footnoteReference w:id="15"/>
      </w:r>
      <w:r w:rsidRPr="00DD5FFD">
        <w:t>.</w:t>
      </w:r>
    </w:p>
    <w:p w14:paraId="334D62AC" w14:textId="77777777" w:rsidR="001F509E" w:rsidRPr="00DD5FFD" w:rsidRDefault="001F509E" w:rsidP="001F509E">
      <w:pPr>
        <w:pStyle w:val="NormalHanging12a"/>
      </w:pPr>
      <w:r w:rsidRPr="00DD5FFD">
        <w:t>(3)</w:t>
      </w:r>
      <w:r w:rsidRPr="00DD5FFD">
        <w:tab/>
        <w:t xml:space="preserve">Den 14. august 2025 rettede Rumænien ansøgning om anvendelse af fonden efter oversvømmelserne i slutningen af maj og begyndelsen af juni 2025. </w:t>
      </w:r>
    </w:p>
    <w:p w14:paraId="3ACF21AC" w14:textId="77777777" w:rsidR="001F509E" w:rsidRPr="00DD5FFD" w:rsidRDefault="001F509E" w:rsidP="001F509E">
      <w:pPr>
        <w:pStyle w:val="NormalHanging12a"/>
      </w:pPr>
      <w:r w:rsidRPr="00DD5FFD">
        <w:t>(4)</w:t>
      </w:r>
      <w:r w:rsidRPr="00DD5FFD">
        <w:tab/>
        <w:t xml:space="preserve">Den 14. oktober 2025 rettede Cypern ansøgning om anvendelse af fonden efter naturbrandene i juli 2025. </w:t>
      </w:r>
    </w:p>
    <w:p w14:paraId="374B9E60" w14:textId="77777777" w:rsidR="001F509E" w:rsidRPr="00DD5FFD" w:rsidRDefault="001F509E" w:rsidP="001F509E">
      <w:pPr>
        <w:pStyle w:val="NormalHanging12a"/>
      </w:pPr>
      <w:r w:rsidRPr="00DD5FFD">
        <w:t>(5)</w:t>
      </w:r>
      <w:r w:rsidRPr="00DD5FFD">
        <w:tab/>
        <w:t xml:space="preserve">Den 30. oktober 2025 rettede Spanien ansøgning om anvendelse af fonden efter naturbrandene i august 2025. </w:t>
      </w:r>
    </w:p>
    <w:p w14:paraId="6B078903" w14:textId="77777777" w:rsidR="001F509E" w:rsidRPr="00DD5FFD" w:rsidRDefault="001F509E" w:rsidP="001F509E">
      <w:pPr>
        <w:pStyle w:val="NormalHanging12a"/>
      </w:pPr>
      <w:r w:rsidRPr="00DD5FFD">
        <w:lastRenderedPageBreak/>
        <w:t>(6)</w:t>
      </w:r>
      <w:r w:rsidRPr="00DD5FFD">
        <w:tab/>
        <w:t xml:space="preserve">Disse ansøgninger opfylder betingelserne for at modtage et finansielt bidrag fra fonden, jf. artikel 4 i forordning (EF) nr. 2012/2002. </w:t>
      </w:r>
    </w:p>
    <w:p w14:paraId="1B202483" w14:textId="77777777" w:rsidR="001F509E" w:rsidRPr="00DD5FFD" w:rsidRDefault="001F509E" w:rsidP="001F509E">
      <w:pPr>
        <w:pStyle w:val="NormalHanging12a"/>
      </w:pPr>
      <w:r w:rsidRPr="00DD5FFD">
        <w:t>(7)</w:t>
      </w:r>
      <w:r w:rsidRPr="00DD5FFD">
        <w:tab/>
        <w:t xml:space="preserve">Fonden bør derfor anvendes med henblik på at yde et finansielt bidrag til Rumænien, Cypern og Spanien. </w:t>
      </w:r>
    </w:p>
    <w:p w14:paraId="3B258923" w14:textId="77777777" w:rsidR="001F509E" w:rsidRPr="00DD5FFD" w:rsidRDefault="001F509E" w:rsidP="001F509E">
      <w:pPr>
        <w:pStyle w:val="NormalHanging12a"/>
      </w:pPr>
      <w:r w:rsidRPr="00DD5FFD">
        <w:t>(8)</w:t>
      </w:r>
      <w:r w:rsidRPr="00DD5FFD">
        <w:tab/>
        <w:t xml:space="preserve">For at sikre, at Unionens finansielle bistand kan stilles til rådighed for de berørte medlemsstater så hurtigt som muligt, og for at undgå forsinkelser i anvendelsen af Den Europæiske Unions Solidaritetsfond bør nærværende afgørelse på grund af sagens hastende karakter træde i kraft på dagen for offentliggørelsen i </w:t>
      </w:r>
      <w:r w:rsidRPr="00DD5FFD">
        <w:rPr>
          <w:i/>
          <w:iCs/>
        </w:rPr>
        <w:t>Den Europæiske Unions Tidende</w:t>
      </w:r>
      <w:r w:rsidRPr="00DD5FFD">
        <w:t xml:space="preserve"> og finde anvendelse fra datoen for vedtagelsen —</w:t>
      </w:r>
    </w:p>
    <w:p w14:paraId="2A0ACB7F" w14:textId="77777777" w:rsidR="001F509E" w:rsidRPr="00DD5FFD" w:rsidRDefault="001F509E" w:rsidP="001F509E">
      <w:pPr>
        <w:pStyle w:val="NormalHanging12a"/>
      </w:pPr>
      <w:r w:rsidRPr="00DD5FFD">
        <w:t>VEDTAGET DENNE AFGØRELSE:</w:t>
      </w:r>
    </w:p>
    <w:p w14:paraId="7B2DA16C" w14:textId="77777777" w:rsidR="001F509E" w:rsidRPr="00DD5FFD" w:rsidRDefault="001F509E" w:rsidP="001F509E">
      <w:pPr>
        <w:pStyle w:val="NormalHanging12a"/>
        <w:jc w:val="center"/>
        <w:rPr>
          <w:i/>
        </w:rPr>
      </w:pPr>
      <w:r w:rsidRPr="00DD5FFD">
        <w:rPr>
          <w:i/>
        </w:rPr>
        <w:t>Artikel 1</w:t>
      </w:r>
    </w:p>
    <w:p w14:paraId="2096A7B8" w14:textId="77777777" w:rsidR="001F509E" w:rsidRPr="00DD5FFD" w:rsidRDefault="001F509E" w:rsidP="001F509E">
      <w:pPr>
        <w:pStyle w:val="NormalHanging12a"/>
        <w:ind w:left="0" w:firstLine="0"/>
      </w:pPr>
      <w:r w:rsidRPr="00DD5FFD">
        <w:t>Inden for rammerne af Unionens almindelige budget for regnskabsåret 2026 stilles der følgende beløb til rådighed i forpligtelses- og betalingsbevillinger fra Den Europæiske Unions Solidaritetsfond i forbindelse med naturkatastrofer:</w:t>
      </w:r>
    </w:p>
    <w:p w14:paraId="4EACFE82" w14:textId="77777777" w:rsidR="001F509E" w:rsidRPr="00DD5FFD" w:rsidRDefault="001F509E" w:rsidP="001F509E">
      <w:pPr>
        <w:pStyle w:val="NormalHanging12a"/>
      </w:pPr>
      <w:r w:rsidRPr="00DD5FFD">
        <w:t>a)</w:t>
      </w:r>
      <w:r w:rsidRPr="00DD5FFD">
        <w:tab/>
        <w:t xml:space="preserve">et beløb på 14 339 675 EUR til Rumænien efter oversvømmelserne i slutningen af maj og begyndelsen af juni 2025 </w:t>
      </w:r>
    </w:p>
    <w:p w14:paraId="5DAC91B3" w14:textId="77777777" w:rsidR="001F509E" w:rsidRPr="00DD5FFD" w:rsidRDefault="001F509E" w:rsidP="001F509E">
      <w:pPr>
        <w:pStyle w:val="NormalHanging12a"/>
      </w:pPr>
      <w:r w:rsidRPr="00DD5FFD">
        <w:t>b)</w:t>
      </w:r>
      <w:r w:rsidRPr="00DD5FFD">
        <w:tab/>
        <w:t>et beløb på 9 209 223 EUR til Cypern efter naturbrandene i juli 2025</w:t>
      </w:r>
    </w:p>
    <w:p w14:paraId="405E5D03" w14:textId="77777777" w:rsidR="001F509E" w:rsidRPr="00DD5FFD" w:rsidRDefault="001F509E" w:rsidP="001F509E">
      <w:pPr>
        <w:pStyle w:val="NormalHanging12a"/>
      </w:pPr>
      <w:r w:rsidRPr="00DD5FFD">
        <w:t>c)</w:t>
      </w:r>
      <w:r w:rsidRPr="00DD5FFD">
        <w:tab/>
        <w:t xml:space="preserve">et beløb på 120 550 858 EUR til Spanien efter naturbrandene i august 2025. </w:t>
      </w:r>
    </w:p>
    <w:p w14:paraId="7F2325E3" w14:textId="77777777" w:rsidR="001F509E" w:rsidRPr="00DD5FFD" w:rsidRDefault="001F509E" w:rsidP="001F509E">
      <w:pPr>
        <w:pStyle w:val="NormalHanging12a"/>
        <w:jc w:val="center"/>
        <w:rPr>
          <w:i/>
        </w:rPr>
      </w:pPr>
      <w:r w:rsidRPr="00DD5FFD">
        <w:rPr>
          <w:i/>
        </w:rPr>
        <w:t>Artikel 2</w:t>
      </w:r>
    </w:p>
    <w:p w14:paraId="02716197" w14:textId="77777777" w:rsidR="001F509E" w:rsidRPr="00DD5FFD" w:rsidRDefault="001F509E" w:rsidP="001F509E">
      <w:pPr>
        <w:pStyle w:val="NormalHanging12a"/>
        <w:ind w:left="0" w:firstLine="0"/>
      </w:pPr>
      <w:r w:rsidRPr="00DD5FFD">
        <w:t>Denne afgørelse træder i kraft på dagen for offentliggørelsen i Den Europæiske Unions Tidende.</w:t>
      </w:r>
    </w:p>
    <w:p w14:paraId="52B99587" w14:textId="77777777" w:rsidR="001F509E" w:rsidRPr="00DD5FFD" w:rsidRDefault="001F509E" w:rsidP="001F509E">
      <w:pPr>
        <w:pStyle w:val="NormalHanging12a"/>
        <w:rPr>
          <w:i/>
        </w:rPr>
      </w:pPr>
      <w:r w:rsidRPr="00DD5FFD">
        <w:t xml:space="preserve">Den finder anvendelse fra… [datoen for </w:t>
      </w:r>
      <w:proofErr w:type="gramStart"/>
      <w:r w:rsidRPr="00DD5FFD">
        <w:t>vedtagelsen]</w:t>
      </w:r>
      <w:r w:rsidRPr="00DD5FFD">
        <w:rPr>
          <w:vertAlign w:val="superscript"/>
        </w:rPr>
        <w:footnoteReference w:customMarkFollows="1" w:id="16"/>
        <w:t>*</w:t>
      </w:r>
      <w:proofErr w:type="gramEnd"/>
      <w:r w:rsidRPr="00DD5FFD">
        <w:t>.</w:t>
      </w:r>
    </w:p>
    <w:p w14:paraId="34AA3450" w14:textId="77777777" w:rsidR="001F509E" w:rsidRPr="00DD5FFD" w:rsidRDefault="001F509E" w:rsidP="001F509E">
      <w:pPr>
        <w:pStyle w:val="NormalHanging12a"/>
        <w:rPr>
          <w:i/>
        </w:rPr>
      </w:pPr>
    </w:p>
    <w:p w14:paraId="00A5AA7F" w14:textId="660C48B4" w:rsidR="001F509E" w:rsidRPr="00DD5FFD" w:rsidRDefault="001F509E" w:rsidP="001F509E">
      <w:pPr>
        <w:jc w:val="both"/>
      </w:pPr>
      <w:r w:rsidRPr="00DD5FFD">
        <w:t xml:space="preserve">Udfærdiget i </w:t>
      </w:r>
      <w:r w:rsidR="00F62626" w:rsidRPr="00DD5FFD">
        <w:t>…</w:t>
      </w:r>
      <w:r w:rsidRPr="00DD5FFD">
        <w:t>, den ...</w:t>
      </w:r>
    </w:p>
    <w:p w14:paraId="6E8A7DE9" w14:textId="77777777" w:rsidR="001F509E" w:rsidRPr="00DD5FFD" w:rsidRDefault="001F509E" w:rsidP="001F509E">
      <w:pPr>
        <w:jc w:val="both"/>
      </w:pPr>
    </w:p>
    <w:p w14:paraId="520D4131" w14:textId="004E07F9" w:rsidR="001F509E" w:rsidRPr="00A71976" w:rsidRDefault="001F509E" w:rsidP="00705237">
      <w:pPr>
        <w:tabs>
          <w:tab w:val="left" w:pos="5670"/>
        </w:tabs>
        <w:jc w:val="both"/>
        <w:rPr>
          <w:i/>
          <w:iCs/>
        </w:rPr>
      </w:pPr>
      <w:r w:rsidRPr="00A71976">
        <w:rPr>
          <w:i/>
          <w:iCs/>
        </w:rPr>
        <w:t>På Europa-Parlamentets vegne</w:t>
      </w:r>
      <w:r w:rsidR="00705237" w:rsidRPr="00A71976">
        <w:rPr>
          <w:i/>
          <w:iCs/>
        </w:rPr>
        <w:tab/>
      </w:r>
      <w:r w:rsidRPr="00A71976">
        <w:rPr>
          <w:i/>
          <w:iCs/>
        </w:rPr>
        <w:t>På Rådets vegne</w:t>
      </w:r>
    </w:p>
    <w:p w14:paraId="618AC93E" w14:textId="4C94821F" w:rsidR="001F509E" w:rsidRPr="00A71976" w:rsidRDefault="001F509E" w:rsidP="00A71976">
      <w:pPr>
        <w:tabs>
          <w:tab w:val="left" w:pos="5670"/>
        </w:tabs>
        <w:jc w:val="both"/>
        <w:rPr>
          <w:i/>
          <w:iCs/>
        </w:rPr>
      </w:pPr>
      <w:r w:rsidRPr="00A71976">
        <w:rPr>
          <w:i/>
          <w:iCs/>
        </w:rPr>
        <w:t>Formand</w:t>
      </w:r>
      <w:r w:rsidR="00705237" w:rsidRPr="00A71976">
        <w:rPr>
          <w:i/>
          <w:iCs/>
        </w:rPr>
        <w:tab/>
      </w:r>
      <w:proofErr w:type="spellStart"/>
      <w:r w:rsidRPr="00A71976">
        <w:rPr>
          <w:i/>
          <w:iCs/>
        </w:rPr>
        <w:t>Formand</w:t>
      </w:r>
      <w:proofErr w:type="spellEnd"/>
    </w:p>
    <w:p w14:paraId="24574490" w14:textId="72D3C3AF" w:rsidR="001F509E" w:rsidRPr="00DD5FFD" w:rsidRDefault="001F509E" w:rsidP="001F509E">
      <w:pPr>
        <w:widowControl/>
      </w:pPr>
    </w:p>
    <w:sectPr w:rsidR="001F509E" w:rsidRPr="00DD5FFD" w:rsidSect="007D5ED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A14D4" w14:textId="77777777" w:rsidR="00173CAF" w:rsidRPr="007D5ED2" w:rsidRDefault="00173CAF">
      <w:r w:rsidRPr="007D5ED2">
        <w:separator/>
      </w:r>
    </w:p>
  </w:endnote>
  <w:endnote w:type="continuationSeparator" w:id="0">
    <w:p w14:paraId="1EA91A97" w14:textId="77777777" w:rsidR="00173CAF" w:rsidRPr="007D5ED2" w:rsidRDefault="00173CAF">
      <w:r w:rsidRPr="007D5E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40D72" w14:textId="77777777" w:rsidR="001F509E" w:rsidRPr="007D5ED2" w:rsidRDefault="001F509E" w:rsidP="0095683C">
    <w:pPr>
      <w:pStyle w:val="EPFooter"/>
    </w:pPr>
    <w:r w:rsidRPr="007D5ED2">
      <w:t>PE</w:t>
    </w:r>
    <w:r w:rsidRPr="007D5ED2">
      <w:rPr>
        <w:rStyle w:val="HideTWBExt"/>
      </w:rPr>
      <w:t>&lt;NoPE&gt;</w:t>
    </w:r>
    <w:r w:rsidRPr="007D5ED2">
      <w:t>789.090</w:t>
    </w:r>
    <w:r w:rsidRPr="007D5ED2">
      <w:rPr>
        <w:rStyle w:val="HideTWBExt"/>
      </w:rPr>
      <w:t>&lt;/NoPE&gt;&lt;Version&gt;</w:t>
    </w:r>
    <w:r w:rsidRPr="007D5ED2">
      <w:t>v02-00</w:t>
    </w:r>
    <w:r w:rsidRPr="007D5ED2">
      <w:rPr>
        <w:rStyle w:val="HideTWBExt"/>
      </w:rPr>
      <w:t>&lt;/Version&gt;</w:t>
    </w:r>
    <w:r w:rsidRPr="007D5ED2">
      <w:tab/>
    </w:r>
    <w:r w:rsidRPr="007D5ED2">
      <w:fldChar w:fldCharType="begin"/>
    </w:r>
    <w:r w:rsidRPr="007D5ED2">
      <w:instrText xml:space="preserve"> PAGE  \* MERGEFORMAT </w:instrText>
    </w:r>
    <w:r w:rsidRPr="007D5ED2">
      <w:fldChar w:fldCharType="separate"/>
    </w:r>
    <w:r w:rsidRPr="007D5ED2">
      <w:rPr>
        <w:noProof/>
      </w:rPr>
      <w:t>2</w:t>
    </w:r>
    <w:r w:rsidRPr="007D5ED2">
      <w:fldChar w:fldCharType="end"/>
    </w:r>
    <w:r w:rsidRPr="007D5ED2">
      <w:t>/</w:t>
    </w:r>
    <w:fldSimple w:instr=" NUMPAGES  \* MERGEFORMAT ">
      <w:r w:rsidRPr="007D5ED2">
        <w:rPr>
          <w:noProof/>
        </w:rPr>
        <w:t>16</w:t>
      </w:r>
    </w:fldSimple>
    <w:r w:rsidRPr="007D5ED2">
      <w:tab/>
    </w:r>
    <w:r w:rsidRPr="007D5ED2">
      <w:rPr>
        <w:rStyle w:val="HideTWBExt"/>
      </w:rPr>
      <w:t>&lt;PathFdR&gt;</w:t>
    </w:r>
    <w:r w:rsidRPr="007D5ED2">
      <w:t>RR\1346601DA.docx</w:t>
    </w:r>
    <w:r w:rsidRPr="007D5ED2">
      <w:rPr>
        <w:rStyle w:val="HideTWBExt"/>
      </w:rPr>
      <w:t>&lt;/PathFdR&gt;</w:t>
    </w:r>
  </w:p>
  <w:p w14:paraId="545492F9" w14:textId="77777777" w:rsidR="001F509E" w:rsidRPr="007D5ED2" w:rsidRDefault="001F509E" w:rsidP="0095683C">
    <w:pPr>
      <w:pStyle w:val="EPFooter2"/>
    </w:pPr>
    <w:r w:rsidRPr="007D5ED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F352" w14:textId="77777777" w:rsidR="001F509E" w:rsidRPr="007D5ED2" w:rsidRDefault="001F509E" w:rsidP="0095683C">
    <w:pPr>
      <w:pStyle w:val="EPFooter"/>
    </w:pPr>
    <w:r w:rsidRPr="007D5ED2">
      <w:rPr>
        <w:rStyle w:val="HideTWBExt"/>
      </w:rPr>
      <w:t>&lt;PathFdR&gt;</w:t>
    </w:r>
    <w:r w:rsidRPr="007D5ED2">
      <w:t>RR\1346601DA.docx</w:t>
    </w:r>
    <w:r w:rsidRPr="007D5ED2">
      <w:rPr>
        <w:rStyle w:val="HideTWBExt"/>
      </w:rPr>
      <w:t>&lt;/PathFdR&gt;</w:t>
    </w:r>
    <w:r w:rsidRPr="007D5ED2">
      <w:tab/>
    </w:r>
    <w:r w:rsidRPr="007D5ED2">
      <w:tab/>
      <w:t>PE</w:t>
    </w:r>
    <w:r w:rsidRPr="007D5ED2">
      <w:rPr>
        <w:rStyle w:val="HideTWBExt"/>
      </w:rPr>
      <w:t>&lt;NoPE&gt;</w:t>
    </w:r>
    <w:r w:rsidRPr="007D5ED2">
      <w:t>789.090</w:t>
    </w:r>
    <w:r w:rsidRPr="007D5ED2">
      <w:rPr>
        <w:rStyle w:val="HideTWBExt"/>
      </w:rPr>
      <w:t>&lt;/NoPE&gt;&lt;Version&gt;</w:t>
    </w:r>
    <w:r w:rsidRPr="007D5ED2">
      <w:t>v02-00</w:t>
    </w:r>
    <w:r w:rsidRPr="007D5ED2">
      <w:rPr>
        <w:rStyle w:val="HideTWBExt"/>
      </w:rPr>
      <w:t>&lt;/Version&gt;</w:t>
    </w:r>
  </w:p>
  <w:p w14:paraId="18565281" w14:textId="77777777" w:rsidR="001F509E" w:rsidRPr="007D5ED2" w:rsidRDefault="001F509E" w:rsidP="0095683C">
    <w:pPr>
      <w:pStyle w:val="EPFooter2"/>
    </w:pPr>
    <w:r w:rsidRPr="007D5ED2">
      <w:t>DA</w:t>
    </w:r>
    <w:r w:rsidRPr="007D5ED2">
      <w:tab/>
    </w:r>
    <w:r w:rsidRPr="007D5ED2">
      <w:rPr>
        <w:b w:val="0"/>
        <w:i/>
        <w:color w:val="C0C0C0"/>
        <w:sz w:val="22"/>
      </w:rPr>
      <w:t>Forenet i mangfoldighed</w:t>
    </w:r>
    <w:r w:rsidRPr="007D5ED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9A86" w14:textId="77777777" w:rsidR="00064002" w:rsidRPr="007D5ED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DFEA" w14:textId="77777777" w:rsidR="00064002" w:rsidRPr="007D5ED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C8E1" w14:textId="77777777" w:rsidR="00064002" w:rsidRPr="007D5E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889E3" w14:textId="77777777" w:rsidR="00173CAF" w:rsidRPr="007D5ED2" w:rsidRDefault="00173CAF">
      <w:r w:rsidRPr="007D5ED2">
        <w:separator/>
      </w:r>
    </w:p>
  </w:footnote>
  <w:footnote w:type="continuationSeparator" w:id="0">
    <w:p w14:paraId="4A643DAA" w14:textId="77777777" w:rsidR="00173CAF" w:rsidRPr="007D5ED2" w:rsidRDefault="00173CAF">
      <w:r w:rsidRPr="007D5ED2">
        <w:continuationSeparator/>
      </w:r>
    </w:p>
  </w:footnote>
  <w:footnote w:id="1">
    <w:p w14:paraId="4308D634" w14:textId="2415A8D7"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E</w:t>
      </w:r>
      <w:r w:rsidR="00705237">
        <w:rPr>
          <w:sz w:val="24"/>
          <w:lang w:val="da-DK"/>
        </w:rPr>
        <w:t>F</w:t>
      </w:r>
      <w:r w:rsidRPr="007D5ED2">
        <w:rPr>
          <w:sz w:val="24"/>
          <w:lang w:val="da-DK"/>
        </w:rPr>
        <w:t xml:space="preserve">T L 311 af 14.11.2002, s. 3, ELI: </w:t>
      </w:r>
      <w:hyperlink r:id="rId1" w:history="1">
        <w:r w:rsidR="00705237">
          <w:rPr>
            <w:rStyle w:val="Hyperlink"/>
            <w:sz w:val="24"/>
            <w:lang w:val="da-DK"/>
          </w:rPr>
          <w:t>http://data.europa.eu/eli/reg/2002/2012/oj</w:t>
        </w:r>
      </w:hyperlink>
      <w:r w:rsidRPr="007D5ED2">
        <w:rPr>
          <w:sz w:val="24"/>
          <w:lang w:val="da-DK"/>
        </w:rPr>
        <w:t>.</w:t>
      </w:r>
    </w:p>
  </w:footnote>
  <w:footnote w:id="2">
    <w:p w14:paraId="450E6C05" w14:textId="286E2E0D"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 xml:space="preserve">EUT L 433 I af 22.12.2020, s. 11, ELI: </w:t>
      </w:r>
      <w:hyperlink r:id="rId2" w:history="1">
        <w:r w:rsidR="00705237">
          <w:rPr>
            <w:rStyle w:val="Hyperlink"/>
            <w:sz w:val="24"/>
            <w:lang w:val="da-DK"/>
          </w:rPr>
          <w:t>http://data.europa.eu/eli/reg/2020/2093/oj</w:t>
        </w:r>
      </w:hyperlink>
      <w:r w:rsidRPr="007D5ED2">
        <w:rPr>
          <w:sz w:val="24"/>
          <w:lang w:val="da-DK"/>
        </w:rPr>
        <w:t>.</w:t>
      </w:r>
    </w:p>
  </w:footnote>
  <w:footnote w:id="3">
    <w:p w14:paraId="5552E191" w14:textId="455AC2EC"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 xml:space="preserve">EUT L 433 I af 22.12.2020, s. 28, ELI: </w:t>
      </w:r>
      <w:hyperlink r:id="rId3" w:history="1">
        <w:r w:rsidR="00705237">
          <w:rPr>
            <w:rStyle w:val="Hyperlink"/>
            <w:sz w:val="24"/>
            <w:lang w:val="da-DK"/>
          </w:rPr>
          <w:t>http://data.europa.eu/eli/agree_interinstit/2020/1222/oj</w:t>
        </w:r>
      </w:hyperlink>
      <w:r w:rsidRPr="007D5ED2">
        <w:rPr>
          <w:sz w:val="24"/>
          <w:lang w:val="da-DK"/>
        </w:rPr>
        <w:t>.</w:t>
      </w:r>
    </w:p>
  </w:footnote>
  <w:footnote w:id="4">
    <w:p w14:paraId="67A46B23" w14:textId="3832C763"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 xml:space="preserve">EUT L 231 af 30.6.2021, s. 60, ELI: </w:t>
      </w:r>
      <w:hyperlink r:id="rId4" w:history="1">
        <w:r w:rsidR="00705237">
          <w:rPr>
            <w:rStyle w:val="Hyperlink"/>
            <w:sz w:val="24"/>
            <w:lang w:val="da-DK"/>
          </w:rPr>
          <w:t>http://data.europa.eu/eli/reg/2021/1058/oj</w:t>
        </w:r>
      </w:hyperlink>
      <w:r w:rsidRPr="007D5ED2">
        <w:rPr>
          <w:sz w:val="24"/>
          <w:lang w:val="da-DK"/>
        </w:rPr>
        <w:t>.</w:t>
      </w:r>
    </w:p>
  </w:footnote>
  <w:footnote w:id="5">
    <w:p w14:paraId="29AF1A66" w14:textId="3AFC51CE"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 xml:space="preserve">EUT L 231 af 30.6.2021, s. 21, ELI: </w:t>
      </w:r>
      <w:hyperlink r:id="rId5" w:history="1">
        <w:r w:rsidR="00705237">
          <w:rPr>
            <w:rStyle w:val="Hyperlink"/>
            <w:sz w:val="24"/>
            <w:lang w:val="da-DK"/>
          </w:rPr>
          <w:t>http://data.europa.eu/eli/reg/2021/1057/oj</w:t>
        </w:r>
      </w:hyperlink>
      <w:r w:rsidRPr="007D5ED2">
        <w:rPr>
          <w:sz w:val="24"/>
          <w:lang w:val="da-DK"/>
        </w:rPr>
        <w:t>.</w:t>
      </w:r>
    </w:p>
  </w:footnote>
  <w:footnote w:id="6">
    <w:p w14:paraId="3D94781F" w14:textId="4087FD66"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EUT L 435 af 6.12.2021, s. 1, ELI: </w:t>
      </w:r>
      <w:hyperlink r:id="rId6" w:history="1">
        <w:r w:rsidR="00705237">
          <w:rPr>
            <w:rStyle w:val="Hyperlink"/>
            <w:sz w:val="24"/>
            <w:lang w:val="da-DK"/>
          </w:rPr>
          <w:t>http://data.europa.eu/eli/reg/2021/2115/oj</w:t>
        </w:r>
      </w:hyperlink>
      <w:r w:rsidRPr="007D5ED2">
        <w:rPr>
          <w:sz w:val="24"/>
          <w:lang w:val="da-DK"/>
        </w:rPr>
        <w:t>.</w:t>
      </w:r>
    </w:p>
  </w:footnote>
  <w:footnote w:id="7">
    <w:p w14:paraId="03D11887" w14:textId="6427C23B"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Vedtagne tekster, P10_</w:t>
      </w:r>
      <w:proofErr w:type="gramStart"/>
      <w:r w:rsidRPr="007D5ED2">
        <w:rPr>
          <w:sz w:val="24"/>
          <w:lang w:val="da-DK"/>
        </w:rPr>
        <w:t>TA(</w:t>
      </w:r>
      <w:proofErr w:type="gramEnd"/>
      <w:r w:rsidRPr="007D5ED2">
        <w:rPr>
          <w:sz w:val="24"/>
          <w:lang w:val="da-DK"/>
        </w:rPr>
        <w:t>2024)0059.</w:t>
      </w:r>
    </w:p>
  </w:footnote>
  <w:footnote w:id="8">
    <w:p w14:paraId="07A6AFAA" w14:textId="4DAAEB6F"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hyperlink r:id="rId7" w:history="1">
        <w:r w:rsidRPr="00705237">
          <w:rPr>
            <w:rStyle w:val="Hyperlink"/>
            <w:sz w:val="24"/>
            <w:lang w:val="da-DK"/>
          </w:rPr>
          <w:t>https://www.eea.europa.eu/en/analysis/publications/european-climate-risk-assessment</w:t>
        </w:r>
      </w:hyperlink>
      <w:r w:rsidRPr="007D5ED2">
        <w:rPr>
          <w:sz w:val="24"/>
          <w:lang w:val="da-DK"/>
        </w:rPr>
        <w:t>.</w:t>
      </w:r>
    </w:p>
  </w:footnote>
  <w:footnote w:id="9">
    <w:p w14:paraId="20ADBE36" w14:textId="32337194" w:rsidR="001F509E" w:rsidRPr="00A71976" w:rsidRDefault="001F509E" w:rsidP="007D5ED2">
      <w:pPr>
        <w:pStyle w:val="FootnoteText"/>
        <w:ind w:left="567" w:hanging="567"/>
        <w:rPr>
          <w:sz w:val="24"/>
          <w:lang w:val="fi-FI"/>
        </w:rPr>
      </w:pPr>
      <w:r w:rsidRPr="007D5ED2">
        <w:rPr>
          <w:rStyle w:val="FootnoteReference"/>
          <w:sz w:val="24"/>
          <w:lang w:val="da-DK"/>
        </w:rPr>
        <w:footnoteRef/>
      </w:r>
      <w:r w:rsidR="007D5ED2" w:rsidRPr="00A71976">
        <w:rPr>
          <w:sz w:val="24"/>
          <w:lang w:val="fi-FI"/>
        </w:rPr>
        <w:t xml:space="preserve"> </w:t>
      </w:r>
      <w:r w:rsidR="007D5ED2" w:rsidRPr="00A71976">
        <w:rPr>
          <w:sz w:val="24"/>
          <w:lang w:val="fi-FI"/>
        </w:rPr>
        <w:tab/>
      </w:r>
      <w:r w:rsidRPr="00A71976">
        <w:rPr>
          <w:sz w:val="24"/>
          <w:lang w:val="fi-FI"/>
        </w:rPr>
        <w:t xml:space="preserve">EUT L, 2024/3236, 23.12.2024, ELI: </w:t>
      </w:r>
      <w:hyperlink r:id="rId8" w:history="1">
        <w:r w:rsidR="00705237" w:rsidRPr="00A71976">
          <w:rPr>
            <w:rStyle w:val="Hyperlink"/>
            <w:sz w:val="24"/>
            <w:lang w:val="fi-FI"/>
          </w:rPr>
          <w:t>http://data.europa.eu/eli/reg/2024/3236/oj</w:t>
        </w:r>
      </w:hyperlink>
      <w:r w:rsidRPr="00A71976">
        <w:rPr>
          <w:sz w:val="24"/>
          <w:lang w:val="fi-FI"/>
        </w:rPr>
        <w:t>.</w:t>
      </w:r>
    </w:p>
  </w:footnote>
  <w:footnote w:id="10">
    <w:p w14:paraId="4466F2F6" w14:textId="3A6237F1" w:rsidR="001F509E" w:rsidRPr="00A71976" w:rsidRDefault="001F509E" w:rsidP="007D5ED2">
      <w:pPr>
        <w:pStyle w:val="FootnoteText"/>
        <w:ind w:left="567" w:hanging="567"/>
        <w:rPr>
          <w:sz w:val="24"/>
          <w:lang w:val="fi-FI"/>
        </w:rPr>
      </w:pPr>
      <w:r w:rsidRPr="007D5ED2">
        <w:rPr>
          <w:rStyle w:val="FootnoteReference"/>
          <w:sz w:val="24"/>
          <w:lang w:val="da-DK"/>
        </w:rPr>
        <w:footnoteRef/>
      </w:r>
      <w:r w:rsidR="007D5ED2" w:rsidRPr="00A71976">
        <w:rPr>
          <w:sz w:val="24"/>
          <w:lang w:val="fi-FI"/>
        </w:rPr>
        <w:t xml:space="preserve"> </w:t>
      </w:r>
      <w:r w:rsidR="007D5ED2" w:rsidRPr="00A71976">
        <w:rPr>
          <w:sz w:val="24"/>
          <w:lang w:val="fi-FI"/>
        </w:rPr>
        <w:tab/>
      </w:r>
      <w:r w:rsidRPr="00A71976">
        <w:rPr>
          <w:sz w:val="24"/>
          <w:lang w:val="fi-FI"/>
        </w:rPr>
        <w:t xml:space="preserve">EUT L, 2024/3242, 23.12.2024, ELI: </w:t>
      </w:r>
      <w:hyperlink r:id="rId9" w:history="1">
        <w:r w:rsidR="00705237" w:rsidRPr="00A71976">
          <w:rPr>
            <w:rStyle w:val="Hyperlink"/>
            <w:sz w:val="24"/>
            <w:lang w:val="fi-FI"/>
          </w:rPr>
          <w:t>http://data.europa.eu/eli/reg/2024/3242/oj</w:t>
        </w:r>
      </w:hyperlink>
      <w:r w:rsidRPr="00A71976">
        <w:rPr>
          <w:sz w:val="24"/>
          <w:lang w:val="fi-FI"/>
        </w:rPr>
        <w:t>.</w:t>
      </w:r>
    </w:p>
  </w:footnote>
  <w:footnote w:id="11">
    <w:p w14:paraId="3C839CF0" w14:textId="5F001E0F"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 xml:space="preserve">Europa-Parlamentets og Rådets forordning (EU) 2021/241 af 12. februar 2021 om oprettelse af genopretnings- og resiliensfaciliteten (EUT L 57 af 18.2.2021, s. 17, ELI: </w:t>
      </w:r>
      <w:hyperlink r:id="rId10" w:history="1">
        <w:r w:rsidR="00705237">
          <w:rPr>
            <w:rStyle w:val="Hyperlink"/>
            <w:sz w:val="24"/>
            <w:lang w:val="da-DK"/>
          </w:rPr>
          <w:t>http://data.europa.eu/eli/reg/2021/241/oj</w:t>
        </w:r>
      </w:hyperlink>
      <w:r w:rsidRPr="007D5ED2">
        <w:rPr>
          <w:sz w:val="24"/>
          <w:lang w:val="da-DK"/>
        </w:rPr>
        <w:t>).</w:t>
      </w:r>
    </w:p>
  </w:footnote>
  <w:footnote w:id="12">
    <w:p w14:paraId="2028674D" w14:textId="327E9C88"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shd w:val="clear" w:color="auto" w:fill="FFFFFF"/>
          <w:lang w:val="da-DK"/>
        </w:rPr>
        <w:t xml:space="preserve"> </w:t>
      </w:r>
      <w:r w:rsidR="007D5ED2" w:rsidRPr="007D5ED2">
        <w:rPr>
          <w:sz w:val="24"/>
          <w:shd w:val="clear" w:color="auto" w:fill="FFFFFF"/>
          <w:lang w:val="da-DK"/>
        </w:rPr>
        <w:tab/>
      </w:r>
      <w:r w:rsidRPr="007D5ED2">
        <w:rPr>
          <w:sz w:val="24"/>
          <w:shd w:val="clear" w:color="auto" w:fill="FFFFFF"/>
          <w:lang w:val="da-DK"/>
        </w:rPr>
        <w:t xml:space="preserve">EFT L 311 af 14.11.2002, s. 3, ELI: </w:t>
      </w:r>
      <w:hyperlink r:id="rId11" w:history="1">
        <w:r w:rsidR="00705237">
          <w:rPr>
            <w:rStyle w:val="Hyperlink"/>
            <w:sz w:val="24"/>
            <w:shd w:val="clear" w:color="auto" w:fill="FFFFFF"/>
            <w:lang w:val="da-DK"/>
          </w:rPr>
          <w:t>http://data.europa.eu/eli/reg/2002/2012/oj</w:t>
        </w:r>
      </w:hyperlink>
      <w:r w:rsidRPr="007D5ED2">
        <w:rPr>
          <w:sz w:val="24"/>
          <w:shd w:val="clear" w:color="auto" w:fill="FFFFFF"/>
          <w:lang w:val="da-DK"/>
        </w:rPr>
        <w:t>.</w:t>
      </w:r>
    </w:p>
  </w:footnote>
  <w:footnote w:id="13">
    <w:p w14:paraId="490FACB8" w14:textId="6F0870E5"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 xml:space="preserve">EUT L 433 I af 22.12.2020, s. 11, ELI: </w:t>
      </w:r>
      <w:hyperlink r:id="rId12" w:history="1">
        <w:r w:rsidR="00705237">
          <w:rPr>
            <w:rStyle w:val="Hyperlink"/>
            <w:sz w:val="24"/>
            <w:lang w:val="da-DK"/>
          </w:rPr>
          <w:t>http://data.europa.eu/eli/reg/2020/2093/oj</w:t>
        </w:r>
      </w:hyperlink>
      <w:r w:rsidRPr="007D5ED2">
        <w:rPr>
          <w:sz w:val="24"/>
          <w:lang w:val="da-DK"/>
        </w:rPr>
        <w:t>.</w:t>
      </w:r>
    </w:p>
  </w:footnote>
  <w:footnote w:id="14">
    <w:p w14:paraId="7961EE13" w14:textId="35A9A981"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 xml:space="preserve">EUT L 433 I af 22.12.2020, s. 28, ELI: </w:t>
      </w:r>
      <w:hyperlink r:id="rId13" w:history="1">
        <w:r w:rsidR="00705237">
          <w:rPr>
            <w:rStyle w:val="Hyperlink"/>
            <w:sz w:val="24"/>
            <w:lang w:val="da-DK"/>
          </w:rPr>
          <w:t>http://data.europa.eu/eli/agree_interinstit/2020/1222/oj</w:t>
        </w:r>
      </w:hyperlink>
      <w:r w:rsidRPr="007D5ED2">
        <w:rPr>
          <w:sz w:val="24"/>
          <w:lang w:val="da-DK"/>
        </w:rPr>
        <w:t>.</w:t>
      </w:r>
    </w:p>
  </w:footnote>
  <w:footnote w:id="15">
    <w:p w14:paraId="3CF749EF" w14:textId="3B925006" w:rsidR="001F509E" w:rsidRPr="007D5ED2" w:rsidRDefault="001F509E" w:rsidP="007D5ED2">
      <w:pPr>
        <w:pStyle w:val="FootnoteText"/>
        <w:ind w:left="567" w:hanging="567"/>
        <w:rPr>
          <w:sz w:val="24"/>
          <w:lang w:val="da-DK"/>
        </w:rPr>
      </w:pPr>
      <w:r w:rsidRPr="007D5ED2">
        <w:rPr>
          <w:rStyle w:val="FootnoteReference"/>
          <w:sz w:val="24"/>
          <w:lang w:val="da-DK"/>
        </w:rPr>
        <w:footnoteRef/>
      </w:r>
      <w:r w:rsidR="007D5ED2" w:rsidRPr="007D5ED2">
        <w:rPr>
          <w:sz w:val="24"/>
          <w:lang w:val="da-DK"/>
        </w:rPr>
        <w:t xml:space="preserve"> </w:t>
      </w:r>
      <w:r w:rsidR="007D5ED2" w:rsidRPr="007D5ED2">
        <w:rPr>
          <w:sz w:val="24"/>
          <w:lang w:val="da-DK"/>
        </w:rPr>
        <w:tab/>
      </w:r>
      <w:r w:rsidRPr="007D5ED2">
        <w:rPr>
          <w:sz w:val="24"/>
          <w:lang w:val="da-DK"/>
        </w:rPr>
        <w:t xml:space="preserve">Rådets forordning (EU, </w:t>
      </w:r>
      <w:proofErr w:type="spellStart"/>
      <w:r w:rsidRPr="007D5ED2">
        <w:rPr>
          <w:sz w:val="24"/>
          <w:lang w:val="da-DK"/>
        </w:rPr>
        <w:t>Euratom</w:t>
      </w:r>
      <w:proofErr w:type="spellEnd"/>
      <w:r w:rsidRPr="007D5ED2">
        <w:rPr>
          <w:sz w:val="24"/>
          <w:lang w:val="da-DK"/>
        </w:rPr>
        <w:t xml:space="preserve">) 2024/765 af 29. februar 2024 om ændring af forordning (EU, </w:t>
      </w:r>
      <w:proofErr w:type="spellStart"/>
      <w:r w:rsidRPr="007D5ED2">
        <w:rPr>
          <w:sz w:val="24"/>
          <w:lang w:val="da-DK"/>
        </w:rPr>
        <w:t>Euratom</w:t>
      </w:r>
      <w:proofErr w:type="spellEnd"/>
      <w:r w:rsidRPr="007D5ED2">
        <w:rPr>
          <w:sz w:val="24"/>
          <w:lang w:val="da-DK"/>
        </w:rPr>
        <w:t xml:space="preserve">) 2020/2093 om fastlæggelse af den flerårige finansielle ramme for årene 2021-2027 (EUT L, 2024/765, 29.2.2024, ELI: </w:t>
      </w:r>
      <w:hyperlink r:id="rId14" w:history="1">
        <w:r w:rsidR="00705237">
          <w:rPr>
            <w:rStyle w:val="Hyperlink"/>
            <w:sz w:val="24"/>
            <w:lang w:val="da-DK"/>
          </w:rPr>
          <w:t>http://data.europa.eu/eli/reg/2024/765/oj</w:t>
        </w:r>
      </w:hyperlink>
      <w:r w:rsidRPr="007D5ED2">
        <w:rPr>
          <w:sz w:val="24"/>
          <w:lang w:val="da-DK"/>
        </w:rPr>
        <w:t>).</w:t>
      </w:r>
    </w:p>
  </w:footnote>
  <w:footnote w:id="16">
    <w:p w14:paraId="75DC398D" w14:textId="1DF81D3A" w:rsidR="001F509E" w:rsidRPr="007D5ED2" w:rsidRDefault="001F509E" w:rsidP="007D5ED2">
      <w:pPr>
        <w:pStyle w:val="FootnoteText"/>
        <w:ind w:left="567" w:hanging="567"/>
        <w:rPr>
          <w:sz w:val="24"/>
          <w:lang w:val="da-DK"/>
        </w:rPr>
      </w:pPr>
      <w:r w:rsidRPr="007D5ED2">
        <w:rPr>
          <w:rStyle w:val="FootnoteReference"/>
          <w:sz w:val="24"/>
          <w:lang w:val="da-DK"/>
        </w:rPr>
        <w:t>*</w:t>
      </w:r>
      <w:r w:rsidR="007D5ED2" w:rsidRPr="007D5ED2">
        <w:rPr>
          <w:sz w:val="24"/>
          <w:lang w:val="da-DK"/>
        </w:rPr>
        <w:t xml:space="preserve"> </w:t>
      </w:r>
      <w:r w:rsidR="007D5ED2" w:rsidRPr="007D5ED2">
        <w:rPr>
          <w:sz w:val="24"/>
          <w:lang w:val="da-DK"/>
        </w:rPr>
        <w:tab/>
      </w:r>
      <w:r w:rsidRPr="007D5ED2">
        <w:rPr>
          <w:sz w:val="24"/>
          <w:lang w:val="da-DK"/>
        </w:rPr>
        <w:t>Dato skal indsættes af Parlamentet inden offentliggørelsen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2FE1" w14:textId="77777777" w:rsidR="00064002" w:rsidRPr="007D5E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3723" w14:textId="77777777" w:rsidR="00064002" w:rsidRPr="007D5E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54CF" w14:textId="77777777" w:rsidR="00064002" w:rsidRPr="007D5E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6402120">
    <w:abstractNumId w:val="9"/>
  </w:num>
  <w:num w:numId="2" w16cid:durableId="1761222222">
    <w:abstractNumId w:val="9"/>
  </w:num>
  <w:num w:numId="3" w16cid:durableId="2071228375">
    <w:abstractNumId w:val="7"/>
  </w:num>
  <w:num w:numId="4" w16cid:durableId="82145579">
    <w:abstractNumId w:val="7"/>
  </w:num>
  <w:num w:numId="5" w16cid:durableId="1684740019">
    <w:abstractNumId w:val="6"/>
  </w:num>
  <w:num w:numId="6" w16cid:durableId="42676972">
    <w:abstractNumId w:val="6"/>
  </w:num>
  <w:num w:numId="7" w16cid:durableId="2028941218">
    <w:abstractNumId w:val="5"/>
  </w:num>
  <w:num w:numId="8" w16cid:durableId="780494744">
    <w:abstractNumId w:val="5"/>
  </w:num>
  <w:num w:numId="9" w16cid:durableId="214781717">
    <w:abstractNumId w:val="4"/>
  </w:num>
  <w:num w:numId="10" w16cid:durableId="1888448650">
    <w:abstractNumId w:val="4"/>
  </w:num>
  <w:num w:numId="11" w16cid:durableId="1018193491">
    <w:abstractNumId w:val="8"/>
  </w:num>
  <w:num w:numId="12" w16cid:durableId="450780780">
    <w:abstractNumId w:val="8"/>
  </w:num>
  <w:num w:numId="13" w16cid:durableId="809597573">
    <w:abstractNumId w:val="3"/>
  </w:num>
  <w:num w:numId="14" w16cid:durableId="2043703425">
    <w:abstractNumId w:val="3"/>
  </w:num>
  <w:num w:numId="15" w16cid:durableId="880478593">
    <w:abstractNumId w:val="2"/>
  </w:num>
  <w:num w:numId="16" w16cid:durableId="146553464">
    <w:abstractNumId w:val="2"/>
  </w:num>
  <w:num w:numId="17" w16cid:durableId="1602638797">
    <w:abstractNumId w:val="1"/>
  </w:num>
  <w:num w:numId="18" w16cid:durableId="1017003313">
    <w:abstractNumId w:val="1"/>
  </w:num>
  <w:num w:numId="19" w16cid:durableId="386269604">
    <w:abstractNumId w:val="0"/>
  </w:num>
  <w:num w:numId="20" w16cid:durableId="1098481293">
    <w:abstractNumId w:val="0"/>
  </w:num>
  <w:num w:numId="21" w16cid:durableId="189219387">
    <w:abstractNumId w:val="9"/>
  </w:num>
  <w:num w:numId="22" w16cid:durableId="1636641075">
    <w:abstractNumId w:val="7"/>
  </w:num>
  <w:num w:numId="23" w16cid:durableId="1231383048">
    <w:abstractNumId w:val="6"/>
  </w:num>
  <w:num w:numId="24" w16cid:durableId="1197694078">
    <w:abstractNumId w:val="5"/>
  </w:num>
  <w:num w:numId="25" w16cid:durableId="1927761350">
    <w:abstractNumId w:val="4"/>
  </w:num>
  <w:num w:numId="26" w16cid:durableId="1889102985">
    <w:abstractNumId w:val="8"/>
  </w:num>
  <w:num w:numId="27" w16cid:durableId="679547919">
    <w:abstractNumId w:val="3"/>
  </w:num>
  <w:num w:numId="28" w16cid:durableId="342165730">
    <w:abstractNumId w:val="2"/>
  </w:num>
  <w:num w:numId="29" w16cid:durableId="1253129465">
    <w:abstractNumId w:val="1"/>
  </w:num>
  <w:num w:numId="30" w16cid:durableId="1102646183">
    <w:abstractNumId w:val="0"/>
  </w:num>
  <w:num w:numId="31" w16cid:durableId="1901480263">
    <w:abstractNumId w:val="9"/>
  </w:num>
  <w:num w:numId="32" w16cid:durableId="1212035332">
    <w:abstractNumId w:val="7"/>
  </w:num>
  <w:num w:numId="33" w16cid:durableId="461463579">
    <w:abstractNumId w:val="6"/>
  </w:num>
  <w:num w:numId="34" w16cid:durableId="2089426055">
    <w:abstractNumId w:val="5"/>
  </w:num>
  <w:num w:numId="35" w16cid:durableId="1976369292">
    <w:abstractNumId w:val="4"/>
  </w:num>
  <w:num w:numId="36" w16cid:durableId="1168639385">
    <w:abstractNumId w:val="8"/>
  </w:num>
  <w:num w:numId="37" w16cid:durableId="677191928">
    <w:abstractNumId w:val="3"/>
  </w:num>
  <w:num w:numId="38" w16cid:durableId="789591681">
    <w:abstractNumId w:val="2"/>
  </w:num>
  <w:num w:numId="39" w16cid:durableId="2051949946">
    <w:abstractNumId w:val="1"/>
  </w:num>
  <w:num w:numId="40" w16cid:durableId="409891617">
    <w:abstractNumId w:val="0"/>
  </w:num>
  <w:num w:numId="41" w16cid:durableId="1520898019">
    <w:abstractNumId w:val="10"/>
  </w:num>
  <w:num w:numId="42" w16cid:durableId="1224952388">
    <w:abstractNumId w:val="10"/>
  </w:num>
  <w:num w:numId="43" w16cid:durableId="1116604760">
    <w:abstractNumId w:val="10"/>
  </w:num>
  <w:num w:numId="44" w16cid:durableId="753210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DA"/>
    <w:docVar w:name="dvnumam" w:val="0"/>
    <w:docVar w:name="dvpe" w:val="789.090"/>
    <w:docVar w:name="dvrapporteur" w:val="Ordfører: "/>
    <w:docVar w:name="dvtitre" w:val="Europa-Parlamentets lovgivningsmæssige beslutning af xx. juli 2026 om forslag til Europa-Parlamentets og Rådets afgørelse om anvendelse af Den Europæiske Unions Solidaritetsfond med henblik på at yde bistand til Rumænien i forbindelse med oversvømmelserne i slutningen af maj 2025, Cypern efter naturbrandene i juli 2025 og Spanien efter naturbrandene i august 2025(COM(2026)1002 – C10-0119/2026 – 2026/0120(BUD))"/>
  </w:docVars>
  <w:rsids>
    <w:rsidRoot w:val="00173CAF"/>
    <w:rsid w:val="00002272"/>
    <w:rsid w:val="000564B1"/>
    <w:rsid w:val="00064002"/>
    <w:rsid w:val="000677B9"/>
    <w:rsid w:val="000831BA"/>
    <w:rsid w:val="000A42CC"/>
    <w:rsid w:val="000E7DD9"/>
    <w:rsid w:val="0010095E"/>
    <w:rsid w:val="00125B37"/>
    <w:rsid w:val="00144CE9"/>
    <w:rsid w:val="00173CAF"/>
    <w:rsid w:val="00187494"/>
    <w:rsid w:val="001F32AE"/>
    <w:rsid w:val="001F509E"/>
    <w:rsid w:val="002767FF"/>
    <w:rsid w:val="002B1086"/>
    <w:rsid w:val="002B18FE"/>
    <w:rsid w:val="002B50BD"/>
    <w:rsid w:val="002B5493"/>
    <w:rsid w:val="00343214"/>
    <w:rsid w:val="00361C00"/>
    <w:rsid w:val="00395FA1"/>
    <w:rsid w:val="003E15D4"/>
    <w:rsid w:val="004100B1"/>
    <w:rsid w:val="00411CCE"/>
    <w:rsid w:val="0041666E"/>
    <w:rsid w:val="00421060"/>
    <w:rsid w:val="00471C19"/>
    <w:rsid w:val="00480306"/>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5237"/>
    <w:rsid w:val="00725CC3"/>
    <w:rsid w:val="00731ADD"/>
    <w:rsid w:val="00734777"/>
    <w:rsid w:val="00747932"/>
    <w:rsid w:val="00751A4A"/>
    <w:rsid w:val="00756632"/>
    <w:rsid w:val="00762C74"/>
    <w:rsid w:val="00786EC0"/>
    <w:rsid w:val="007D1690"/>
    <w:rsid w:val="007D5ED2"/>
    <w:rsid w:val="007E22AD"/>
    <w:rsid w:val="00817416"/>
    <w:rsid w:val="00842779"/>
    <w:rsid w:val="00865F67"/>
    <w:rsid w:val="00881A7B"/>
    <w:rsid w:val="008840E5"/>
    <w:rsid w:val="00887B3E"/>
    <w:rsid w:val="008A47C4"/>
    <w:rsid w:val="008C2AC6"/>
    <w:rsid w:val="00930C23"/>
    <w:rsid w:val="0093193B"/>
    <w:rsid w:val="009509D8"/>
    <w:rsid w:val="00950B64"/>
    <w:rsid w:val="00981893"/>
    <w:rsid w:val="00A1687D"/>
    <w:rsid w:val="00A43E52"/>
    <w:rsid w:val="00A4678D"/>
    <w:rsid w:val="00A71976"/>
    <w:rsid w:val="00A778C7"/>
    <w:rsid w:val="00A9437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FFD"/>
    <w:rsid w:val="00DF27DB"/>
    <w:rsid w:val="00E365E1"/>
    <w:rsid w:val="00E820A4"/>
    <w:rsid w:val="00EB006A"/>
    <w:rsid w:val="00EB4772"/>
    <w:rsid w:val="00ED169E"/>
    <w:rsid w:val="00ED4235"/>
    <w:rsid w:val="00F04346"/>
    <w:rsid w:val="00F075DC"/>
    <w:rsid w:val="00F149E9"/>
    <w:rsid w:val="00F5134D"/>
    <w:rsid w:val="00F62626"/>
    <w:rsid w:val="00F74202"/>
    <w:rsid w:val="00F87713"/>
    <w:rsid w:val="00FB4360"/>
    <w:rsid w:val="00FD0C70"/>
    <w:rsid w:val="00FD64D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739C1"/>
  <w15:chartTrackingRefBased/>
  <w15:docId w15:val="{3A3E3301-0219-476F-AE32-5318C2B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F509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F509E"/>
    <w:pPr>
      <w:keepNext/>
      <w:spacing w:after="480"/>
      <w:jc w:val="center"/>
    </w:pPr>
    <w:rPr>
      <w:rFonts w:ascii="Arial" w:hAnsi="Arial" w:cs="Arial"/>
      <w:b/>
    </w:rPr>
  </w:style>
  <w:style w:type="paragraph" w:customStyle="1" w:styleId="NormalHanging12a">
    <w:name w:val="NormalHanging12a"/>
    <w:basedOn w:val="Normal"/>
    <w:rsid w:val="001F509E"/>
    <w:pPr>
      <w:spacing w:after="240"/>
      <w:ind w:left="567" w:hanging="567"/>
    </w:pPr>
  </w:style>
  <w:style w:type="paragraph" w:styleId="Header">
    <w:name w:val="header"/>
    <w:basedOn w:val="Normal"/>
    <w:link w:val="HeaderChar"/>
    <w:rsid w:val="001F509E"/>
    <w:pPr>
      <w:tabs>
        <w:tab w:val="center" w:pos="4513"/>
        <w:tab w:val="right" w:pos="9026"/>
      </w:tabs>
    </w:pPr>
  </w:style>
  <w:style w:type="character" w:customStyle="1" w:styleId="HeaderChar">
    <w:name w:val="Header Char"/>
    <w:basedOn w:val="DefaultParagraphFont"/>
    <w:link w:val="Header"/>
    <w:rsid w:val="001F509E"/>
    <w:rPr>
      <w:sz w:val="24"/>
      <w:lang w:val="da-DK"/>
    </w:rPr>
  </w:style>
  <w:style w:type="paragraph" w:customStyle="1" w:styleId="EPFooter">
    <w:name w:val="EPFooter"/>
    <w:basedOn w:val="Normal"/>
    <w:rsid w:val="001F509E"/>
    <w:pPr>
      <w:tabs>
        <w:tab w:val="center" w:pos="4535"/>
        <w:tab w:val="right" w:pos="9071"/>
      </w:tabs>
      <w:spacing w:before="240" w:after="240"/>
    </w:pPr>
    <w:rPr>
      <w:color w:val="010000"/>
      <w:sz w:val="22"/>
    </w:rPr>
  </w:style>
  <w:style w:type="paragraph" w:customStyle="1" w:styleId="EPComma">
    <w:name w:val="EPComma"/>
    <w:basedOn w:val="Normal"/>
    <w:rsid w:val="001F509E"/>
    <w:pPr>
      <w:spacing w:before="480" w:after="240"/>
    </w:pPr>
  </w:style>
  <w:style w:type="character" w:styleId="Hyperlink">
    <w:name w:val="Hyperlink"/>
    <w:basedOn w:val="DefaultParagraphFont"/>
    <w:uiPriority w:val="99"/>
    <w:rsid w:val="001F509E"/>
    <w:rPr>
      <w:color w:val="0563C1" w:themeColor="hyperlink"/>
      <w:u w:val="single"/>
    </w:rPr>
  </w:style>
  <w:style w:type="paragraph" w:styleId="ListParagraph">
    <w:name w:val="List Paragraph"/>
    <w:basedOn w:val="Normal"/>
    <w:uiPriority w:val="1"/>
    <w:qFormat/>
    <w:rsid w:val="001F509E"/>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rsid w:val="000564B1"/>
    <w:pPr>
      <w:tabs>
        <w:tab w:val="center" w:pos="4513"/>
        <w:tab w:val="right" w:pos="9026"/>
      </w:tabs>
    </w:pPr>
  </w:style>
  <w:style w:type="character" w:customStyle="1" w:styleId="FooterChar">
    <w:name w:val="Footer Char"/>
    <w:basedOn w:val="DefaultParagraphFont"/>
    <w:link w:val="Footer"/>
    <w:rsid w:val="000564B1"/>
    <w:rPr>
      <w:sz w:val="24"/>
      <w:lang w:val="da-DK"/>
    </w:rPr>
  </w:style>
  <w:style w:type="character" w:styleId="CommentReference">
    <w:name w:val="annotation reference"/>
    <w:basedOn w:val="DefaultParagraphFont"/>
    <w:rsid w:val="000564B1"/>
    <w:rPr>
      <w:sz w:val="16"/>
      <w:szCs w:val="16"/>
    </w:rPr>
  </w:style>
  <w:style w:type="paragraph" w:styleId="CommentText">
    <w:name w:val="annotation text"/>
    <w:basedOn w:val="Normal"/>
    <w:link w:val="CommentTextChar"/>
    <w:rsid w:val="000564B1"/>
    <w:rPr>
      <w:sz w:val="20"/>
    </w:rPr>
  </w:style>
  <w:style w:type="character" w:customStyle="1" w:styleId="CommentTextChar">
    <w:name w:val="Comment Text Char"/>
    <w:basedOn w:val="DefaultParagraphFont"/>
    <w:link w:val="CommentText"/>
    <w:rsid w:val="000564B1"/>
    <w:rPr>
      <w:lang w:val="da-DK"/>
    </w:rPr>
  </w:style>
  <w:style w:type="paragraph" w:styleId="CommentSubject">
    <w:name w:val="annotation subject"/>
    <w:basedOn w:val="CommentText"/>
    <w:next w:val="CommentText"/>
    <w:link w:val="CommentSubjectChar"/>
    <w:rsid w:val="000564B1"/>
    <w:rPr>
      <w:b/>
      <w:bCs/>
    </w:rPr>
  </w:style>
  <w:style w:type="character" w:customStyle="1" w:styleId="CommentSubjectChar">
    <w:name w:val="Comment Subject Char"/>
    <w:basedOn w:val="CommentTextChar"/>
    <w:link w:val="CommentSubject"/>
    <w:rsid w:val="000564B1"/>
    <w:rPr>
      <w:b/>
      <w:bCs/>
      <w:lang w:val="da-DK"/>
    </w:rPr>
  </w:style>
  <w:style w:type="character" w:styleId="FollowedHyperlink">
    <w:name w:val="FollowedHyperlink"/>
    <w:basedOn w:val="DefaultParagraphFont"/>
    <w:rsid w:val="00705237"/>
    <w:rPr>
      <w:color w:val="954F72" w:themeColor="followedHyperlink"/>
      <w:u w:val="single"/>
    </w:rPr>
  </w:style>
  <w:style w:type="paragraph" w:styleId="Revision">
    <w:name w:val="Revision"/>
    <w:hidden/>
    <w:uiPriority w:val="99"/>
    <w:semiHidden/>
    <w:rsid w:val="00705237"/>
    <w:rPr>
      <w:sz w:val="24"/>
      <w:lang w:val="da-DK"/>
    </w:rPr>
  </w:style>
  <w:style w:type="character" w:styleId="UnresolvedMention">
    <w:name w:val="Unresolved Mention"/>
    <w:basedOn w:val="DefaultParagraphFont"/>
    <w:uiPriority w:val="99"/>
    <w:semiHidden/>
    <w:unhideWhenUsed/>
    <w:rsid w:val="00705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36/oj" TargetMode="External"/><Relationship Id="rId13" Type="http://schemas.openxmlformats.org/officeDocument/2006/relationships/hyperlink" Target="http://data.europa.eu/eli/agree_interinstit/2020/122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02/201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 Id="rId1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2203</Words>
  <Characters>13935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2026-07-08T07:31:00Z</dcterms:created>
  <dcterms:modified xsi:type="dcterms:W3CDTF">2026-07-08T07:31:00Z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P10_TA(2026)0244_</vt:lpwstr>
  </property>
  <property fmtid="{D5CDD505-2E9C-101B-9397-08002B2CF9AE}" pid="4" name="&lt;Type&gt;">
    <vt:lpwstr>RR</vt:lpwstr>
  </property>
</Properties>
</file>