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FAF" w14:paraId="0041242A" w14:textId="77777777" w:rsidTr="0010095E">
        <w:trPr>
          <w:trHeight w:hRule="exact" w:val="1418"/>
        </w:trPr>
        <w:tc>
          <w:tcPr>
            <w:tcW w:w="6804" w:type="dxa"/>
            <w:shd w:val="clear" w:color="auto" w:fill="auto"/>
            <w:vAlign w:val="center"/>
          </w:tcPr>
          <w:p w14:paraId="1D15B74F" w14:textId="77777777" w:rsidR="00751A4A" w:rsidRPr="00173FAF" w:rsidRDefault="00145854" w:rsidP="0010095E">
            <w:pPr>
              <w:pStyle w:val="EPName"/>
            </w:pPr>
            <w:r w:rsidRPr="00173FAF">
              <w:t>Ευρωπαϊκό Κοινοβούλιο</w:t>
            </w:r>
          </w:p>
          <w:p w14:paraId="652607F2" w14:textId="77777777" w:rsidR="00751A4A" w:rsidRPr="00173FAF" w:rsidRDefault="005F1B17" w:rsidP="005F1B17">
            <w:pPr>
              <w:pStyle w:val="EPTerm"/>
              <w:rPr>
                <w:rStyle w:val="HideTWBExt"/>
                <w:noProof w:val="0"/>
                <w:vanish w:val="0"/>
                <w:color w:val="auto"/>
              </w:rPr>
            </w:pPr>
            <w:r w:rsidRPr="00173FAF">
              <w:t>2024</w:t>
            </w:r>
            <w:r w:rsidR="00817416" w:rsidRPr="00173FAF">
              <w:t>-202</w:t>
            </w:r>
            <w:r w:rsidRPr="00173FAF">
              <w:t>9</w:t>
            </w:r>
          </w:p>
        </w:tc>
        <w:tc>
          <w:tcPr>
            <w:tcW w:w="2268" w:type="dxa"/>
            <w:shd w:val="clear" w:color="auto" w:fill="auto"/>
          </w:tcPr>
          <w:p w14:paraId="7F0BBC3B" w14:textId="77777777" w:rsidR="00751A4A" w:rsidRPr="00173FAF" w:rsidRDefault="00187494" w:rsidP="0010095E">
            <w:pPr>
              <w:pStyle w:val="EPLogo"/>
            </w:pPr>
            <w:r w:rsidRPr="00173FAF">
              <w:rPr>
                <w:noProof/>
                <w:lang w:eastAsia="ja-JP"/>
              </w:rPr>
              <w:drawing>
                <wp:inline distT="0" distB="0" distL="0" distR="0" wp14:anchorId="6BACCF59" wp14:editId="5F9B75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151521" w14:textId="77777777" w:rsidR="00D058B8" w:rsidRPr="00173FAF" w:rsidRDefault="00D058B8" w:rsidP="004C5D52">
      <w:pPr>
        <w:pStyle w:val="LineTop"/>
      </w:pPr>
    </w:p>
    <w:p w14:paraId="69D883D4" w14:textId="77777777" w:rsidR="00680577" w:rsidRPr="00173FAF" w:rsidRDefault="00145854" w:rsidP="00680577">
      <w:pPr>
        <w:pStyle w:val="EPBodyTA1"/>
      </w:pPr>
      <w:r w:rsidRPr="00173FAF">
        <w:t>ΚΕΙΜΕΝΑ ΠΟΥ ΕΓΚΡΙΘΗΚΑΝ</w:t>
      </w:r>
    </w:p>
    <w:p w14:paraId="3246595F" w14:textId="77777777" w:rsidR="00D058B8" w:rsidRPr="00173FAF" w:rsidRDefault="00D058B8" w:rsidP="00D058B8">
      <w:pPr>
        <w:pStyle w:val="LineBottom"/>
      </w:pPr>
    </w:p>
    <w:p w14:paraId="4FDF66EE" w14:textId="1C7D5C9E" w:rsidR="00145854" w:rsidRPr="00173FAF" w:rsidRDefault="00145854" w:rsidP="00145854">
      <w:pPr>
        <w:pStyle w:val="ATHeading1"/>
      </w:pPr>
      <w:bookmarkStart w:id="0" w:name="TANumber"/>
      <w:r w:rsidRPr="00173FAF">
        <w:t>P10_TA(2026)0</w:t>
      </w:r>
      <w:r w:rsidR="00970A08" w:rsidRPr="00173FAF">
        <w:t>244</w:t>
      </w:r>
      <w:bookmarkEnd w:id="0"/>
    </w:p>
    <w:p w14:paraId="487C94FF" w14:textId="2FCCD6EE" w:rsidR="00145854" w:rsidRPr="00173FAF" w:rsidRDefault="002754FC" w:rsidP="002754FC">
      <w:pPr>
        <w:pStyle w:val="ATHeading2"/>
      </w:pPr>
      <w:bookmarkStart w:id="1" w:name="title"/>
      <w:r w:rsidRPr="00173FAF">
        <w:rPr>
          <w:bCs/>
        </w:rPr>
        <w:t xml:space="preserve">Κινητοποίηση του Ταμείου Αλληλεγγύης της Ευρωπαϊκής Ένωσης: παροχή βοήθειας στη Ρουμανία, την Κύπρο και την Ισπανία </w:t>
      </w:r>
      <w:r w:rsidR="004D2F4B" w:rsidRPr="00173FAF">
        <w:rPr>
          <w:bCs/>
        </w:rPr>
        <w:t xml:space="preserve">λόγω φυσικών καταστροφών το </w:t>
      </w:r>
      <w:r w:rsidRPr="00173FAF">
        <w:rPr>
          <w:bCs/>
        </w:rPr>
        <w:t>2025</w:t>
      </w:r>
      <w:bookmarkEnd w:id="1"/>
    </w:p>
    <w:p w14:paraId="6E6CE0FC" w14:textId="77777777" w:rsidR="00145854" w:rsidRPr="00173FAF" w:rsidRDefault="00145854" w:rsidP="00145854">
      <w:pPr>
        <w:rPr>
          <w:i/>
          <w:vanish/>
        </w:rPr>
      </w:pPr>
      <w:r w:rsidRPr="00173FAF">
        <w:rPr>
          <w:i/>
        </w:rPr>
        <w:fldChar w:fldCharType="begin"/>
      </w:r>
      <w:r w:rsidRPr="00173FAF">
        <w:rPr>
          <w:i/>
        </w:rPr>
        <w:instrText xml:space="preserve"> TC"(</w:instrText>
      </w:r>
      <w:bookmarkStart w:id="2" w:name="DocNumber"/>
      <w:r w:rsidRPr="00173FAF">
        <w:rPr>
          <w:i/>
        </w:rPr>
        <w:instrText>A10-0178/2026</w:instrText>
      </w:r>
      <w:bookmarkEnd w:id="2"/>
      <w:r w:rsidRPr="00173FAF">
        <w:rPr>
          <w:i/>
        </w:rPr>
        <w:instrText xml:space="preserve"> - Εισηγητής: Bogdan Rzońca)"\l3 \n&gt; \* MERGEFORMAT </w:instrText>
      </w:r>
      <w:r w:rsidRPr="00173FAF">
        <w:rPr>
          <w:i/>
        </w:rPr>
        <w:fldChar w:fldCharType="end"/>
      </w:r>
    </w:p>
    <w:p w14:paraId="62002865" w14:textId="77777777" w:rsidR="00145854" w:rsidRPr="00173FAF" w:rsidRDefault="00145854" w:rsidP="00145854">
      <w:pPr>
        <w:rPr>
          <w:vanish/>
        </w:rPr>
      </w:pPr>
      <w:bookmarkStart w:id="3" w:name="Commission"/>
      <w:r w:rsidRPr="00173FAF">
        <w:rPr>
          <w:vanish/>
        </w:rPr>
        <w:t>Επιτροπή Προϋπολογισμών</w:t>
      </w:r>
      <w:bookmarkEnd w:id="3"/>
    </w:p>
    <w:p w14:paraId="3B1A867B" w14:textId="77777777" w:rsidR="00145854" w:rsidRPr="00173FAF" w:rsidRDefault="00145854" w:rsidP="00145854">
      <w:pPr>
        <w:rPr>
          <w:vanish/>
        </w:rPr>
      </w:pPr>
      <w:bookmarkStart w:id="4" w:name="PE"/>
      <w:r w:rsidRPr="00173FAF">
        <w:rPr>
          <w:vanish/>
        </w:rPr>
        <w:t>PE789.090</w:t>
      </w:r>
      <w:bookmarkEnd w:id="4"/>
    </w:p>
    <w:p w14:paraId="03A5E3B8" w14:textId="10D04F9D" w:rsidR="00145854" w:rsidRPr="00173FAF" w:rsidRDefault="002754FC" w:rsidP="00145854">
      <w:pPr>
        <w:pStyle w:val="ATHeading3"/>
      </w:pPr>
      <w:bookmarkStart w:id="5" w:name="Sujet"/>
      <w:r w:rsidRPr="00173FAF">
        <w:t xml:space="preserve">Ψήφισμα </w:t>
      </w:r>
      <w:r w:rsidR="00145854" w:rsidRPr="00173FAF">
        <w:t xml:space="preserve">του Ευρωπαϊκού Κοινοβουλίου της </w:t>
      </w:r>
      <w:r w:rsidR="00DF5C8D" w:rsidRPr="00173FAF">
        <w:t>7</w:t>
      </w:r>
      <w:r w:rsidR="006B55EE" w:rsidRPr="00173FAF">
        <w:t>ης Ιουλίου</w:t>
      </w:r>
      <w:r w:rsidR="00145854" w:rsidRPr="00173FAF">
        <w:t xml:space="preserve"> 2026 σχετικά με την πρόταση απόφασης του Ευρωπαϊκού Κοινοβουλίου και του Συμβουλίου που αφορά την κινητοποίηση του Ταμείου Αλληλεγγύης της Ευρωπαϊκής Ένωσης για την παροχή βοήθειας στη Ρουμανία όσον αφορά τις πλημμύρες στα τέλη Μαΐου του 2025, στην Κύπρο μετά τις δασικές πυρκαγιές του Ιουλίου του 2025 και στην Ισπανία μετά τις δασικές πυρκαγιές του Αυγούστου του 2025</w:t>
      </w:r>
      <w:bookmarkEnd w:id="5"/>
      <w:r w:rsidR="00145854" w:rsidRPr="00173FAF">
        <w:t xml:space="preserve"> </w:t>
      </w:r>
      <w:bookmarkStart w:id="6" w:name="References"/>
      <w:r w:rsidR="00145854" w:rsidRPr="00173FAF">
        <w:t>(COM(2026)1002 – C10-0119/2026 – 2026/0120(BUD))</w:t>
      </w:r>
      <w:bookmarkEnd w:id="6"/>
    </w:p>
    <w:p w14:paraId="3862FADD" w14:textId="77777777" w:rsidR="00FD6F96" w:rsidRPr="00173FAF" w:rsidRDefault="00FD6F96" w:rsidP="00FD6F96">
      <w:pPr>
        <w:pStyle w:val="EPComma"/>
        <w:rPr>
          <w:noProof/>
        </w:rPr>
      </w:pPr>
      <w:r w:rsidRPr="00173FAF">
        <w:rPr>
          <w:i/>
        </w:rPr>
        <w:t>Το Ευρωπαϊκό Κοινοβούλιο</w:t>
      </w:r>
      <w:r w:rsidRPr="00173FAF">
        <w:t>,</w:t>
      </w:r>
    </w:p>
    <w:p w14:paraId="483ED07E" w14:textId="77777777" w:rsidR="00FD6F96" w:rsidRPr="00173FAF" w:rsidRDefault="00FD6F96" w:rsidP="002754FC">
      <w:pPr>
        <w:pStyle w:val="NormalHanging12a"/>
        <w:widowControl/>
        <w:rPr>
          <w:noProof/>
        </w:rPr>
      </w:pPr>
      <w:r w:rsidRPr="00173FAF">
        <w:t>–</w:t>
      </w:r>
      <w:r w:rsidRPr="00173FAF">
        <w:tab/>
        <w:t>έχοντας υπόψη την πρόταση της Επιτροπής προς το Ευρωπαϊκό Κοινοβούλιο και το Συμβούλιο (COM(2026)1002 – C10</w:t>
      </w:r>
      <w:r w:rsidRPr="00173FAF">
        <w:noBreakHyphen/>
        <w:t>0119/2026),</w:t>
      </w:r>
    </w:p>
    <w:p w14:paraId="2CD1544E" w14:textId="22B45645" w:rsidR="00FD6F96" w:rsidRPr="00173FAF" w:rsidRDefault="00FD6F96" w:rsidP="002754FC">
      <w:pPr>
        <w:pStyle w:val="NormalHanging12a"/>
        <w:widowControl/>
        <w:rPr>
          <w:noProof/>
        </w:rPr>
      </w:pPr>
      <w:r w:rsidRPr="00173FAF">
        <w:t>–</w:t>
      </w:r>
      <w:r w:rsidRPr="00173FAF">
        <w:tab/>
        <w:t>έχοντας υπόψη τον κανονισμό (ΕΚ) αριθ. 2012/2002 του Συμβουλίου, της 11ης</w:t>
      </w:r>
      <w:r w:rsidR="00DF5C8D" w:rsidRPr="00173FAF">
        <w:t> </w:t>
      </w:r>
      <w:r w:rsidRPr="00173FAF">
        <w:t>Νοεμβρίου 2002, για την ίδρυση του Ταμείου Αλληλεγγύης της Ευρωπαϊκής Ένωσης</w:t>
      </w:r>
      <w:r w:rsidRPr="00173FAF">
        <w:rPr>
          <w:rStyle w:val="FootnoteReference"/>
        </w:rPr>
        <w:footnoteReference w:id="1"/>
      </w:r>
      <w:r w:rsidRPr="00173FAF">
        <w:t>,</w:t>
      </w:r>
    </w:p>
    <w:p w14:paraId="759C08B4" w14:textId="33CAE6E3" w:rsidR="00FD6F96" w:rsidRPr="00173FAF" w:rsidRDefault="00FD6F96" w:rsidP="002754FC">
      <w:pPr>
        <w:pStyle w:val="NormalHanging12a"/>
        <w:widowControl/>
        <w:rPr>
          <w:noProof/>
        </w:rPr>
      </w:pPr>
      <w:r w:rsidRPr="00173FAF">
        <w:t>–</w:t>
      </w:r>
      <w:r w:rsidRPr="00173FAF">
        <w:tab/>
        <w:t>έχοντας υπόψη τον κανονισμό (EE, Ευρατόμ) 2020/2093 του Συμβουλίου, της 17ης</w:t>
      </w:r>
      <w:r w:rsidR="00DF5C8D" w:rsidRPr="00173FAF">
        <w:t> </w:t>
      </w:r>
      <w:r w:rsidRPr="00173FAF">
        <w:t>Δεκεμβρίου 2020, για τον καθορισμό του πολυετούς δημοσιονομικού πλαισίου για τα έτη 2021 έως 2027</w:t>
      </w:r>
      <w:r w:rsidRPr="00173FAF">
        <w:rPr>
          <w:rStyle w:val="FootnoteReference"/>
          <w:noProof/>
        </w:rPr>
        <w:footnoteReference w:id="2"/>
      </w:r>
      <w:r w:rsidRPr="00173FAF">
        <w:t>, και ιδίως το άρθρο 9,</w:t>
      </w:r>
    </w:p>
    <w:p w14:paraId="7E06CF75" w14:textId="7DCE596C" w:rsidR="00FD6F96" w:rsidRPr="00173FAF" w:rsidRDefault="00FD6F96" w:rsidP="002754FC">
      <w:pPr>
        <w:pStyle w:val="NormalHanging12a"/>
        <w:widowControl/>
        <w:rPr>
          <w:noProof/>
        </w:rPr>
      </w:pPr>
      <w:r w:rsidRPr="00173FAF">
        <w:t>–</w:t>
      </w:r>
      <w:r w:rsidRPr="00173FAF">
        <w:tab/>
        <w:t>έχοντας υπόψη τη διοργανική συμφωνία της 16ης Δεκεμβρίου 2020 μεταξύ του Ευρωπαϊκού Κοινοβουλίου, του Συμβουλίου και της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173FAF">
        <w:rPr>
          <w:noProof/>
          <w:vertAlign w:val="superscript"/>
        </w:rPr>
        <w:footnoteReference w:id="3"/>
      </w:r>
      <w:r w:rsidRPr="00173FAF">
        <w:t xml:space="preserve">, και ιδίως το σημείο 10, </w:t>
      </w:r>
    </w:p>
    <w:p w14:paraId="6651B543" w14:textId="77777777" w:rsidR="00FD6F96" w:rsidRPr="00173FAF" w:rsidRDefault="00FD6F96" w:rsidP="002754FC">
      <w:pPr>
        <w:pStyle w:val="NormalHanging12a"/>
        <w:widowControl/>
        <w:rPr>
          <w:noProof/>
        </w:rPr>
      </w:pPr>
      <w:r w:rsidRPr="00173FAF">
        <w:lastRenderedPageBreak/>
        <w:t>–</w:t>
      </w:r>
      <w:r w:rsidRPr="00173FAF">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173FAF">
        <w:rPr>
          <w:noProof/>
          <w:vertAlign w:val="superscript"/>
        </w:rPr>
        <w:footnoteReference w:id="4"/>
      </w:r>
      <w:r w:rsidRPr="00173FAF">
        <w:t xml:space="preserve">, </w:t>
      </w:r>
    </w:p>
    <w:p w14:paraId="67A3AB9F" w14:textId="77777777" w:rsidR="00FD6F96" w:rsidRPr="00173FAF" w:rsidRDefault="00FD6F96" w:rsidP="002754FC">
      <w:pPr>
        <w:pStyle w:val="NormalHanging12a"/>
        <w:widowControl/>
        <w:rPr>
          <w:noProof/>
        </w:rPr>
      </w:pPr>
      <w:r w:rsidRPr="00173FAF">
        <w:t>–</w:t>
      </w:r>
      <w:r w:rsidRPr="00173FAF">
        <w:tab/>
        <w:t>έχοντας υπόψη τον κανονισμό (ΕΕ) 2021/1057 του Ευρωπαϊκού Κοινοβουλίου και του Συμβουλίου, της 24ης Ιουνίου 2021, περί ιδρύσεως του Ευρωπαϊκού Κοινωνικού Ταμείου+ (EKT+)</w:t>
      </w:r>
      <w:r w:rsidRPr="00173FAF">
        <w:rPr>
          <w:noProof/>
          <w:vertAlign w:val="superscript"/>
        </w:rPr>
        <w:footnoteReference w:id="5"/>
      </w:r>
      <w:r w:rsidRPr="00173FAF">
        <w:t xml:space="preserve">, </w:t>
      </w:r>
    </w:p>
    <w:p w14:paraId="0CFBDC44" w14:textId="77777777" w:rsidR="00FD6F96" w:rsidRPr="00173FAF" w:rsidRDefault="00FD6F96" w:rsidP="002754FC">
      <w:pPr>
        <w:pStyle w:val="NormalHanging12a"/>
        <w:widowControl/>
        <w:rPr>
          <w:noProof/>
        </w:rPr>
      </w:pPr>
      <w:r w:rsidRPr="00173FAF">
        <w:t>–</w:t>
      </w:r>
      <w:r w:rsidRPr="00173FAF">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173FAF">
        <w:rPr>
          <w:rStyle w:val="FootnoteReference"/>
          <w:noProof/>
        </w:rPr>
        <w:footnoteReference w:id="6"/>
      </w:r>
      <w:r w:rsidRPr="00173FAF">
        <w:t>,</w:t>
      </w:r>
    </w:p>
    <w:p w14:paraId="353DC697" w14:textId="77777777" w:rsidR="00FD6F96" w:rsidRPr="00173FAF" w:rsidRDefault="00FD6F96" w:rsidP="002754FC">
      <w:pPr>
        <w:pStyle w:val="NormalHanging12a"/>
        <w:widowControl/>
        <w:rPr>
          <w:noProof/>
        </w:rPr>
      </w:pPr>
      <w:r w:rsidRPr="00173FAF">
        <w:t>–</w:t>
      </w:r>
      <w:r w:rsidRPr="00173FAF">
        <w:tab/>
        <w:t>έχοντας υπόψη το ψήφισμά του, της 17ης Δεκεμβρίου 2024, σχετικά με την πρόταση κανονισμού του Ευρωπαϊκού Κοινοβουλίου και του Συμβουλίου – RESTORE – Έκτακτη περιφερειακή στήριξη για την ανασυγκρότηση, που τροποποιεί τους κανονισμούς (ΕΕ) 2021/1058 και (ΕΕ) 2021/1057</w:t>
      </w:r>
      <w:r w:rsidRPr="00173FAF">
        <w:rPr>
          <w:rStyle w:val="FootnoteReference"/>
          <w:noProof/>
        </w:rPr>
        <w:footnoteReference w:id="7"/>
      </w:r>
      <w:r w:rsidRPr="00173FAF">
        <w:t>, και ιδίως τη συνημμένη σε αυτό δημοσιονομική αξιολόγηση,</w:t>
      </w:r>
    </w:p>
    <w:p w14:paraId="1DF856F0" w14:textId="77777777" w:rsidR="00FD6F96" w:rsidRPr="00173FAF" w:rsidRDefault="00FD6F96" w:rsidP="002754FC">
      <w:pPr>
        <w:pStyle w:val="NormalHanging12a"/>
        <w:widowControl/>
        <w:rPr>
          <w:noProof/>
        </w:rPr>
      </w:pPr>
      <w:r w:rsidRPr="00173FAF">
        <w:t>–</w:t>
      </w:r>
      <w:r w:rsidRPr="00173FAF">
        <w:tab/>
        <w:t xml:space="preserve">έχοντας υπόψη την έκθεση αριθ. 1/2024 του ΕΟΠ με τίτλο «European </w:t>
      </w:r>
      <w:proofErr w:type="spellStart"/>
      <w:r w:rsidRPr="00173FAF">
        <w:t>Climate</w:t>
      </w:r>
      <w:proofErr w:type="spellEnd"/>
      <w:r w:rsidRPr="00173FAF">
        <w:t xml:space="preserve"> </w:t>
      </w:r>
      <w:proofErr w:type="spellStart"/>
      <w:r w:rsidRPr="00173FAF">
        <w:t>Risk</w:t>
      </w:r>
      <w:proofErr w:type="spellEnd"/>
      <w:r w:rsidRPr="00173FAF">
        <w:t xml:space="preserve"> </w:t>
      </w:r>
      <w:proofErr w:type="spellStart"/>
      <w:r w:rsidRPr="00173FAF">
        <w:t>Assessment</w:t>
      </w:r>
      <w:proofErr w:type="spellEnd"/>
      <w:r w:rsidRPr="00173FAF">
        <w:t>» (EUCRA — Ευρωπαϊκή εκτίμηση κλιματικών κινδύνων)</w:t>
      </w:r>
      <w:r w:rsidRPr="00173FAF">
        <w:rPr>
          <w:rStyle w:val="FootnoteReference"/>
          <w:noProof/>
        </w:rPr>
        <w:footnoteReference w:id="8"/>
      </w:r>
      <w:r w:rsidRPr="00173FAF">
        <w:t>,</w:t>
      </w:r>
    </w:p>
    <w:p w14:paraId="5B2C04FC" w14:textId="39AE1E85" w:rsidR="00FD6F96" w:rsidRPr="00173FAF" w:rsidRDefault="00FD6F96" w:rsidP="002754FC">
      <w:pPr>
        <w:widowControl/>
        <w:spacing w:after="240"/>
        <w:ind w:left="567" w:hanging="567"/>
        <w:rPr>
          <w:noProof/>
        </w:rPr>
      </w:pPr>
      <w:r w:rsidRPr="00173FAF">
        <w:t>Α.</w:t>
      </w:r>
      <w:r w:rsidRPr="00173FAF">
        <w:tab/>
        <w:t xml:space="preserve">λαμβάνοντας υπόψη ότι, μεταξύ 26 Μαΐου και αρχών Ιουνίου </w:t>
      </w:r>
      <w:r w:rsidR="00DF5C8D" w:rsidRPr="00173FAF">
        <w:t xml:space="preserve">του </w:t>
      </w:r>
      <w:r w:rsidRPr="00173FAF">
        <w:t xml:space="preserve">2025, η Ρουμανία επλήγη από έντονες βροχοπτώσεις που προκάλεσαν σοβαρές πλημμύρες στις περιφέρειες </w:t>
      </w:r>
      <w:proofErr w:type="spellStart"/>
      <w:r w:rsidRPr="00173FAF">
        <w:t>Centru</w:t>
      </w:r>
      <w:proofErr w:type="spellEnd"/>
      <w:r w:rsidRPr="00173FAF">
        <w:t xml:space="preserve">, </w:t>
      </w:r>
      <w:proofErr w:type="spellStart"/>
      <w:r w:rsidRPr="00173FAF">
        <w:t>Sud</w:t>
      </w:r>
      <w:proofErr w:type="spellEnd"/>
      <w:r w:rsidRPr="00173FAF">
        <w:t xml:space="preserve"> </w:t>
      </w:r>
      <w:proofErr w:type="spellStart"/>
      <w:r w:rsidRPr="00173FAF">
        <w:t>Muntenia</w:t>
      </w:r>
      <w:proofErr w:type="spellEnd"/>
      <w:r w:rsidRPr="00173FAF">
        <w:t xml:space="preserve"> και </w:t>
      </w:r>
      <w:proofErr w:type="spellStart"/>
      <w:r w:rsidRPr="00173FAF">
        <w:t>Nord</w:t>
      </w:r>
      <w:proofErr w:type="spellEnd"/>
      <w:r w:rsidRPr="00173FAF">
        <w:t xml:space="preserve"> Est, με αποτέλεσμα συνολικές άμεσες ζημίες που εκτιμώνται από την Επιτροπή σε 573,59 εκατομμύρια EUR και επηρεάζουν υποδομές ζωτικής σημασίας, δημόσιες υπηρεσίες και χιλιάδες νοικοκυριά· λαμβάνοντας υπόψη ότι οι πλημμύρες προκάλεσαν εκτεταμένες ζημίες στο αλατωρυχείο </w:t>
      </w:r>
      <w:proofErr w:type="spellStart"/>
      <w:r w:rsidRPr="00173FAF">
        <w:t>Praid</w:t>
      </w:r>
      <w:proofErr w:type="spellEnd"/>
      <w:r w:rsidRPr="00173FAF">
        <w:t xml:space="preserve"> και στις σχετικές </w:t>
      </w:r>
      <w:proofErr w:type="spellStart"/>
      <w:r w:rsidRPr="00173FAF">
        <w:t>υδροτεχνικές</w:t>
      </w:r>
      <w:proofErr w:type="spellEnd"/>
      <w:r w:rsidRPr="00173FAF">
        <w:t xml:space="preserve"> υποδομές·</w:t>
      </w:r>
    </w:p>
    <w:p w14:paraId="42C8228B" w14:textId="77777777" w:rsidR="00FD6F96" w:rsidRPr="00173FAF" w:rsidRDefault="00FD6F96" w:rsidP="002754FC">
      <w:pPr>
        <w:widowControl/>
        <w:spacing w:after="240"/>
        <w:ind w:left="567" w:hanging="567"/>
        <w:rPr>
          <w:noProof/>
        </w:rPr>
      </w:pPr>
      <w:r w:rsidRPr="00173FAF">
        <w:t>Β.</w:t>
      </w:r>
      <w:r w:rsidRPr="00173FAF">
        <w:tab/>
        <w:t>λαμβάνοντας υπόψη ότι, τον Ιούλιο του 2025, η Κύπρος επλήγη από πρωτοφανείς δασικές πυρκαγιές στις περιοχές της Λεμεσού και της Πάφου μετά από παρατεταμένη ξηρασία, ακραίους καύσωνες και ισχυρούς ανέμους, με αποτέλεσμα συνολικές άμεσες ζημίες που εκτιμώνται από την Επιτροπή σε 252,68 εκατομμύρια EUR· λαμβάνοντας υπόψη ότι οι δασικές πυρκαγιές επηρέασαν χιλιάδες κατοίκους, κατέστρεψαν σχεδόν 900 ιδιωτικές ιδιοκτησίες και προκάλεσαν τουλάχιστον 2 θανάτους·</w:t>
      </w:r>
    </w:p>
    <w:p w14:paraId="12E21706" w14:textId="77777777" w:rsidR="00FD6F96" w:rsidRPr="00173FAF" w:rsidRDefault="00FD6F96" w:rsidP="002754FC">
      <w:pPr>
        <w:widowControl/>
        <w:spacing w:after="240"/>
        <w:ind w:left="567" w:hanging="567"/>
        <w:rPr>
          <w:noProof/>
        </w:rPr>
      </w:pPr>
      <w:r w:rsidRPr="00173FAF">
        <w:t>Γ.</w:t>
      </w:r>
      <w:r w:rsidRPr="00173FAF">
        <w:tab/>
        <w:t>λαμβάνοντας υπόψη ότι, τον Αύγουστο του 2025, η Ισπανία επλήγη από τρίτο κύμα σοβαρών δασικών πυρκαγιών, με τις συνολικές άμεσες ζημίες να εκτιμώνται από την Επιτροπή σε 4,32 δισεκατομμύρια EUR· λαμβάνοντας υπόψη ότι οι πυρκαγιές έπληξαν 16 αυτόνομες κοινότητες, προκάλεσαν σημαντικές περιβαλλοντικές, κοινωνικές και οικονομικές ζημίες και είχαν ως αποτέλεσμα τουλάχιστον 8 θανάτους·</w:t>
      </w:r>
    </w:p>
    <w:p w14:paraId="069A0392" w14:textId="77777777" w:rsidR="00FD6F96" w:rsidRPr="00173FAF" w:rsidRDefault="00FD6F96" w:rsidP="002754FC">
      <w:pPr>
        <w:widowControl/>
        <w:spacing w:after="240"/>
        <w:ind w:left="567" w:hanging="567"/>
        <w:rPr>
          <w:noProof/>
          <w:szCs w:val="24"/>
        </w:rPr>
      </w:pPr>
      <w:r w:rsidRPr="00173FAF">
        <w:lastRenderedPageBreak/>
        <w:t>Δ.</w:t>
      </w:r>
      <w:r w:rsidRPr="00173FAF">
        <w:tab/>
        <w:t>λαμβάνοντας υπόψη ότι η αυξανόμενη σοβαρότητα και συχνότητα των πλημμυρών και των δασικών πυρκαγιών σε όλα τα κράτη μέλη αντικατοπτρίζει τις επιταχυνόμενες επιπτώσεις της κλιματικής αλλαγής, οι οποίες απαιτούν ενισχυμένη δράση της Ένωσης όσον αφορά τα μέτρα προσαρμογής, πρόληψης και ανθεκτικότητας·</w:t>
      </w:r>
    </w:p>
    <w:p w14:paraId="5D87A8F7" w14:textId="77777777" w:rsidR="00FD6F96" w:rsidRPr="00173FAF" w:rsidRDefault="00FD6F96" w:rsidP="002754FC">
      <w:pPr>
        <w:widowControl/>
        <w:spacing w:after="240"/>
        <w:ind w:left="567" w:hanging="567"/>
        <w:rPr>
          <w:noProof/>
        </w:rPr>
      </w:pPr>
      <w:bookmarkStart w:id="7" w:name="_Hlk230861495"/>
      <w:r w:rsidRPr="00173FAF">
        <w:t>1.</w:t>
      </w:r>
      <w:r w:rsidRPr="00173FAF">
        <w:tab/>
        <w:t>εκφράζει τη βαθύτατη αλληλεγγύη του προς όλα τα θύματα, τις οικογένειές τους και όλα τα άτομα που επλήγησαν από τις πλημμύρες στη Ρουμανία στα τέλη Μαΐου και στις αρχές Ιουνίου του 2025, καθώς και από τις δασικές πυρκαγιές στην Κύπρο τον Ιούλιο του 2025 και στην Ισπανία τον Αύγουστο του 2025, και προς τις εθνικές, περιφερειακές και τοπικές αρχές που συμμετέχουν στις προσπάθειες αρωγής·</w:t>
      </w:r>
    </w:p>
    <w:bookmarkEnd w:id="7"/>
    <w:p w14:paraId="3869FD06" w14:textId="77777777" w:rsidR="00FD6F96" w:rsidRPr="00173FAF" w:rsidRDefault="00FD6F96" w:rsidP="002754FC">
      <w:pPr>
        <w:widowControl/>
        <w:spacing w:after="240"/>
        <w:ind w:left="567" w:hanging="567"/>
        <w:rPr>
          <w:noProof/>
        </w:rPr>
      </w:pPr>
      <w:r w:rsidRPr="00173FAF">
        <w:t>2.</w:t>
      </w:r>
      <w:r w:rsidRPr="00173FAF">
        <w:tab/>
        <w:t>χαιρετίζει την απόφαση ως απτή και ορατή μορφή αλληλεγγύης της Ένωσης προς τους πολίτες και τις περιφέρειες που επλήγησαν από τις πλημμύρες και τις δασικές πυρκαγιές στη Ρουμανία, την Κύπρο και την Ισπανία·</w:t>
      </w:r>
    </w:p>
    <w:p w14:paraId="551C9B3B" w14:textId="77777777" w:rsidR="00FD6F96" w:rsidRPr="00173FAF" w:rsidRDefault="00FD6F96" w:rsidP="002754FC">
      <w:pPr>
        <w:widowControl/>
        <w:spacing w:after="240"/>
        <w:ind w:left="567" w:hanging="567"/>
        <w:rPr>
          <w:noProof/>
          <w:kern w:val="2"/>
          <w:szCs w:val="24"/>
          <w14:ligatures w14:val="standardContextual"/>
        </w:rPr>
      </w:pPr>
      <w:r w:rsidRPr="00173FAF">
        <w:t>3.</w:t>
      </w:r>
      <w:r w:rsidRPr="00173FAF">
        <w:tab/>
        <w:t>επαναλαμβάνει ότι είναι σημαντικό να ενημερωθεί το κοινό για τα απτά οφέλη του Ταμείου Αλληλεγγύης της Ευρωπαϊκής Ένωσης (ΤΑΕΕ), μεταξύ άλλων προκειμένου να αυξηθεί περαιτέρω η εξοικείωση των πολιτών με τα εργαλεία και τα προγράμματα, και με την ευρωπαϊκή αλληλεγγύη σε περιόδους κρίσης, ιδίως στις πληγείσες περιοχές·</w:t>
      </w:r>
    </w:p>
    <w:p w14:paraId="457C0E49" w14:textId="0CCD29A9" w:rsidR="00FD6F96" w:rsidRPr="00173FAF" w:rsidRDefault="00FD6F96" w:rsidP="002754FC">
      <w:pPr>
        <w:widowControl/>
        <w:spacing w:after="240"/>
        <w:ind w:left="567" w:hanging="567"/>
        <w:rPr>
          <w:bCs/>
          <w:iCs/>
          <w:noProof/>
        </w:rPr>
      </w:pPr>
      <w:r w:rsidRPr="00173FAF">
        <w:t>4.</w:t>
      </w:r>
      <w:r w:rsidRPr="00173FAF">
        <w:tab/>
        <w:t xml:space="preserve">υπενθυμίζει ότι το ΤΑΕΕ έχει περιορισμένο προϋπολογισμό και δεν μπορεί να θεωρηθεί </w:t>
      </w:r>
      <w:r w:rsidR="0055759B" w:rsidRPr="00173FAF">
        <w:t xml:space="preserve">ως </w:t>
      </w:r>
      <w:r w:rsidRPr="00173FAF">
        <w:t>το μοναδικό μέσο για την αντιμετώπιση μεγάλων φυσικών καταστροφών· ζητεί, ως εκ τούτου, να αξιολογηθεί η χρηματοδοτική ικανότητα του προϋπολογισμού της Ένωσης· τονίζει την ανάγκη επιτάχυνσης και απλούστευσης όλων των διαδικασιών της, ώστε να διασφαλιστεί ότι η βοήθεια θα φτάνει στις πληγείσες περιοχές το συντομότερο δυνατόν·</w:t>
      </w:r>
    </w:p>
    <w:p w14:paraId="433CD6EB" w14:textId="77777777" w:rsidR="00FD6F96" w:rsidRPr="00173FAF" w:rsidRDefault="00FD6F96" w:rsidP="002754FC">
      <w:pPr>
        <w:widowControl/>
        <w:spacing w:after="240"/>
        <w:ind w:left="567" w:hanging="567"/>
        <w:rPr>
          <w:noProof/>
          <w:kern w:val="2"/>
          <w:szCs w:val="24"/>
          <w14:ligatures w14:val="standardContextual"/>
        </w:rPr>
      </w:pPr>
      <w:r w:rsidRPr="00173FAF">
        <w:t>5.</w:t>
      </w:r>
      <w:r w:rsidRPr="00173FAF">
        <w:tab/>
        <w:t>επισημαίνει τον αυξανόμενο αριθμό σοβαρών, καταστρεπτικών και θανατηφόρων φυσικών καταστροφών στην Ευρώπη, και καλεί τα κράτη μέλη και την Επιτροπή να επενδύσουν σε μέτρα μετριασμού της κλιματικής αλλαγής και προσαρμογής σε αυτήν, ώστε να αποφεύγονται ανθρώπινες και οικονομικές απώλειες· καλεί τα κράτη μέλη να λάβουν υπόψη ότι οι κλιματικοί κίνδυνοι επηρεάζουν δυσανάλογα τους ευάλωτους πληθυσμούς λόγω κοινωνικοοικονομικών παραγόντων· σημειώνει ότι τα κράτη μέλη θα πρέπει να δώσουν προτεραιότητα σε μέτρα ανάκαμψης για τη στήριξη των πληγέντων πληθυσμών και, κυρίως, των ευάλωτων κοινοτήτων, ώστε να διασφαλίζεται η πρόσβαση σε επαρκή στέγαση και βασικές υπηρεσίες κατά τη διάρκεια της ανάκαμψης·</w:t>
      </w:r>
      <w:r w:rsidRPr="00173FAF">
        <w:rPr>
          <w:b/>
          <w:i/>
        </w:rPr>
        <w:t xml:space="preserve"> </w:t>
      </w:r>
      <w:r w:rsidRPr="00173FAF">
        <w:t>ζητεί να καταβληθούν προσπάθειες για να διασφαλιστεί ότι η βοήθεια του ΤΑΕΕ θα φτάσει άμεσα στους τελικούς αποδέκτες της, συμπεριλαμβανομένων των επιχειρήσεων, των ΜΜΕ, των οικογενειών και των πληγέντων πολιτών, καθώς και για την αποκατάσταση των υποδομών και των υλικών ζημιών, πάντα με την αντίστοιχη εκτίμηση επιπτώσεων και τους κατάλληλους μηχανισμούς ελέγχου·</w:t>
      </w:r>
      <w:r w:rsidRPr="00173FAF">
        <w:rPr>
          <w:b/>
          <w:i/>
        </w:rPr>
        <w:t xml:space="preserve"> </w:t>
      </w:r>
      <w:r w:rsidRPr="00173FAF">
        <w:t>τονίζει τη σημασία της αποκατάστασης και της ενίσχυσης των υποδομών ζωτικής σημασίας, συμπεριλαμβανομένων των δικτύων μεταφορών, ενέργειας, διαχείρισης των υδάτων, υγείας και επικοινωνιών, προκειμένου να ενισχυθεί η ανθεκτικότητα των πληγεισών περιοχών και να μειωθεί η ευπάθεια σε μελλοντικές καταστροφές·</w:t>
      </w:r>
    </w:p>
    <w:p w14:paraId="100DCB64" w14:textId="77777777" w:rsidR="00FD6F96" w:rsidRPr="00173FAF" w:rsidRDefault="00FD6F96" w:rsidP="002754FC">
      <w:pPr>
        <w:widowControl/>
        <w:spacing w:after="240"/>
        <w:ind w:left="567" w:hanging="567"/>
        <w:rPr>
          <w:noProof/>
          <w:kern w:val="2"/>
          <w:szCs w:val="24"/>
          <w14:ligatures w14:val="standardContextual"/>
        </w:rPr>
      </w:pPr>
      <w:r w:rsidRPr="00173FAF">
        <w:t>6.</w:t>
      </w:r>
      <w:r w:rsidRPr="00173FAF">
        <w:tab/>
        <w:t xml:space="preserve">τονίζει ότι το ΤΑΕΕ αποτελεί απλώς διορθωτικό μέσο και ότι η Ένωση θα πρέπει επίσης να συνεχίσει να ασχολείται με την προσαρμογή στην κλιματική αλλαγή και τον μετριασμό της, στηρίζοντας τις ευρωπαϊκές και εθνικές πολιτικές για την πρόληψη των φυσικών καταστροφών· υπογραμμίζει ότι η έκθεση αριθ. 1/2024 του ΕΟΠ με τίτλο «European </w:t>
      </w:r>
      <w:proofErr w:type="spellStart"/>
      <w:r w:rsidRPr="00173FAF">
        <w:t>Climate</w:t>
      </w:r>
      <w:proofErr w:type="spellEnd"/>
      <w:r w:rsidRPr="00173FAF">
        <w:t xml:space="preserve"> </w:t>
      </w:r>
      <w:proofErr w:type="spellStart"/>
      <w:r w:rsidRPr="00173FAF">
        <w:t>Risk</w:t>
      </w:r>
      <w:proofErr w:type="spellEnd"/>
      <w:r w:rsidRPr="00173FAF">
        <w:t xml:space="preserve"> </w:t>
      </w:r>
      <w:proofErr w:type="spellStart"/>
      <w:r w:rsidRPr="00173FAF">
        <w:t>Assessment</w:t>
      </w:r>
      <w:proofErr w:type="spellEnd"/>
      <w:r w:rsidRPr="00173FAF">
        <w:t xml:space="preserve">» (Ευρωπαϊκή εκτίμηση κλιματικών κινδύνων) τονίζει την ανάγκη ανάληψης δράσης για τους κινδύνους που προσδιορίζονται σε </w:t>
      </w:r>
      <w:r w:rsidRPr="00173FAF">
        <w:lastRenderedPageBreak/>
        <w:t>αυτήν· καλεί τα κράτη μέλη και την Επιτροπή να συνεχίσουν τις προσπάθειες για την ενίσχυση της ανθεκτικότητας, την ενίσχυση της ετοιμότητας και τη συμβολή στην υλοποίηση των δεσμεύσεων που έχουν αναληφθεί στο πλαίσιο της συμφωνίας του Παρισιού, διασφαλίζοντας παράλληλα ικανότητες αποτελεσματικής πρόληψης καταστροφών, διαχείρισης κινδύνων και πολιτικής προστασίας σε ολόκληρη την Ένωση· τονίζει επίσης την ανάγκη λήψης προληπτικών μέτρων, όχι μόνο για τον μετριασμό των μελλοντικών ζημιών αλλά και για την πρόληψη της επιδείνωσης των συνθηκών κινδύνου μετά από καταστροφικά συμβάντα, όπως πλημμύρες, δασικές πυρκαγιές, κατολισθήσεις ή ξήρανση λιμνών και ποταμών· υπογραμμίζει τη σημασία της επαρκούς ευελιξίας μεταξύ των διαφόρων προγραμμάτων·</w:t>
      </w:r>
      <w:bookmarkStart w:id="8" w:name="_Hlk233120310"/>
      <w:r w:rsidRPr="00173FAF">
        <w:t xml:space="preserve"> υπογραμμίζει ότι οποιαδήποτε ευελιξία μεταξύ των διαφόρων χρηματοδοτικών προγραμμάτων πρέπει να συνοδεύεται από αυστηρό δημοσιονομικό έλεγχο, ώστε να αποφεύγεται η αλληλεπικάλυψη ή η σπατάλη χρηματοδότησης, και πρέπει να σέβεται πλήρως τις αρχές της δημοσιονομικής αποδοτικότητας και τους στοχευμένους δείκτες επιδόσεων·</w:t>
      </w:r>
      <w:bookmarkEnd w:id="8"/>
    </w:p>
    <w:p w14:paraId="7C4082E2" w14:textId="77777777" w:rsidR="00FD6F96" w:rsidRPr="00173FAF" w:rsidRDefault="00FD6F96" w:rsidP="002754FC">
      <w:pPr>
        <w:widowControl/>
        <w:spacing w:after="240"/>
        <w:ind w:left="567" w:hanging="567"/>
        <w:rPr>
          <w:noProof/>
        </w:rPr>
      </w:pPr>
      <w:r w:rsidRPr="00173FAF">
        <w:t>7.</w:t>
      </w:r>
      <w:r w:rsidRPr="00173FAF">
        <w:tab/>
        <w:t>υπενθυμίζει ότι το RESTORE</w:t>
      </w:r>
      <w:r w:rsidRPr="00173FAF">
        <w:rPr>
          <w:rStyle w:val="FootnoteReference"/>
          <w:noProof/>
        </w:rPr>
        <w:footnoteReference w:id="9"/>
      </w:r>
      <w:r w:rsidRPr="00173FAF">
        <w:t xml:space="preserve"> και τα ειδικά μέτρα στο πλαίσιο του Ευρωπαϊκού Γεωργικού Ταμείου Αγροτικής Ανάπτυξης (ΕΓΤΑΑ)</w:t>
      </w:r>
      <w:r w:rsidRPr="00173FAF">
        <w:rPr>
          <w:rStyle w:val="FootnoteReference"/>
          <w:noProof/>
        </w:rPr>
        <w:footnoteReference w:id="10"/>
      </w:r>
      <w:r w:rsidRPr="00173FAF">
        <w:t xml:space="preserve"> παρέχουν πρόσθετη βοήθεια στα κράτη μέλη που πλήττονται από φυσικές καταστροφές μέσω περαιτέρω ευελιξίας στη χρήση των κονδυλίων· τονίζει ότι τα κράτη μέλη θα πρέπει να αξιοποιήσουν αυτές τις ευκαιρίες·</w:t>
      </w:r>
    </w:p>
    <w:p w14:paraId="51EA03D9" w14:textId="683544AE" w:rsidR="00FD6F96" w:rsidRPr="00173FAF" w:rsidRDefault="00FD6F96" w:rsidP="002754FC">
      <w:pPr>
        <w:widowControl/>
        <w:spacing w:after="240"/>
        <w:ind w:left="567" w:hanging="567"/>
        <w:rPr>
          <w:rFonts w:eastAsiaTheme="minorHAnsi"/>
          <w:noProof/>
          <w:kern w:val="2"/>
          <w:szCs w:val="24"/>
          <w14:ligatures w14:val="standardContextual"/>
        </w:rPr>
      </w:pPr>
      <w:r w:rsidRPr="00173FAF">
        <w:t>8.</w:t>
      </w:r>
      <w:r w:rsidRPr="00173FAF">
        <w:tab/>
        <w:t xml:space="preserve">υπενθυμίζει την ανάγκη για αποτελεσματικές συνέργειες με άλλες πολιτικές και προγράμματα της Ένωσης και υπογραμμίζει ότι τα κράτη μέλη θα πρέπει να αξιοποιήσουν με τον καλύτερο δυνατό τρόπο τις ευκαιρίες χρηματοδότησης, ιδίως του Ευρωπαϊκού Ταμείου Περιφερειακής Ανάπτυξης, του Ευρωπαϊκού Κοινωνικού Ταμείου+ και των προγραμμάτων αγροτικής ανάπτυξης· καλεί την Επιτροπή να αξιολογεί επειγόντως τυχόν αιτιολογημένα αιτήματα των κρατών μελών για ανακατανομή κονδυλίων στο πλαίσιο των εθνικών σχεδίων ανάκαμψης και ανθεκτικότητας για βοήθεια σε φυσικές καταστροφές, σύμφωνα με τους κανόνες που </w:t>
      </w:r>
      <w:r w:rsidR="004F0576" w:rsidRPr="00173FAF">
        <w:t>καθ</w:t>
      </w:r>
      <w:r w:rsidRPr="00173FAF">
        <w:t>ορίζονται στον κανονισμό (ΕΕ) 2021/241 του Ευρωπαϊκού Κοινοβουλίου και του Συμβουλίου</w:t>
      </w:r>
      <w:r w:rsidRPr="00173FAF">
        <w:rPr>
          <w:rFonts w:eastAsiaTheme="minorHAnsi"/>
          <w:noProof/>
          <w:kern w:val="2"/>
          <w:szCs w:val="24"/>
          <w:vertAlign w:val="superscript"/>
          <w:lang w:eastAsia="en-US"/>
        </w:rPr>
        <w:footnoteReference w:id="11"/>
      </w:r>
      <w:r w:rsidRPr="00173FAF">
        <w:t>· παροτρύνει τις αρμόδιες αρχές να διασφαλίσουν τον κατάλληλο και αναγκαίο συντονισμό μεταξύ του εθνικού, του περιφερειακού και του τοπικού επιπέδου, ώστε να διασφαλιστεί ότι τα κονδύλια θα κατανέμονται με διαφάνεια, δικαιοσύνη και χωρίς αυθαιρεσίες σε όλες τις επηρεαζόμενες περιοχές·</w:t>
      </w:r>
    </w:p>
    <w:p w14:paraId="19A27D77" w14:textId="77777777" w:rsidR="00FD6F96" w:rsidRPr="00173FAF" w:rsidRDefault="00FD6F96" w:rsidP="002754FC">
      <w:pPr>
        <w:widowControl/>
        <w:spacing w:after="240"/>
        <w:ind w:left="567" w:hanging="567"/>
        <w:rPr>
          <w:noProof/>
        </w:rPr>
      </w:pPr>
      <w:r w:rsidRPr="00173FAF">
        <w:t>9.</w:t>
      </w:r>
      <w:r w:rsidRPr="00173FAF">
        <w:tab/>
        <w:t>υπογραμμίζει ότι η ενίσχυση που παρέχεται στο πλαίσιο του ΤΑΕΕ δεν θα πρέπει να αποβαίνει εις βάρος της ενωσιακής χρηματοδότησης που λαμβάνουν τα κράτη μέλη στο πλαίσιο άλλων πολιτικών ή προγραμμάτων της Ένωσης· υπενθυμίζει ότι τα κράτη μέλη μπορούν να χορηγούν κρατικές ενισχύσεις, σύμφωνα με τους ισχύοντες κανόνες της Ένωσης, ιδίως για γεωργικές επιχειρήσεις που έχουν υποστεί ζημίες λόγω φυσικών καταστροφών·</w:t>
      </w:r>
    </w:p>
    <w:p w14:paraId="09B40BB6" w14:textId="77777777" w:rsidR="00FD6F96" w:rsidRPr="00173FAF" w:rsidRDefault="00FD6F96" w:rsidP="002754FC">
      <w:pPr>
        <w:widowControl/>
        <w:spacing w:after="240"/>
        <w:ind w:left="567" w:hanging="567"/>
        <w:rPr>
          <w:noProof/>
          <w:kern w:val="2"/>
          <w:szCs w:val="24"/>
          <w14:ligatures w14:val="standardContextual"/>
        </w:rPr>
      </w:pPr>
      <w:r w:rsidRPr="00173FAF">
        <w:t>10.</w:t>
      </w:r>
      <w:r w:rsidRPr="00173FAF">
        <w:tab/>
        <w:t xml:space="preserve">υπενθυμίζει ότι είναι σημαντικό να διενεργείται γρήγορη και αξιόπιστη εκτίμηση των ζημιών που να λαμβάνει δεόντως υπόψη τις οικονομικές επιπτώσεις και ζητεί να ενταθούν οι επιχειρησιακές προσπάθειες, προκειμένου να μειωθεί ο μέσος χρόνος </w:t>
      </w:r>
      <w:r w:rsidRPr="00173FAF">
        <w:lastRenderedPageBreak/>
        <w:t>αποδέσμευσης των προκαταβολών, ενώ παράλληλα να διασφαλίζεται η προστασία του προϋπολογισμού της Ένωσης· τονίζει, στο πλαίσιο αυτό, την ανάγκη για πλήρη διαφάνεια, αποτελεσματική παρακολούθηση και εκ των υστέρων έλεγχο της χρήσης των πόρων του ΤΑΕΕ, προκειμένου να διασφαλιστεί ότι τα κονδύλια της Ένωσης θα φτάνουν στις πληγείσες περιοχές και τους πληθυσμούς· παροτρύνει επίσης την Επιτροπή να διερευνήσει όλες τις πιθανές δυνατότητες για την επίσπευση της κινητοποίησης του ΤΑΕΕ·</w:t>
      </w:r>
    </w:p>
    <w:p w14:paraId="5B31F18C" w14:textId="77777777" w:rsidR="00FD6F96" w:rsidRPr="00173FAF" w:rsidRDefault="00FD6F96" w:rsidP="002754FC">
      <w:pPr>
        <w:widowControl/>
        <w:spacing w:after="240"/>
        <w:ind w:left="567" w:hanging="567"/>
      </w:pPr>
      <w:r w:rsidRPr="00173FAF">
        <w:t>11.</w:t>
      </w:r>
      <w:r w:rsidRPr="00173FAF">
        <w:tab/>
        <w:t>τονίζει την επείγουσα ανάγκη να αποδεσμευτεί άμεση χρηματοδοτική βοήθεια μέσω του ΤΑΕΕ στους πληγέντες πολίτες, τις οικογένειες, τις επιχειρήσεις και τις τοπικές κοινότητες το συντομότερο δυνατόν, ώστε να διασφαλιστεί ότι η στήριξη θα μπορέσει να φτάσει εγκαίρως στη Ρουμανία, την Κύπρο και την Ισπανία· παροτρύνει επίσης την Επιτροπή να διερευνήσει όλες τις πιθανές οδούς για να επιταχυνθεί η κινητοποίηση του ΤΑΕΕ, ιδίως με την τροποποίηση των ισχυόντων κανόνων, και τη χορήγηση υψηλότερων προκαταβολών στις αιτούσες χώρες· τονίζει ότι είναι σημαντικό να μειωθεί ο χρόνος που μεσολαβεί από την υποβολή αίτησης για ενίσχυση από το ΤΑΕΕ έως την απόφαση χρηματοδότησης· υπογραμμίζει την ανάγκη απλούστευσης και επιτάχυνσης των εσωτερικών διαδικασιών χωρίς να υπονομεύεται η θεσμική ισορροπία και, ιδίως, τα δικαιώματα του Ευρωπαϊκού Κοινοβουλίου ως του ενός σκέλους της αρμόδιας για τον προϋπολογισμό αρχής·</w:t>
      </w:r>
    </w:p>
    <w:p w14:paraId="198279AF" w14:textId="146287A8" w:rsidR="00970A08" w:rsidRPr="00173FAF" w:rsidRDefault="00970A08" w:rsidP="002754FC">
      <w:pPr>
        <w:widowControl/>
        <w:spacing w:after="240"/>
        <w:ind w:left="567" w:hanging="567"/>
        <w:rPr>
          <w:noProof/>
          <w:kern w:val="2"/>
          <w:szCs w:val="24"/>
          <w14:ligatures w14:val="standardContextual"/>
        </w:rPr>
      </w:pPr>
      <w:r w:rsidRPr="00173FAF">
        <w:rPr>
          <w:noProof/>
          <w:kern w:val="2"/>
          <w:szCs w:val="24"/>
          <w14:ligatures w14:val="standardContextual"/>
        </w:rPr>
        <w:t>12.</w:t>
      </w:r>
      <w:r w:rsidRPr="00173FAF">
        <w:rPr>
          <w:noProof/>
          <w:kern w:val="2"/>
          <w:szCs w:val="24"/>
          <w14:ligatures w14:val="standardContextual"/>
        </w:rPr>
        <w:tab/>
        <w:t>καλεί την Επιτροπή να συνεργαστεί στενά με τις ρουμανικές αρχές για να στηρίξει την ταχεία ανασυγκρότηση του αλατωρυχείου Praid και των πληττόμενων γειτονικών κοινοτήτων, αναγνωρίζοντας τη μοναδική στρατηγική σημασία του για την περιφερειακή οικονομική ανθεκτικότητα, την απασχόληση, τον τουρισμό, τη δημόσια υγεία, τις κρίσιμες υποδομές και τις υποδομές διαχείρισης των υδάτων· ζητεί, εν προκειμένω, να κινητοποιηθούν πλήρως όλα τα σχετικά χρηματοδοτικά μέσα της Ένωσης και να χρησιμοποιηθεί η μέγιστη διαθέσιμη ευελιξία στο πλαίσιο των υφιστάμενων ενωσιακών κανόνων, προκειμένου να επιταχυνθεί η ανάκαμψη, να αποκατασταθούν οι βασικές υπηρεσίες, να στηριχθεί η τοπική οικονομία και να ενισχυθεί η μακροπρόθεσμη ανθεκτικότητα της περιοχής έναντι μελλοντικών κινδύνων που σχετίζονται με τις πλημμύρες· δεδομένης της κλίμακας των προκλήσεων και του κοινωνικού και οικονομικού αντικτύπου τους, καλεί την Επιτροπή να προσδιορίσει πρόσθετα χρηματοδοτικά μέσα και μηχανισμούς αλληλεγγύης για τη στήριξη των πληττόμενων εργαζομένων και περιφερειών, μεταξύ άλλων μεγαλύτερη ευελιξία στη χρήση των κονδυλίων της πολιτικής συνοχής, την κινητοποίηση του Ευρωπαϊκού Κοινωνικού Ταμείου+ (ΕΚΤ+), του Ευρωπαϊκού Ταμείου Προσαρμογής στην Παγκοσμιοποίηση για τους απολυμένους εργαζομένους (ΕΤΠ) και οποιωνδήποτε άλλων σχετικών χρηματοδοτικών μέσων της Ένωσης·</w:t>
      </w:r>
    </w:p>
    <w:p w14:paraId="260C7D0D" w14:textId="2563FB84" w:rsidR="00FD6F96" w:rsidRPr="00173FAF" w:rsidRDefault="00FD6F96" w:rsidP="002754FC">
      <w:pPr>
        <w:widowControl/>
        <w:spacing w:after="240"/>
        <w:ind w:left="567" w:hanging="567"/>
        <w:rPr>
          <w:noProof/>
        </w:rPr>
      </w:pPr>
      <w:r w:rsidRPr="00173FAF">
        <w:t>1</w:t>
      </w:r>
      <w:r w:rsidR="00970A08" w:rsidRPr="00173FAF">
        <w:t>3</w:t>
      </w:r>
      <w:r w:rsidRPr="00173FAF">
        <w:t>.</w:t>
      </w:r>
      <w:r w:rsidRPr="00173FAF">
        <w:tab/>
        <w:t>εγκρίνει την απόφαση που επισυνάπτεται στο παρόν ψήφισμα·</w:t>
      </w:r>
    </w:p>
    <w:p w14:paraId="4826127F" w14:textId="07B4AB55" w:rsidR="00FD6F96" w:rsidRPr="00173FAF" w:rsidRDefault="00FD6F96" w:rsidP="002754FC">
      <w:pPr>
        <w:widowControl/>
        <w:spacing w:after="240"/>
        <w:ind w:left="567" w:hanging="567"/>
        <w:rPr>
          <w:noProof/>
        </w:rPr>
      </w:pPr>
      <w:r w:rsidRPr="00173FAF">
        <w:t>1</w:t>
      </w:r>
      <w:r w:rsidR="00970A08" w:rsidRPr="00173FAF">
        <w:t>4</w:t>
      </w:r>
      <w:r w:rsidRPr="00173FAF">
        <w:t>.</w:t>
      </w:r>
      <w:r w:rsidRPr="00173FAF">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173FAF">
        <w:rPr>
          <w:i/>
          <w:iCs/>
        </w:rPr>
        <w:t>Επίσημη Εφημερίδα της Ευρωπαϊκής Ένωσης</w:t>
      </w:r>
      <w:r w:rsidRPr="00173FAF">
        <w:t>·</w:t>
      </w:r>
    </w:p>
    <w:p w14:paraId="5F16561B" w14:textId="3DE089EE" w:rsidR="00FD6F96" w:rsidRPr="00173FAF" w:rsidRDefault="00FD6F96" w:rsidP="00173FAF">
      <w:pPr>
        <w:widowControl/>
        <w:spacing w:after="240"/>
        <w:ind w:left="567" w:hanging="567"/>
        <w:rPr>
          <w:noProof/>
        </w:rPr>
      </w:pPr>
      <w:r w:rsidRPr="00173FAF">
        <w:t>1</w:t>
      </w:r>
      <w:r w:rsidR="00970A08" w:rsidRPr="00173FAF">
        <w:t>5</w:t>
      </w:r>
      <w:r w:rsidRPr="00173FAF">
        <w:t>.</w:t>
      </w:r>
      <w:r w:rsidRPr="00173FAF">
        <w:tab/>
        <w:t>αναθέτει στην Πρόεδρό του να διαβιβάσει το παρόν ψήφισμα, συμπεριλαμβανομένου του παραρτήματός του, στο Συμβούλιο και στην Επιτροπή.</w:t>
      </w:r>
    </w:p>
    <w:p w14:paraId="76F22897" w14:textId="77777777" w:rsidR="00FD6F96" w:rsidRPr="00173FAF" w:rsidRDefault="00FD6F96" w:rsidP="00FD6F96">
      <w:pPr>
        <w:rPr>
          <w:noProof/>
        </w:rPr>
      </w:pPr>
    </w:p>
    <w:p w14:paraId="430C2071" w14:textId="77777777" w:rsidR="00FD6F96" w:rsidRPr="00173FAF" w:rsidRDefault="00FD6F96" w:rsidP="00FD6F96">
      <w:pPr>
        <w:pStyle w:val="PageHeading"/>
        <w:rPr>
          <w:noProof/>
        </w:rPr>
        <w:sectPr w:rsidR="00FD6F96" w:rsidRPr="00173FAF" w:rsidSect="000E767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0A2D9B" w14:textId="77777777" w:rsidR="002754FC" w:rsidRPr="00173FAF" w:rsidRDefault="00FD6F96" w:rsidP="00FD6F96">
      <w:pPr>
        <w:pStyle w:val="PageHeading"/>
        <w:rPr>
          <w:rFonts w:ascii="Times New Roman" w:hAnsi="Times New Roman" w:cs="Times New Roman"/>
        </w:rPr>
      </w:pPr>
      <w:bookmarkStart w:id="9" w:name="_Toc233878969"/>
      <w:r w:rsidRPr="00173FAF">
        <w:rPr>
          <w:rFonts w:ascii="Times New Roman" w:hAnsi="Times New Roman" w:cs="Times New Roman"/>
        </w:rPr>
        <w:lastRenderedPageBreak/>
        <w:t>ΠΑΡΑΡΤΗΜΑ</w:t>
      </w:r>
    </w:p>
    <w:p w14:paraId="434564FE" w14:textId="30E0AD8C" w:rsidR="00FD6F96" w:rsidRPr="00173FAF" w:rsidRDefault="00FD6F96" w:rsidP="00FD6F96">
      <w:pPr>
        <w:pStyle w:val="PageHeading"/>
        <w:rPr>
          <w:rFonts w:ascii="Times New Roman" w:hAnsi="Times New Roman" w:cs="Times New Roman"/>
          <w:noProof/>
        </w:rPr>
      </w:pPr>
      <w:r w:rsidRPr="00173FAF">
        <w:rPr>
          <w:rFonts w:ascii="Times New Roman" w:hAnsi="Times New Roman" w:cs="Times New Roman"/>
        </w:rPr>
        <w:t>ΑΠΟΦΑΣΗ ΤΟΥ ΕΥΡΩΠΑΪΚΟΥ ΚΟΙΝΟΒΟΥΛΙΟΥ ΚΑΙ ΤΟΥ ΣΥΜΒΟΥΛΙΟΥ</w:t>
      </w:r>
      <w:bookmarkEnd w:id="9"/>
    </w:p>
    <w:p w14:paraId="58404B39" w14:textId="77777777" w:rsidR="00FD6F96" w:rsidRPr="00173FAF" w:rsidRDefault="00FD6F96" w:rsidP="00970A08">
      <w:pPr>
        <w:spacing w:after="480"/>
        <w:jc w:val="center"/>
        <w:rPr>
          <w:b/>
          <w:bCs/>
        </w:rPr>
      </w:pPr>
      <w:r w:rsidRPr="00173FAF">
        <w:rPr>
          <w:b/>
        </w:rPr>
        <w:t>σχετικά με την κινητοποίηση του Ταμείου Αλληλεγγύης της Ευρωπαϊκής Ένωσης για την παροχή βοήθειας στη Ρουμανία όσον αφορά τις πλημμύρες στα τέλη Μαΐου του 2025, στην Κύπρο μετά τις δασικές πυρκαγιές του Ιουλίου του 2025 και στην Ισπανία μετά τις δασικές πυρκαγιές του Αυγούστου του 2025</w:t>
      </w:r>
    </w:p>
    <w:p w14:paraId="3592B993" w14:textId="77777777" w:rsidR="00FD6F96" w:rsidRPr="00173FAF" w:rsidRDefault="00FD6F96" w:rsidP="002754FC">
      <w:pPr>
        <w:pStyle w:val="NormalHanging12a"/>
        <w:ind w:left="0" w:firstLine="0"/>
      </w:pPr>
      <w:r w:rsidRPr="00173FAF">
        <w:t>ΤΟ ΕΥΡΩΠΑΪΚΟ ΚΟΙΝΟΒΟΥΛΙΟ ΚΑΙ ΤΟ ΣΥΜΒΟΥΛΙΟ ΤΗΣ ΕΥΡΩΠΑΪΚΗΣ ΕΝΩΣΗΣ,</w:t>
      </w:r>
    </w:p>
    <w:p w14:paraId="58E61D82" w14:textId="77777777" w:rsidR="00FD6F96" w:rsidRPr="00173FAF" w:rsidRDefault="00FD6F96" w:rsidP="002754FC">
      <w:pPr>
        <w:pStyle w:val="NormalHanging12a"/>
        <w:spacing w:before="120" w:after="120"/>
        <w:ind w:left="0" w:firstLine="0"/>
      </w:pPr>
      <w:r w:rsidRPr="00173FAF">
        <w:t>Έχοντας υπόψη τη Συνθήκη για τη λειτουργία της Ευρωπαϊκής Ένωσης,</w:t>
      </w:r>
    </w:p>
    <w:p w14:paraId="0F06EDA7" w14:textId="77777777" w:rsidR="00FD6F96" w:rsidRPr="00173FAF" w:rsidRDefault="00FD6F96" w:rsidP="002754FC">
      <w:pPr>
        <w:pStyle w:val="NormalHanging12a"/>
        <w:spacing w:before="120" w:after="120"/>
        <w:ind w:left="0" w:firstLine="0"/>
      </w:pPr>
      <w:r w:rsidRPr="00173FAF">
        <w:t>Έχοντας υπόψη τον κανονισμό (ΕΚ) αριθ. 2012/2002 του Συμβουλίου, της 11ης Νοεμβρίου 2002, για την ίδρυση του Ταμείου Αλληλεγγύης της Ευρωπαϊκής Ένωσης</w:t>
      </w:r>
      <w:r w:rsidRPr="00173FAF">
        <w:rPr>
          <w:vertAlign w:val="superscript"/>
        </w:rPr>
        <w:footnoteReference w:id="12"/>
      </w:r>
      <w:r w:rsidRPr="00173FAF">
        <w:t>, και ιδίως το άρθρο 4 παράγραφος 3,</w:t>
      </w:r>
    </w:p>
    <w:p w14:paraId="51107E7B" w14:textId="63CEB435" w:rsidR="00FD6F96" w:rsidRPr="00173FAF" w:rsidRDefault="00FD6F96" w:rsidP="002754FC">
      <w:pPr>
        <w:tabs>
          <w:tab w:val="left" w:pos="567"/>
          <w:tab w:val="left" w:pos="1134"/>
        </w:tabs>
        <w:spacing w:before="120" w:after="120"/>
        <w:rPr>
          <w:noProof/>
        </w:rPr>
      </w:pPr>
      <w:r w:rsidRPr="00173FAF">
        <w:t>Έχοντας υπόψη τον κανονισμό (EE, Ευρατόμ) 2020/2093 του Συμβουλίου, της 17ης</w:t>
      </w:r>
      <w:r w:rsidR="002754FC" w:rsidRPr="00173FAF">
        <w:rPr>
          <w:lang w:val="en-GB"/>
        </w:rPr>
        <w:t> </w:t>
      </w:r>
      <w:r w:rsidRPr="00173FAF">
        <w:t>Δεκεμβρίου 2020, για τον καθορισμό του πολυετούς δημοσιονομικού πλαισίου για τα έτη 2021 έως 2027</w:t>
      </w:r>
      <w:r w:rsidRPr="00173FAF">
        <w:rPr>
          <w:rStyle w:val="FootnoteReference"/>
          <w:noProof/>
          <w:szCs w:val="24"/>
        </w:rPr>
        <w:footnoteReference w:id="13"/>
      </w:r>
      <w:r w:rsidRPr="00173FAF">
        <w:t>, και ιδίως το άρθρο 9,</w:t>
      </w:r>
    </w:p>
    <w:p w14:paraId="00D1041D" w14:textId="37453EE2" w:rsidR="00FD6F96" w:rsidRPr="00173FAF" w:rsidRDefault="0029323C" w:rsidP="002754FC">
      <w:pPr>
        <w:pStyle w:val="NormalHanging12a"/>
        <w:spacing w:before="120" w:after="120"/>
        <w:ind w:left="0" w:firstLine="0"/>
      </w:pPr>
      <w:r w:rsidRPr="00173FAF">
        <w:t>Έ</w:t>
      </w:r>
      <w:r w:rsidR="00FD6F96" w:rsidRPr="00173FAF">
        <w:t>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00FD6F96" w:rsidRPr="00173FAF">
        <w:rPr>
          <w:vertAlign w:val="superscript"/>
        </w:rPr>
        <w:footnoteReference w:id="14"/>
      </w:r>
      <w:r w:rsidR="00FD6F96" w:rsidRPr="00173FAF">
        <w:t>, και ιδίως το σημείο 10,</w:t>
      </w:r>
    </w:p>
    <w:p w14:paraId="6D976E53" w14:textId="77777777" w:rsidR="00FD6F96" w:rsidRPr="00173FAF" w:rsidRDefault="00FD6F96" w:rsidP="002754FC">
      <w:pPr>
        <w:pStyle w:val="NormalHanging12a"/>
        <w:spacing w:before="120" w:after="120"/>
        <w:ind w:left="0" w:firstLine="0"/>
      </w:pPr>
      <w:r w:rsidRPr="00173FAF">
        <w:t>Έχοντας υπόψη την πρόταση της Ευρωπαϊκής Επιτροπής,</w:t>
      </w:r>
    </w:p>
    <w:p w14:paraId="65706348" w14:textId="77777777" w:rsidR="00FD6F96" w:rsidRPr="00173FAF" w:rsidRDefault="00FD6F96" w:rsidP="002754FC">
      <w:pPr>
        <w:pStyle w:val="NormalHanging12a"/>
        <w:spacing w:before="120" w:after="120"/>
        <w:ind w:left="0" w:firstLine="0"/>
      </w:pPr>
      <w:r w:rsidRPr="00173FAF">
        <w:t>Εκτιμώντας τα ακόλουθα:</w:t>
      </w:r>
    </w:p>
    <w:p w14:paraId="239DB393" w14:textId="77777777" w:rsidR="00FD6F96" w:rsidRPr="00173FAF" w:rsidRDefault="00FD6F96" w:rsidP="002754FC">
      <w:pPr>
        <w:pStyle w:val="NormalHanging12a"/>
        <w:tabs>
          <w:tab w:val="left" w:pos="851"/>
        </w:tabs>
        <w:spacing w:before="120" w:after="120"/>
        <w:ind w:left="851" w:hanging="851"/>
      </w:pPr>
      <w:r w:rsidRPr="00173FAF">
        <w:t>(1)</w:t>
      </w:r>
      <w:r w:rsidRPr="00173FAF">
        <w:tab/>
        <w:t>Το Ταμείο Αλληλεγγύης της Ευρωπαϊκής Ένωσης (στο εξής: Ταμείο) έχει ως στόχο να επιτρέπει στην Ένωση να αντιδρά με ταχύ, αποτελεσματικό και ευέλικτο τρόπο σε καταστάσεις επείγουσας ανάγκης, ώστε να εκφράζει την αλληλεγγύη της προς τον πληθυσμό περιοχών που πλήττονται από μείζονες ή περιφερειακές φυσικές καταστροφές ή από σοβαρή κατάσταση έκτακτης ανάγκης στον τομέα της δημόσιας υγείας.</w:t>
      </w:r>
    </w:p>
    <w:p w14:paraId="73FECFE3" w14:textId="77777777" w:rsidR="00FD6F96" w:rsidRPr="00173FAF" w:rsidRDefault="00FD6F96" w:rsidP="002754FC">
      <w:pPr>
        <w:pStyle w:val="NormalHanging12a"/>
        <w:tabs>
          <w:tab w:val="left" w:pos="851"/>
        </w:tabs>
        <w:spacing w:before="120" w:after="120"/>
        <w:ind w:left="851" w:hanging="851"/>
      </w:pPr>
      <w:r w:rsidRPr="00173FAF">
        <w:t>(2)</w:t>
      </w:r>
      <w:r w:rsidRPr="00173FAF">
        <w:tab/>
        <w:t>Το Ταμείο δεν πρέπει να υπερβαίνει τα ανώτατα όρια που καθορίζονται στο άρθρο 9 του κανονισμού (ΕΕ, Ευρατόμ) 2020/2093 του Συμβουλίου, όπως τροποποιήθηκε με τον κανονισμό (ΕΕ, Ευρατόμ) 2024/765</w:t>
      </w:r>
      <w:r w:rsidRPr="00173FAF">
        <w:rPr>
          <w:b/>
          <w:bCs/>
          <w:noProof/>
          <w:vertAlign w:val="superscript"/>
        </w:rPr>
        <w:footnoteReference w:id="15"/>
      </w:r>
      <w:r w:rsidRPr="00173FAF">
        <w:t>.</w:t>
      </w:r>
    </w:p>
    <w:p w14:paraId="117A2E3B" w14:textId="768A42E2" w:rsidR="00FD6F96" w:rsidRPr="00173FAF" w:rsidRDefault="00FD6F96" w:rsidP="002754FC">
      <w:pPr>
        <w:pStyle w:val="NormalHanging12a"/>
        <w:tabs>
          <w:tab w:val="left" w:pos="851"/>
        </w:tabs>
        <w:spacing w:before="120" w:after="120"/>
        <w:ind w:left="851" w:hanging="851"/>
      </w:pPr>
      <w:r w:rsidRPr="00173FAF">
        <w:lastRenderedPageBreak/>
        <w:t>(3)</w:t>
      </w:r>
      <w:r w:rsidRPr="00173FAF">
        <w:tab/>
        <w:t xml:space="preserve">Στις 14 Αυγούστου 2025 η Ρουμανία υπέβαλε αίτηση για κινητοποίηση του Ταμείου μετά τις πλημμύρες στα τέλη Μαΐου και τις αρχές Ιουνίου του 2025. </w:t>
      </w:r>
    </w:p>
    <w:p w14:paraId="174C3D2A" w14:textId="77777777" w:rsidR="00FD6F96" w:rsidRPr="00173FAF" w:rsidRDefault="00FD6F96" w:rsidP="002754FC">
      <w:pPr>
        <w:pStyle w:val="NormalHanging12a"/>
        <w:tabs>
          <w:tab w:val="left" w:pos="851"/>
        </w:tabs>
        <w:spacing w:before="120" w:after="120"/>
        <w:ind w:left="851" w:hanging="851"/>
      </w:pPr>
      <w:r w:rsidRPr="00173FAF">
        <w:t>(4)</w:t>
      </w:r>
      <w:r w:rsidRPr="00173FAF">
        <w:tab/>
        <w:t xml:space="preserve">Στις 14 Οκτωβρίου 2025 η Κύπρος υπέβαλε αίτηση για κινητοποίηση του Ταμείου μετά τις δασικές πυρκαγιές του Ιουλίου του 2025. </w:t>
      </w:r>
    </w:p>
    <w:p w14:paraId="62D342C8" w14:textId="77777777" w:rsidR="00FD6F96" w:rsidRPr="00173FAF" w:rsidRDefault="00FD6F96" w:rsidP="002754FC">
      <w:pPr>
        <w:pStyle w:val="NormalHanging12a"/>
        <w:tabs>
          <w:tab w:val="left" w:pos="851"/>
        </w:tabs>
        <w:spacing w:before="120" w:after="120"/>
        <w:ind w:left="851" w:hanging="851"/>
      </w:pPr>
      <w:r w:rsidRPr="00173FAF">
        <w:t>(5)</w:t>
      </w:r>
      <w:r w:rsidRPr="00173FAF">
        <w:tab/>
        <w:t xml:space="preserve">Στις 30 Οκτωβρίου 2025 η Ισπανία υπέβαλε αίτηση για κινητοποίηση του Ταμείου μετά τις δασικές πυρκαγιές του Αυγούστου του 2025. </w:t>
      </w:r>
    </w:p>
    <w:p w14:paraId="5DB5DA48" w14:textId="521068E1" w:rsidR="00FD6F96" w:rsidRPr="00173FAF" w:rsidRDefault="00FD6F96" w:rsidP="002754FC">
      <w:pPr>
        <w:pStyle w:val="NormalHanging12a"/>
        <w:tabs>
          <w:tab w:val="left" w:pos="851"/>
        </w:tabs>
        <w:spacing w:before="120" w:after="120"/>
        <w:ind w:left="851" w:hanging="851"/>
      </w:pPr>
      <w:r w:rsidRPr="00173FAF">
        <w:t>(6)</w:t>
      </w:r>
      <w:r w:rsidRPr="00173FAF">
        <w:tab/>
        <w:t xml:space="preserve">Οι αιτήσεις αυτές πληρούν τις προϋποθέσεις για την </w:t>
      </w:r>
      <w:r w:rsidR="0029323C" w:rsidRPr="00173FAF">
        <w:t xml:space="preserve">καταβολή </w:t>
      </w:r>
      <w:r w:rsidRPr="00173FAF">
        <w:t xml:space="preserve">οικονομικής ενίσχυσης από το Ταμείο, όπως </w:t>
      </w:r>
      <w:r w:rsidR="0029323C" w:rsidRPr="00173FAF">
        <w:t xml:space="preserve">ορίζεται </w:t>
      </w:r>
      <w:r w:rsidRPr="00173FAF">
        <w:t xml:space="preserve">στο άρθρο 4 του κανονισμού (ΕΚ) αριθ. 2012/2002. </w:t>
      </w:r>
    </w:p>
    <w:p w14:paraId="2483DE04" w14:textId="77777777" w:rsidR="00FD6F96" w:rsidRPr="00173FAF" w:rsidRDefault="00FD6F96" w:rsidP="002754FC">
      <w:pPr>
        <w:pStyle w:val="NormalHanging12a"/>
        <w:tabs>
          <w:tab w:val="left" w:pos="851"/>
        </w:tabs>
        <w:spacing w:before="120" w:after="120"/>
        <w:ind w:left="851" w:hanging="851"/>
      </w:pPr>
      <w:r w:rsidRPr="00173FAF">
        <w:t>(7)</w:t>
      </w:r>
      <w:r w:rsidRPr="00173FAF">
        <w:tab/>
        <w:t xml:space="preserve">Επομένως, το Ταμείο θα πρέπει να κινητοποιηθεί για την καταβολή οικονομικής ενίσχυσης στη Ρουμανία, την Κύπρο και την Ισπανία. </w:t>
      </w:r>
    </w:p>
    <w:p w14:paraId="71E8FB78" w14:textId="5A9466B0" w:rsidR="00FD6F96" w:rsidRPr="00173FAF" w:rsidRDefault="00FD6F96" w:rsidP="002754FC">
      <w:pPr>
        <w:pStyle w:val="NormalHanging12a"/>
        <w:tabs>
          <w:tab w:val="left" w:pos="851"/>
        </w:tabs>
        <w:spacing w:before="120" w:after="120"/>
        <w:ind w:left="851" w:hanging="851"/>
      </w:pPr>
      <w:r w:rsidRPr="00173FAF">
        <w:t>(8)</w:t>
      </w:r>
      <w:r w:rsidRPr="00173FAF">
        <w:tab/>
        <w:t xml:space="preserve">Για να εξασφαλιστεί ότι η </w:t>
      </w:r>
      <w:r w:rsidR="0029323C" w:rsidRPr="00173FAF">
        <w:t xml:space="preserve">οικονομική βοήθεια </w:t>
      </w:r>
      <w:r w:rsidRPr="00173FAF">
        <w:t xml:space="preserve">της Ένωσης μπορεί να διατεθεί το συντομότερο δυνατόν στα πληγέντα κράτη μέλη και για να αποφευχθεί οποιαδήποτε καθυστέρηση στην κινητοποίηση του Ταμείου Αλληλεγγύης της Ευρωπαϊκής Ένωσης, η παρούσα απόφαση θα πρέπει να αρχίσει να ισχύει επειγόντως την ημέρα της δημοσίευσής της στην </w:t>
      </w:r>
      <w:r w:rsidRPr="00173FAF">
        <w:rPr>
          <w:i/>
          <w:iCs/>
        </w:rPr>
        <w:t>Επίσημη Εφημερίδα της Ευρωπαϊκής Ένωσης</w:t>
      </w:r>
      <w:r w:rsidRPr="00173FAF">
        <w:t xml:space="preserve"> και θα πρέπει να εφαρμοστεί από την ημερομηνία της έκδοσής της,</w:t>
      </w:r>
    </w:p>
    <w:p w14:paraId="12041765" w14:textId="77777777" w:rsidR="00FD6F96" w:rsidRPr="00173FAF" w:rsidRDefault="00FD6F96" w:rsidP="002754FC">
      <w:pPr>
        <w:pStyle w:val="NormalHanging12a"/>
        <w:spacing w:before="120" w:after="120"/>
      </w:pPr>
      <w:r w:rsidRPr="00173FAF">
        <w:t>ΕΞΕΔΩΣΑΝ ΤΗΝ ΠΑΡΟΥΣΑ ΑΠΟΦΑΣΗ:</w:t>
      </w:r>
    </w:p>
    <w:p w14:paraId="42022747" w14:textId="77777777" w:rsidR="00FD6F96" w:rsidRPr="00173FAF" w:rsidRDefault="00FD6F96" w:rsidP="002754FC">
      <w:pPr>
        <w:pStyle w:val="NormalHanging12a"/>
        <w:spacing w:before="120" w:after="120"/>
        <w:jc w:val="center"/>
        <w:rPr>
          <w:i/>
        </w:rPr>
      </w:pPr>
      <w:r w:rsidRPr="00173FAF">
        <w:rPr>
          <w:i/>
        </w:rPr>
        <w:t>Άρθρο 1</w:t>
      </w:r>
    </w:p>
    <w:p w14:paraId="67A9A15D" w14:textId="15FF88F2" w:rsidR="00FD6F96" w:rsidRPr="00173FAF" w:rsidRDefault="00FD6F96" w:rsidP="002754FC">
      <w:pPr>
        <w:pStyle w:val="NormalHanging12a"/>
        <w:spacing w:before="120" w:after="120"/>
        <w:ind w:left="0" w:firstLine="0"/>
      </w:pPr>
      <w:r w:rsidRPr="00173FAF">
        <w:t xml:space="preserve">Στο πλαίσιο του γενικού προϋπολογισμού της Ένωσης για το οικονομικό έτος 2026, το Ταμείο Αλληλεγγύης της Ευρωπαϊκής Ένωσης κινητοποιείται ως εξής σε πιστώσεις </w:t>
      </w:r>
      <w:r w:rsidR="0029323C" w:rsidRPr="00173FAF">
        <w:t xml:space="preserve">ανάληψης </w:t>
      </w:r>
      <w:r w:rsidRPr="00173FAF">
        <w:t xml:space="preserve">υποχρεώσεων και </w:t>
      </w:r>
      <w:r w:rsidR="0029323C" w:rsidRPr="00173FAF">
        <w:t xml:space="preserve">σε </w:t>
      </w:r>
      <w:r w:rsidRPr="00173FAF">
        <w:t xml:space="preserve">πιστώσεις πληρωμών </w:t>
      </w:r>
      <w:r w:rsidR="0029323C" w:rsidRPr="00173FAF">
        <w:t xml:space="preserve">σχετικά </w:t>
      </w:r>
      <w:r w:rsidRPr="00173FAF">
        <w:t>με φυσικές καταστροφές:</w:t>
      </w:r>
    </w:p>
    <w:p w14:paraId="71A04D11" w14:textId="07356EFB" w:rsidR="00FD6F96" w:rsidRPr="00173FAF" w:rsidRDefault="00FD6F96" w:rsidP="002754FC">
      <w:pPr>
        <w:pStyle w:val="NormalHanging12a"/>
        <w:tabs>
          <w:tab w:val="left" w:pos="851"/>
        </w:tabs>
        <w:spacing w:before="120" w:after="120"/>
        <w:ind w:left="851" w:hanging="851"/>
      </w:pPr>
      <w:r w:rsidRPr="00173FAF">
        <w:t>α)</w:t>
      </w:r>
      <w:r w:rsidRPr="00173FAF">
        <w:tab/>
        <w:t xml:space="preserve">στη Ρουμανία χορηγείται το ποσό των 14 339 675 EUR μετά τις πλημμύρες </w:t>
      </w:r>
      <w:r w:rsidR="0029323C" w:rsidRPr="00173FAF">
        <w:t xml:space="preserve">που σημειώθηκαν </w:t>
      </w:r>
      <w:r w:rsidRPr="00173FAF">
        <w:t xml:space="preserve">στα τέλη Μαΐου και τις αρχές Ιουνίου του 2025· </w:t>
      </w:r>
    </w:p>
    <w:p w14:paraId="2DB96EAD" w14:textId="77777777" w:rsidR="00FD6F96" w:rsidRPr="00173FAF" w:rsidRDefault="00FD6F96" w:rsidP="002754FC">
      <w:pPr>
        <w:pStyle w:val="NormalHanging12a"/>
        <w:tabs>
          <w:tab w:val="left" w:pos="851"/>
        </w:tabs>
        <w:spacing w:before="120" w:after="120"/>
        <w:ind w:left="851" w:hanging="851"/>
      </w:pPr>
      <w:r w:rsidRPr="00173FAF">
        <w:t>β)</w:t>
      </w:r>
      <w:r w:rsidRPr="00173FAF">
        <w:tab/>
        <w:t>στην Κύπρο χορηγείται το ποσό των 9 209 223 EUR μετά τις δασικές πυρκαγιές του Ιουλίου του 2025·</w:t>
      </w:r>
    </w:p>
    <w:p w14:paraId="3DD7B319" w14:textId="77777777" w:rsidR="00FD6F96" w:rsidRPr="00173FAF" w:rsidRDefault="00FD6F96" w:rsidP="002754FC">
      <w:pPr>
        <w:pStyle w:val="NormalHanging12a"/>
        <w:tabs>
          <w:tab w:val="left" w:pos="851"/>
        </w:tabs>
        <w:spacing w:before="120" w:after="120"/>
        <w:ind w:left="851" w:hanging="851"/>
      </w:pPr>
      <w:r w:rsidRPr="00173FAF">
        <w:t>γ)</w:t>
      </w:r>
      <w:r w:rsidRPr="00173FAF">
        <w:tab/>
        <w:t xml:space="preserve">στην Ισπανία χορηγείται το ποσό των 120 550 858 EUR μετά τις δασικές πυρκαγιές του Αυγούστου του 2025. </w:t>
      </w:r>
    </w:p>
    <w:p w14:paraId="16FE8E2A" w14:textId="77777777" w:rsidR="00FD6F96" w:rsidRPr="00173FAF" w:rsidRDefault="00FD6F96" w:rsidP="002754FC">
      <w:pPr>
        <w:pStyle w:val="NormalHanging12a"/>
        <w:spacing w:before="120" w:after="120"/>
        <w:jc w:val="center"/>
        <w:rPr>
          <w:i/>
        </w:rPr>
      </w:pPr>
      <w:r w:rsidRPr="00173FAF">
        <w:rPr>
          <w:i/>
        </w:rPr>
        <w:t>Άρθρο 2</w:t>
      </w:r>
    </w:p>
    <w:p w14:paraId="3EA0B10F" w14:textId="77777777" w:rsidR="00FD6F96" w:rsidRPr="00173FAF" w:rsidRDefault="00FD6F96" w:rsidP="002754FC">
      <w:pPr>
        <w:pStyle w:val="NormalHanging12a"/>
        <w:spacing w:before="120" w:after="120"/>
        <w:ind w:left="0" w:firstLine="0"/>
      </w:pPr>
      <w:r w:rsidRPr="00173FAF">
        <w:t xml:space="preserve">Η παρούσα απόφαση αρχίζει να ισχύει την ημέρα της δημοσίευσής της στην </w:t>
      </w:r>
      <w:r w:rsidRPr="00173FAF">
        <w:rPr>
          <w:i/>
          <w:iCs/>
        </w:rPr>
        <w:t>Επίσημη Εφημερίδα της Ευρωπαϊκής Ένωσης</w:t>
      </w:r>
      <w:r w:rsidRPr="00173FAF">
        <w:t>.</w:t>
      </w:r>
    </w:p>
    <w:p w14:paraId="07F47B28" w14:textId="2BA32BFE" w:rsidR="00FD6F96" w:rsidRPr="00173FAF" w:rsidRDefault="00FD6F96" w:rsidP="002754FC">
      <w:pPr>
        <w:pStyle w:val="NormalHanging12a"/>
        <w:spacing w:before="480" w:after="120"/>
        <w:rPr>
          <w:i/>
        </w:rPr>
      </w:pPr>
      <w:r w:rsidRPr="00173FAF">
        <w:t>Εφαρμόζεται από [την ημερομηνία έκδοσής της]</w:t>
      </w:r>
      <w:r w:rsidRPr="00173FAF">
        <w:rPr>
          <w:vertAlign w:val="superscript"/>
        </w:rPr>
        <w:footnoteReference w:customMarkFollows="1" w:id="16"/>
        <w:t>*</w:t>
      </w:r>
      <w:r w:rsidRPr="00173FAF">
        <w:t>.</w:t>
      </w:r>
    </w:p>
    <w:p w14:paraId="2EAE0851" w14:textId="77777777" w:rsidR="002754FC" w:rsidRPr="00173FAF" w:rsidRDefault="002754FC" w:rsidP="00FD6F96">
      <w:pPr>
        <w:jc w:val="both"/>
      </w:pPr>
    </w:p>
    <w:p w14:paraId="49256FEB" w14:textId="27EF361A" w:rsidR="00FD6F96" w:rsidRPr="00173FAF" w:rsidRDefault="00DF5C8D" w:rsidP="00FD6F96">
      <w:pPr>
        <w:jc w:val="both"/>
      </w:pPr>
      <w:r w:rsidRPr="00173FAF">
        <w:t>…</w:t>
      </w:r>
      <w:r w:rsidR="00FD6F96" w:rsidRPr="00173FAF">
        <w:t>,</w:t>
      </w:r>
    </w:p>
    <w:p w14:paraId="000681B1" w14:textId="3284D449" w:rsidR="00FD6F96" w:rsidRPr="00173FAF" w:rsidRDefault="00FD6F96" w:rsidP="002754FC">
      <w:pPr>
        <w:tabs>
          <w:tab w:val="left" w:pos="4253"/>
        </w:tabs>
        <w:spacing w:before="720"/>
        <w:jc w:val="both"/>
        <w:rPr>
          <w:i/>
          <w:iCs/>
        </w:rPr>
      </w:pPr>
      <w:r w:rsidRPr="00173FAF">
        <w:rPr>
          <w:i/>
          <w:iCs/>
        </w:rPr>
        <w:t>Για το Ευρωπαϊκό Κοινοβούλιο</w:t>
      </w:r>
      <w:r w:rsidRPr="00173FAF">
        <w:rPr>
          <w:i/>
          <w:iCs/>
        </w:rPr>
        <w:tab/>
        <w:t>Για το Συμβούλιο</w:t>
      </w:r>
    </w:p>
    <w:p w14:paraId="14AA08FE" w14:textId="367080B9" w:rsidR="00FD6F96" w:rsidRPr="00173FAF" w:rsidRDefault="00FD6F96" w:rsidP="002754FC">
      <w:pPr>
        <w:tabs>
          <w:tab w:val="left" w:pos="4253"/>
        </w:tabs>
        <w:jc w:val="both"/>
        <w:rPr>
          <w:i/>
          <w:iCs/>
        </w:rPr>
      </w:pPr>
      <w:r w:rsidRPr="00173FAF">
        <w:rPr>
          <w:i/>
          <w:iCs/>
        </w:rPr>
        <w:t>Η Πρόεδρος</w:t>
      </w:r>
      <w:r w:rsidRPr="00173FAF">
        <w:rPr>
          <w:i/>
          <w:iCs/>
        </w:rPr>
        <w:tab/>
        <w:t>Ο/Η Πρόεδρος</w:t>
      </w:r>
    </w:p>
    <w:p w14:paraId="4DA31953" w14:textId="748C3CCD" w:rsidR="00E365E1" w:rsidRPr="00173FAF" w:rsidRDefault="00E365E1" w:rsidP="002754FC">
      <w:pPr>
        <w:widowControl/>
      </w:pPr>
    </w:p>
    <w:sectPr w:rsidR="00E365E1" w:rsidRPr="00173FAF" w:rsidSect="000E767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FE0C1" w14:textId="77777777" w:rsidR="00145854" w:rsidRPr="000E767D" w:rsidRDefault="00145854">
      <w:r w:rsidRPr="000E767D">
        <w:separator/>
      </w:r>
    </w:p>
  </w:endnote>
  <w:endnote w:type="continuationSeparator" w:id="0">
    <w:p w14:paraId="5DCB8DE1" w14:textId="77777777" w:rsidR="00145854" w:rsidRPr="000E767D" w:rsidRDefault="00145854">
      <w:r w:rsidRPr="000E76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90F5" w14:textId="77777777" w:rsidR="00FD6F96" w:rsidRPr="000E767D" w:rsidRDefault="00FD6F96" w:rsidP="009108F9">
    <w:pPr>
      <w:pStyle w:val="EPFooter"/>
    </w:pPr>
    <w:r w:rsidRPr="000E767D">
      <w:t>PE</w:t>
    </w:r>
    <w:r w:rsidRPr="000E767D">
      <w:rPr>
        <w:rStyle w:val="HideTWBExt"/>
      </w:rPr>
      <w:t>&lt;NoPE&gt;</w:t>
    </w:r>
    <w:r w:rsidRPr="000E767D">
      <w:t>789.090</w:t>
    </w:r>
    <w:r w:rsidRPr="000E767D">
      <w:rPr>
        <w:rStyle w:val="HideTWBExt"/>
      </w:rPr>
      <w:t>&lt;/NoPE&gt;&lt;Version&gt;</w:t>
    </w:r>
    <w:r w:rsidRPr="000E767D">
      <w:t>v02-00</w:t>
    </w:r>
    <w:r w:rsidRPr="000E767D">
      <w:rPr>
        <w:rStyle w:val="HideTWBExt"/>
      </w:rPr>
      <w:t>&lt;/Version&gt;</w:t>
    </w:r>
    <w:r w:rsidRPr="000E767D">
      <w:tab/>
    </w:r>
    <w:r w:rsidRPr="000E767D">
      <w:fldChar w:fldCharType="begin"/>
    </w:r>
    <w:r w:rsidRPr="000E767D">
      <w:instrText xml:space="preserve"> PAGE  \* MERGEFORMAT </w:instrText>
    </w:r>
    <w:r w:rsidRPr="000E767D">
      <w:fldChar w:fldCharType="separate"/>
    </w:r>
    <w:r w:rsidRPr="000E767D">
      <w:rPr>
        <w:noProof/>
      </w:rPr>
      <w:t>16</w:t>
    </w:r>
    <w:r w:rsidRPr="000E767D">
      <w:fldChar w:fldCharType="end"/>
    </w:r>
    <w:r w:rsidRPr="000E767D">
      <w:t>/</w:t>
    </w:r>
    <w:fldSimple w:instr=" NUMPAGES  \* MERGEFORMAT ">
      <w:r w:rsidRPr="000E767D">
        <w:rPr>
          <w:noProof/>
        </w:rPr>
        <w:t>17</w:t>
      </w:r>
    </w:fldSimple>
    <w:r w:rsidRPr="000E767D">
      <w:tab/>
    </w:r>
    <w:r w:rsidRPr="000E767D">
      <w:rPr>
        <w:rStyle w:val="HideTWBExt"/>
      </w:rPr>
      <w:t>&lt;PathFdR&gt;</w:t>
    </w:r>
    <w:r w:rsidRPr="000E767D">
      <w:t>RR\1346601EL.docx</w:t>
    </w:r>
    <w:r w:rsidRPr="000E767D">
      <w:rPr>
        <w:rStyle w:val="HideTWBExt"/>
      </w:rPr>
      <w:t>&lt;/PathFdR&gt;</w:t>
    </w:r>
  </w:p>
  <w:p w14:paraId="0D3CE75E" w14:textId="77777777" w:rsidR="00FD6F96" w:rsidRPr="000E767D" w:rsidRDefault="00FD6F96" w:rsidP="009108F9">
    <w:pPr>
      <w:pStyle w:val="EPFooter2"/>
    </w:pPr>
    <w:r w:rsidRPr="000E767D">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2627" w14:textId="77777777" w:rsidR="00FD6F96" w:rsidRPr="000E767D" w:rsidRDefault="00FD6F96" w:rsidP="009108F9">
    <w:pPr>
      <w:pStyle w:val="EPFooter"/>
    </w:pPr>
    <w:r w:rsidRPr="000E767D">
      <w:rPr>
        <w:rStyle w:val="HideTWBExt"/>
      </w:rPr>
      <w:t>&lt;PathFdR&gt;</w:t>
    </w:r>
    <w:r w:rsidRPr="000E767D">
      <w:t>RR\1346601EL.docx</w:t>
    </w:r>
    <w:r w:rsidRPr="000E767D">
      <w:rPr>
        <w:rStyle w:val="HideTWBExt"/>
      </w:rPr>
      <w:t>&lt;/PathFdR&gt;</w:t>
    </w:r>
    <w:r w:rsidRPr="000E767D">
      <w:tab/>
    </w:r>
    <w:r w:rsidRPr="000E767D">
      <w:tab/>
      <w:t>PE</w:t>
    </w:r>
    <w:r w:rsidRPr="000E767D">
      <w:rPr>
        <w:rStyle w:val="HideTWBExt"/>
      </w:rPr>
      <w:t>&lt;NoPE&gt;</w:t>
    </w:r>
    <w:r w:rsidRPr="000E767D">
      <w:t>789.090</w:t>
    </w:r>
    <w:r w:rsidRPr="000E767D">
      <w:rPr>
        <w:rStyle w:val="HideTWBExt"/>
      </w:rPr>
      <w:t>&lt;/NoPE&gt;&lt;Version&gt;</w:t>
    </w:r>
    <w:r w:rsidRPr="000E767D">
      <w:t>v02-00</w:t>
    </w:r>
    <w:r w:rsidRPr="000E767D">
      <w:rPr>
        <w:rStyle w:val="HideTWBExt"/>
      </w:rPr>
      <w:t>&lt;/Version&gt;</w:t>
    </w:r>
  </w:p>
  <w:p w14:paraId="0C858721" w14:textId="77777777" w:rsidR="00FD6F96" w:rsidRPr="000E767D" w:rsidRDefault="00FD6F96" w:rsidP="009108F9">
    <w:pPr>
      <w:pStyle w:val="EPFooter2"/>
    </w:pPr>
    <w:r w:rsidRPr="000E767D">
      <w:t>EL</w:t>
    </w:r>
    <w:r w:rsidRPr="000E767D">
      <w:tab/>
    </w:r>
    <w:r w:rsidRPr="000E767D">
      <w:rPr>
        <w:b w:val="0"/>
        <w:i/>
        <w:color w:val="C0C0C0"/>
        <w:sz w:val="22"/>
      </w:rPr>
      <w:t>Ενωμένη στην πολυμορφία</w:t>
    </w:r>
    <w:r w:rsidRPr="000E767D">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F532" w14:textId="77777777" w:rsidR="00064002" w:rsidRPr="000E767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48C9" w14:textId="77777777" w:rsidR="00064002" w:rsidRPr="000E767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5828" w14:textId="77777777" w:rsidR="00064002" w:rsidRPr="000E76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A5B2D" w14:textId="77777777" w:rsidR="00145854" w:rsidRPr="000E767D" w:rsidRDefault="00145854">
      <w:r w:rsidRPr="000E767D">
        <w:separator/>
      </w:r>
    </w:p>
  </w:footnote>
  <w:footnote w:type="continuationSeparator" w:id="0">
    <w:p w14:paraId="3DB3ED55" w14:textId="77777777" w:rsidR="00145854" w:rsidRPr="000E767D" w:rsidRDefault="00145854">
      <w:r w:rsidRPr="000E767D">
        <w:continuationSeparator/>
      </w:r>
    </w:p>
  </w:footnote>
  <w:footnote w:id="1">
    <w:p w14:paraId="5C826097" w14:textId="3D92D857"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 xml:space="preserve">ΕΕ L 311 της 14.11.2002, σ. 3, ELI: </w:t>
      </w:r>
      <w:hyperlink r:id="rId1" w:tooltip="http://data.europa.eu/eli/reg/2002/2012/oj" w:history="1">
        <w:r w:rsidRPr="000E767D">
          <w:rPr>
            <w:rStyle w:val="Hyperlink"/>
            <w:sz w:val="24"/>
            <w:lang w:val="el-GR"/>
          </w:rPr>
          <w:t>http://data.europa.eu/eli/reg/2002/2012/oj</w:t>
        </w:r>
      </w:hyperlink>
      <w:r w:rsidRPr="000E767D">
        <w:rPr>
          <w:sz w:val="24"/>
          <w:lang w:val="el-GR"/>
        </w:rPr>
        <w:t>.</w:t>
      </w:r>
    </w:p>
  </w:footnote>
  <w:footnote w:id="2">
    <w:p w14:paraId="10C056E0" w14:textId="36008A51"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 xml:space="preserve">ΕΕ L 433 I της 22.12.2020, σ. </w:t>
      </w:r>
      <w:r w:rsidRPr="000E767D">
        <w:rPr>
          <w:sz w:val="24"/>
          <w:lang w:val="el-GR"/>
        </w:rPr>
        <w:t xml:space="preserve">11, ELI: </w:t>
      </w:r>
      <w:hyperlink r:id="rId2" w:tooltip="http://data.europa.eu/eli/reg/2020/2093/oj" w:history="1">
        <w:r w:rsidRPr="000E767D">
          <w:rPr>
            <w:rStyle w:val="Hyperlink"/>
            <w:sz w:val="24"/>
            <w:lang w:val="el-GR"/>
          </w:rPr>
          <w:t>http://data.europa.eu/eli/reg/2020/2093/oj</w:t>
        </w:r>
      </w:hyperlink>
      <w:r w:rsidRPr="000E767D">
        <w:rPr>
          <w:sz w:val="24"/>
          <w:lang w:val="el-GR"/>
        </w:rPr>
        <w:t>.</w:t>
      </w:r>
    </w:p>
  </w:footnote>
  <w:footnote w:id="3">
    <w:p w14:paraId="3DD196EF" w14:textId="0830EF43"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ΕΕ L 433 I της 22.12.2020, σ. </w:t>
      </w:r>
      <w:r w:rsidRPr="000E767D">
        <w:rPr>
          <w:sz w:val="24"/>
          <w:lang w:val="el-GR"/>
        </w:rPr>
        <w:t xml:space="preserve">28, ELI: </w:t>
      </w:r>
      <w:hyperlink r:id="rId3" w:history="1">
        <w:r w:rsidRPr="002754FC">
          <w:rPr>
            <w:rStyle w:val="Hyperlink"/>
            <w:sz w:val="24"/>
            <w:lang w:val="el-GR"/>
          </w:rPr>
          <w:t>http://data.europa.eu/eli/agree_interinstit/2020/1222/oj</w:t>
        </w:r>
      </w:hyperlink>
      <w:r w:rsidRPr="000E767D">
        <w:rPr>
          <w:sz w:val="24"/>
          <w:lang w:val="el-GR"/>
        </w:rPr>
        <w:t>.</w:t>
      </w:r>
    </w:p>
  </w:footnote>
  <w:footnote w:id="4">
    <w:p w14:paraId="2C981436" w14:textId="789EC49C"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 xml:space="preserve">ΕΕ L 231 της 30.6.2021, σ. </w:t>
      </w:r>
      <w:r w:rsidRPr="000E767D">
        <w:rPr>
          <w:sz w:val="24"/>
          <w:lang w:val="el-GR"/>
        </w:rPr>
        <w:t xml:space="preserve">60, ELI: </w:t>
      </w:r>
      <w:hyperlink r:id="rId4" w:history="1">
        <w:r w:rsidRPr="002754FC">
          <w:rPr>
            <w:rStyle w:val="Hyperlink"/>
            <w:sz w:val="24"/>
            <w:lang w:val="el-GR"/>
          </w:rPr>
          <w:t>http://data.europa.eu/eli/reg/2021/1058/oj</w:t>
        </w:r>
      </w:hyperlink>
      <w:r w:rsidRPr="000E767D">
        <w:rPr>
          <w:sz w:val="24"/>
          <w:lang w:val="el-GR"/>
        </w:rPr>
        <w:t>.</w:t>
      </w:r>
    </w:p>
  </w:footnote>
  <w:footnote w:id="5">
    <w:p w14:paraId="614C16BC" w14:textId="66751202"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 xml:space="preserve">ΕΕ L 231 της 30.6.2021, σ. </w:t>
      </w:r>
      <w:r w:rsidRPr="000E767D">
        <w:rPr>
          <w:sz w:val="24"/>
          <w:lang w:val="el-GR"/>
        </w:rPr>
        <w:t xml:space="preserve">21, ELI: </w:t>
      </w:r>
      <w:hyperlink r:id="rId5" w:history="1">
        <w:r w:rsidRPr="002754FC">
          <w:rPr>
            <w:rStyle w:val="Hyperlink"/>
            <w:sz w:val="24"/>
            <w:lang w:val="el-GR"/>
          </w:rPr>
          <w:t>http://data.europa.eu/eli/reg/2021/1057/oj</w:t>
        </w:r>
      </w:hyperlink>
      <w:r w:rsidRPr="000E767D">
        <w:rPr>
          <w:sz w:val="24"/>
          <w:lang w:val="el-GR"/>
        </w:rPr>
        <w:t>.</w:t>
      </w:r>
    </w:p>
  </w:footnote>
  <w:footnote w:id="6">
    <w:p w14:paraId="3F111033" w14:textId="36DCE936"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 xml:space="preserve">ΕΕ L 435 της 6.12.2021, σ. </w:t>
      </w:r>
      <w:r w:rsidRPr="000E767D">
        <w:rPr>
          <w:sz w:val="24"/>
          <w:lang w:val="el-GR"/>
        </w:rPr>
        <w:t>1, ELI: </w:t>
      </w:r>
      <w:hyperlink r:id="rId6" w:tgtFrame="_blank" w:tooltip="http://data.europa.eu/eli/reg/2021/2115/oj" w:history="1">
        <w:r w:rsidRPr="000E767D">
          <w:rPr>
            <w:rStyle w:val="Hyperlink"/>
            <w:sz w:val="24"/>
            <w:lang w:val="el-GR"/>
          </w:rPr>
          <w:t>http://data.europa.eu/eli/reg/2021/2115/oj</w:t>
        </w:r>
      </w:hyperlink>
      <w:r w:rsidRPr="000E767D">
        <w:rPr>
          <w:sz w:val="24"/>
          <w:lang w:val="el-GR"/>
        </w:rPr>
        <w:t>.</w:t>
      </w:r>
    </w:p>
  </w:footnote>
  <w:footnote w:id="7">
    <w:p w14:paraId="0CA74F92" w14:textId="0FE0D937"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Κείμενα που εγκρίθηκαν, P10_TA(2024)0059.</w:t>
      </w:r>
    </w:p>
  </w:footnote>
  <w:footnote w:id="8">
    <w:p w14:paraId="09A43BC1" w14:textId="1CA39D8F"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hyperlink r:id="rId7" w:history="1">
        <w:r w:rsidRPr="002754FC">
          <w:rPr>
            <w:rStyle w:val="Hyperlink"/>
            <w:sz w:val="24"/>
            <w:lang w:val="el-GR"/>
          </w:rPr>
          <w:t>https://www.eea.europa.eu/en/analysis/publications/european-climate-risk-assessment</w:t>
        </w:r>
      </w:hyperlink>
    </w:p>
  </w:footnote>
  <w:footnote w:id="9">
    <w:p w14:paraId="7C9518ED" w14:textId="46481425" w:rsidR="00FD6F96" w:rsidRPr="00970A08" w:rsidRDefault="00FD6F96" w:rsidP="002754FC">
      <w:pPr>
        <w:pStyle w:val="FootnoteText"/>
        <w:spacing w:line="240" w:lineRule="auto"/>
        <w:ind w:left="567" w:hanging="567"/>
        <w:rPr>
          <w:sz w:val="24"/>
          <w:lang w:val="fi-FI"/>
        </w:rPr>
      </w:pPr>
      <w:r w:rsidRPr="000E767D">
        <w:rPr>
          <w:rStyle w:val="FootnoteReference"/>
          <w:sz w:val="24"/>
          <w:lang w:val="el-GR"/>
        </w:rPr>
        <w:footnoteRef/>
      </w:r>
      <w:r w:rsidR="000E767D" w:rsidRPr="00970A08">
        <w:rPr>
          <w:sz w:val="24"/>
          <w:lang w:val="fi-FI"/>
        </w:rPr>
        <w:t xml:space="preserve"> </w:t>
      </w:r>
      <w:r w:rsidR="000E767D" w:rsidRPr="00970A08">
        <w:rPr>
          <w:sz w:val="24"/>
          <w:lang w:val="fi-FI"/>
        </w:rPr>
        <w:tab/>
      </w:r>
      <w:r w:rsidRPr="000E767D">
        <w:rPr>
          <w:sz w:val="24"/>
          <w:lang w:val="el-GR"/>
        </w:rPr>
        <w:t>ΕΕ</w:t>
      </w:r>
      <w:r w:rsidRPr="00970A08">
        <w:rPr>
          <w:sz w:val="24"/>
          <w:lang w:val="fi-FI"/>
        </w:rPr>
        <w:t xml:space="preserve"> L, 2024/3236, 23.12.2024, ELI: </w:t>
      </w:r>
      <w:hyperlink r:id="rId8" w:tgtFrame="_blank" w:tooltip="http://data.europa.eu/eli/reg/2024/3236/oj" w:history="1">
        <w:r w:rsidRPr="00970A08">
          <w:rPr>
            <w:rStyle w:val="Hyperlink"/>
            <w:sz w:val="24"/>
            <w:lang w:val="fi-FI"/>
          </w:rPr>
          <w:t>http://data.europa.eu/eli/reg/2024/3236/oj</w:t>
        </w:r>
      </w:hyperlink>
      <w:r w:rsidRPr="00970A08">
        <w:rPr>
          <w:sz w:val="24"/>
          <w:lang w:val="fi-FI"/>
        </w:rPr>
        <w:t>.</w:t>
      </w:r>
    </w:p>
  </w:footnote>
  <w:footnote w:id="10">
    <w:p w14:paraId="7EEA36AD" w14:textId="7CFAA282" w:rsidR="00FD6F96" w:rsidRPr="00970A08" w:rsidRDefault="00FD6F96" w:rsidP="002754FC">
      <w:pPr>
        <w:pStyle w:val="FootnoteText"/>
        <w:spacing w:line="240" w:lineRule="auto"/>
        <w:ind w:left="567" w:hanging="567"/>
        <w:rPr>
          <w:sz w:val="24"/>
          <w:lang w:val="fi-FI"/>
        </w:rPr>
      </w:pPr>
      <w:r w:rsidRPr="000E767D">
        <w:rPr>
          <w:rStyle w:val="FootnoteReference"/>
          <w:sz w:val="24"/>
          <w:lang w:val="el-GR"/>
        </w:rPr>
        <w:footnoteRef/>
      </w:r>
      <w:r w:rsidR="000E767D" w:rsidRPr="00970A08">
        <w:rPr>
          <w:sz w:val="24"/>
          <w:lang w:val="fi-FI"/>
        </w:rPr>
        <w:t xml:space="preserve"> </w:t>
      </w:r>
      <w:r w:rsidR="000E767D" w:rsidRPr="00970A08">
        <w:rPr>
          <w:sz w:val="24"/>
          <w:lang w:val="fi-FI"/>
        </w:rPr>
        <w:tab/>
      </w:r>
      <w:r w:rsidRPr="000E767D">
        <w:rPr>
          <w:sz w:val="24"/>
          <w:lang w:val="el-GR"/>
        </w:rPr>
        <w:t>ΕΕ</w:t>
      </w:r>
      <w:r w:rsidRPr="00970A08">
        <w:rPr>
          <w:sz w:val="24"/>
          <w:lang w:val="fi-FI"/>
        </w:rPr>
        <w:t xml:space="preserve"> L, 2024/3242, 23.12.2024, ELI: </w:t>
      </w:r>
      <w:hyperlink r:id="rId9" w:tgtFrame="_blank" w:tooltip="http://data.europa.eu/eli/reg/2024/3242/oj" w:history="1">
        <w:r w:rsidRPr="00970A08">
          <w:rPr>
            <w:rStyle w:val="Hyperlink"/>
            <w:sz w:val="24"/>
            <w:lang w:val="fi-FI"/>
          </w:rPr>
          <w:t>http://data.europa.eu/eli/reg/2024/3242/oj</w:t>
        </w:r>
      </w:hyperlink>
      <w:r w:rsidRPr="00970A08">
        <w:rPr>
          <w:sz w:val="24"/>
          <w:lang w:val="fi-FI"/>
        </w:rPr>
        <w:t>.</w:t>
      </w:r>
    </w:p>
  </w:footnote>
  <w:footnote w:id="11">
    <w:p w14:paraId="7A409157" w14:textId="1127A3E0"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 xml:space="preserve">Κανονισμός (ΕΕ)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w:t>
      </w:r>
      <w:r w:rsidRPr="000E767D">
        <w:rPr>
          <w:sz w:val="24"/>
          <w:lang w:val="el-GR"/>
        </w:rPr>
        <w:t xml:space="preserve">17, ELI: </w:t>
      </w:r>
      <w:hyperlink r:id="rId10" w:history="1">
        <w:r w:rsidRPr="00DF5C8D">
          <w:rPr>
            <w:rStyle w:val="Hyperlink"/>
            <w:sz w:val="24"/>
            <w:lang w:val="el-GR"/>
          </w:rPr>
          <w:t>http://data.europa.eu/eli/reg/2021/241/oj</w:t>
        </w:r>
      </w:hyperlink>
      <w:r w:rsidRPr="000E767D">
        <w:rPr>
          <w:sz w:val="24"/>
          <w:lang w:val="el-GR"/>
        </w:rPr>
        <w:t>).</w:t>
      </w:r>
    </w:p>
  </w:footnote>
  <w:footnote w:id="12">
    <w:p w14:paraId="1A14B89C" w14:textId="32CD26E1"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shd w:val="clear" w:color="auto" w:fill="FFFFFF"/>
          <w:lang w:val="el-GR"/>
        </w:rPr>
        <w:t xml:space="preserve"> </w:t>
      </w:r>
      <w:r w:rsidR="000E767D" w:rsidRPr="000E767D">
        <w:rPr>
          <w:sz w:val="24"/>
          <w:shd w:val="clear" w:color="auto" w:fill="FFFFFF"/>
          <w:lang w:val="el-GR"/>
        </w:rPr>
        <w:tab/>
      </w:r>
      <w:r w:rsidRPr="000E767D">
        <w:rPr>
          <w:sz w:val="24"/>
          <w:shd w:val="clear" w:color="auto" w:fill="FFFFFF"/>
          <w:lang w:val="el-GR"/>
        </w:rPr>
        <w:t xml:space="preserve">ΕΕ L 311 της 14.11.2002, σ. </w:t>
      </w:r>
      <w:r w:rsidRPr="000E767D">
        <w:rPr>
          <w:sz w:val="24"/>
          <w:shd w:val="clear" w:color="auto" w:fill="FFFFFF"/>
          <w:lang w:val="el-GR"/>
        </w:rPr>
        <w:t xml:space="preserve">3, ELI: </w:t>
      </w:r>
      <w:hyperlink r:id="rId11" w:history="1">
        <w:r w:rsidRPr="000E767D">
          <w:rPr>
            <w:rStyle w:val="Hyperlink"/>
            <w:sz w:val="24"/>
            <w:shd w:val="clear" w:color="auto" w:fill="FFFFFF"/>
            <w:lang w:val="el-GR"/>
          </w:rPr>
          <w:t>http://data.europa.eu/eli/reg/2002/2012/oj</w:t>
        </w:r>
      </w:hyperlink>
      <w:r w:rsidRPr="000E767D">
        <w:rPr>
          <w:sz w:val="24"/>
          <w:shd w:val="clear" w:color="auto" w:fill="FFFFFF"/>
          <w:lang w:val="el-GR"/>
        </w:rPr>
        <w:t>.</w:t>
      </w:r>
    </w:p>
  </w:footnote>
  <w:footnote w:id="13">
    <w:p w14:paraId="27FAF1D8" w14:textId="141F602F"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 xml:space="preserve">ΕΕ L 433 I της 22.12.2020, σ. </w:t>
      </w:r>
      <w:r w:rsidRPr="000E767D">
        <w:rPr>
          <w:sz w:val="24"/>
          <w:lang w:val="el-GR"/>
        </w:rPr>
        <w:t xml:space="preserve">11, ELI: </w:t>
      </w:r>
      <w:hyperlink r:id="rId12" w:history="1">
        <w:r w:rsidRPr="000E767D">
          <w:rPr>
            <w:rStyle w:val="Hyperlink"/>
            <w:sz w:val="24"/>
            <w:lang w:val="el-GR"/>
          </w:rPr>
          <w:t>http://data.europa.eu/eli/reg/2020/2093/oj</w:t>
        </w:r>
      </w:hyperlink>
      <w:r w:rsidRPr="000E767D">
        <w:rPr>
          <w:sz w:val="24"/>
          <w:lang w:val="el-GR"/>
        </w:rPr>
        <w:t>.</w:t>
      </w:r>
    </w:p>
  </w:footnote>
  <w:footnote w:id="14">
    <w:p w14:paraId="611CB5A5" w14:textId="7A03AADA"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ΕΕ L 433 I της 22.12.2020, σ. </w:t>
      </w:r>
      <w:r w:rsidRPr="000E767D">
        <w:rPr>
          <w:sz w:val="24"/>
          <w:lang w:val="el-GR"/>
        </w:rPr>
        <w:t xml:space="preserve">28, ELI: </w:t>
      </w:r>
      <w:hyperlink r:id="rId13" w:history="1">
        <w:r w:rsidRPr="000E767D">
          <w:rPr>
            <w:rStyle w:val="Hyperlink"/>
            <w:sz w:val="24"/>
            <w:lang w:val="el-GR"/>
          </w:rPr>
          <w:t>http://data.europa.eu/eli/agree_interinstit/2020/1222/oj</w:t>
        </w:r>
      </w:hyperlink>
      <w:r w:rsidRPr="000E767D">
        <w:rPr>
          <w:sz w:val="24"/>
          <w:lang w:val="el-GR"/>
        </w:rPr>
        <w:t>.</w:t>
      </w:r>
    </w:p>
  </w:footnote>
  <w:footnote w:id="15">
    <w:p w14:paraId="25717467" w14:textId="1802049E"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footnoteRef/>
      </w:r>
      <w:r w:rsidR="000E767D" w:rsidRPr="000E767D">
        <w:rPr>
          <w:sz w:val="24"/>
          <w:lang w:val="el-GR"/>
        </w:rPr>
        <w:t xml:space="preserve"> </w:t>
      </w:r>
      <w:r w:rsidR="000E767D" w:rsidRPr="000E767D">
        <w:rPr>
          <w:sz w:val="24"/>
          <w:lang w:val="el-GR"/>
        </w:rPr>
        <w:tab/>
      </w:r>
      <w:r w:rsidRPr="000E767D">
        <w:rPr>
          <w:sz w:val="24"/>
          <w:lang w:val="el-GR"/>
        </w:rPr>
        <w:t xml:space="preserve">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(ΕΕ L, 2024/765, 29.2.2024, ELI: </w:t>
      </w:r>
      <w:hyperlink r:id="rId14" w:history="1">
        <w:r w:rsidRPr="000E767D">
          <w:rPr>
            <w:rStyle w:val="Hyperlink"/>
            <w:sz w:val="24"/>
            <w:lang w:val="el-GR"/>
          </w:rPr>
          <w:t>http://data.europa.eu/eli/reg/2024/765/oj</w:t>
        </w:r>
      </w:hyperlink>
      <w:r w:rsidRPr="000E767D">
        <w:rPr>
          <w:sz w:val="24"/>
          <w:lang w:val="el-GR"/>
        </w:rPr>
        <w:t>).</w:t>
      </w:r>
    </w:p>
  </w:footnote>
  <w:footnote w:id="16">
    <w:p w14:paraId="0C8B57C2" w14:textId="30F79DFF" w:rsidR="00FD6F96" w:rsidRPr="000E767D" w:rsidRDefault="00FD6F96" w:rsidP="002754FC">
      <w:pPr>
        <w:pStyle w:val="FootnoteText"/>
        <w:spacing w:line="240" w:lineRule="auto"/>
        <w:ind w:left="567" w:hanging="567"/>
        <w:rPr>
          <w:sz w:val="24"/>
          <w:lang w:val="el-GR"/>
        </w:rPr>
      </w:pPr>
      <w:r w:rsidRPr="000E767D">
        <w:rPr>
          <w:rStyle w:val="FootnoteReference"/>
          <w:sz w:val="24"/>
          <w:lang w:val="el-GR"/>
        </w:rPr>
        <w:t>*</w:t>
      </w:r>
      <w:r w:rsidR="000E767D" w:rsidRPr="000E767D">
        <w:rPr>
          <w:sz w:val="24"/>
          <w:lang w:val="el-GR"/>
        </w:rPr>
        <w:t xml:space="preserve"> </w:t>
      </w:r>
      <w:r w:rsidR="000E767D" w:rsidRPr="000E767D">
        <w:rPr>
          <w:sz w:val="24"/>
          <w:lang w:val="el-GR"/>
        </w:rPr>
        <w:tab/>
      </w:r>
      <w:r w:rsidRPr="000E767D">
        <w:rPr>
          <w:sz w:val="24"/>
          <w:lang w:val="el-GR"/>
        </w:rPr>
        <w:t>Η ημερομηνία θα προστεθεί από το Κοινοβούλιο πριν από τη δημοσίευση στην ΕΕ.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C1E3" w14:textId="77777777" w:rsidR="00064002" w:rsidRPr="000E76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341F7" w14:textId="77777777" w:rsidR="00064002" w:rsidRPr="000E76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02F2" w14:textId="77777777" w:rsidR="00064002" w:rsidRPr="000E76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5862066">
    <w:abstractNumId w:val="9"/>
  </w:num>
  <w:num w:numId="2" w16cid:durableId="857238090">
    <w:abstractNumId w:val="9"/>
  </w:num>
  <w:num w:numId="3" w16cid:durableId="1727101315">
    <w:abstractNumId w:val="7"/>
  </w:num>
  <w:num w:numId="4" w16cid:durableId="1017273697">
    <w:abstractNumId w:val="7"/>
  </w:num>
  <w:num w:numId="5" w16cid:durableId="1084061162">
    <w:abstractNumId w:val="6"/>
  </w:num>
  <w:num w:numId="6" w16cid:durableId="783618891">
    <w:abstractNumId w:val="6"/>
  </w:num>
  <w:num w:numId="7" w16cid:durableId="1503013191">
    <w:abstractNumId w:val="5"/>
  </w:num>
  <w:num w:numId="8" w16cid:durableId="1769886343">
    <w:abstractNumId w:val="5"/>
  </w:num>
  <w:num w:numId="9" w16cid:durableId="1618415291">
    <w:abstractNumId w:val="4"/>
  </w:num>
  <w:num w:numId="10" w16cid:durableId="1836721500">
    <w:abstractNumId w:val="4"/>
  </w:num>
  <w:num w:numId="11" w16cid:durableId="1710181791">
    <w:abstractNumId w:val="8"/>
  </w:num>
  <w:num w:numId="12" w16cid:durableId="2125342107">
    <w:abstractNumId w:val="8"/>
  </w:num>
  <w:num w:numId="13" w16cid:durableId="1047143648">
    <w:abstractNumId w:val="3"/>
  </w:num>
  <w:num w:numId="14" w16cid:durableId="1355613461">
    <w:abstractNumId w:val="3"/>
  </w:num>
  <w:num w:numId="15" w16cid:durableId="545260190">
    <w:abstractNumId w:val="2"/>
  </w:num>
  <w:num w:numId="16" w16cid:durableId="1185943064">
    <w:abstractNumId w:val="2"/>
  </w:num>
  <w:num w:numId="17" w16cid:durableId="1294092502">
    <w:abstractNumId w:val="1"/>
  </w:num>
  <w:num w:numId="18" w16cid:durableId="1124426977">
    <w:abstractNumId w:val="1"/>
  </w:num>
  <w:num w:numId="19" w16cid:durableId="2056929902">
    <w:abstractNumId w:val="0"/>
  </w:num>
  <w:num w:numId="20" w16cid:durableId="253975056">
    <w:abstractNumId w:val="0"/>
  </w:num>
  <w:num w:numId="21" w16cid:durableId="1919097928">
    <w:abstractNumId w:val="9"/>
  </w:num>
  <w:num w:numId="22" w16cid:durableId="672952881">
    <w:abstractNumId w:val="7"/>
  </w:num>
  <w:num w:numId="23" w16cid:durableId="1990477784">
    <w:abstractNumId w:val="6"/>
  </w:num>
  <w:num w:numId="24" w16cid:durableId="181627755">
    <w:abstractNumId w:val="5"/>
  </w:num>
  <w:num w:numId="25" w16cid:durableId="780999645">
    <w:abstractNumId w:val="4"/>
  </w:num>
  <w:num w:numId="26" w16cid:durableId="1025209016">
    <w:abstractNumId w:val="8"/>
  </w:num>
  <w:num w:numId="27" w16cid:durableId="629015282">
    <w:abstractNumId w:val="3"/>
  </w:num>
  <w:num w:numId="28" w16cid:durableId="710113474">
    <w:abstractNumId w:val="2"/>
  </w:num>
  <w:num w:numId="29" w16cid:durableId="281151998">
    <w:abstractNumId w:val="1"/>
  </w:num>
  <w:num w:numId="30" w16cid:durableId="615213898">
    <w:abstractNumId w:val="0"/>
  </w:num>
  <w:num w:numId="31" w16cid:durableId="555312917">
    <w:abstractNumId w:val="9"/>
  </w:num>
  <w:num w:numId="32" w16cid:durableId="2040272979">
    <w:abstractNumId w:val="7"/>
  </w:num>
  <w:num w:numId="33" w16cid:durableId="1661809498">
    <w:abstractNumId w:val="6"/>
  </w:num>
  <w:num w:numId="34" w16cid:durableId="1304654681">
    <w:abstractNumId w:val="5"/>
  </w:num>
  <w:num w:numId="35" w16cid:durableId="1729454933">
    <w:abstractNumId w:val="4"/>
  </w:num>
  <w:num w:numId="36" w16cid:durableId="745615200">
    <w:abstractNumId w:val="8"/>
  </w:num>
  <w:num w:numId="37" w16cid:durableId="1282958103">
    <w:abstractNumId w:val="3"/>
  </w:num>
  <w:num w:numId="38" w16cid:durableId="326246235">
    <w:abstractNumId w:val="2"/>
  </w:num>
  <w:num w:numId="39" w16cid:durableId="1139345059">
    <w:abstractNumId w:val="1"/>
  </w:num>
  <w:num w:numId="40" w16cid:durableId="1691684572">
    <w:abstractNumId w:val="0"/>
  </w:num>
  <w:num w:numId="41" w16cid:durableId="742989486">
    <w:abstractNumId w:val="10"/>
  </w:num>
  <w:num w:numId="42" w16cid:durableId="604850406">
    <w:abstractNumId w:val="10"/>
  </w:num>
  <w:num w:numId="43" w16cid:durableId="1981154044">
    <w:abstractNumId w:val="10"/>
  </w:num>
  <w:num w:numId="44" w16cid:durableId="1873108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EL"/>
    <w:docVar w:name="dvnumam" w:val="0"/>
    <w:docVar w:name="dvpe" w:val="789.090"/>
    <w:docVar w:name="dvrapporteur" w:val="Εισηγητής: "/>
    <w:docVar w:name="dvtitre" w:val="Νομοθετικό ψήφισμα του Ευρωπαϊκού Κοινοβουλίου της ... 2026 σχετικά με την πρόταση απόφασης του Ευρωπαϊκού Κοινοβουλίου και του Συμβουλίου που αφορά την κινητοποίηση του Ταμείου Αλληλεγγύης της Ευρωπαϊκής Ένωσης για την παροχή βοήθειας στη Ρουμανία όσον αφορά τις πλημμύρες στα τέλη Μαΐου του 2025, στην Κύπρο μετά τις δασικές πυρκαγιές του Ιουλίου του 2025 και στην Ισπανία μετά τις δασικές πυρκαγιές του Αυγούστου του 2025(COM(2026)1002 – C10-0119/2026 – 2026/0120(BUD))"/>
  </w:docVars>
  <w:rsids>
    <w:rsidRoot w:val="00145854"/>
    <w:rsid w:val="00002272"/>
    <w:rsid w:val="00064002"/>
    <w:rsid w:val="000677B9"/>
    <w:rsid w:val="000831BA"/>
    <w:rsid w:val="000A42CC"/>
    <w:rsid w:val="000D5408"/>
    <w:rsid w:val="000E767D"/>
    <w:rsid w:val="000E7DD9"/>
    <w:rsid w:val="0010095E"/>
    <w:rsid w:val="00125B37"/>
    <w:rsid w:val="00145854"/>
    <w:rsid w:val="00173FAF"/>
    <w:rsid w:val="00187494"/>
    <w:rsid w:val="001F32AE"/>
    <w:rsid w:val="002754FC"/>
    <w:rsid w:val="002767FF"/>
    <w:rsid w:val="0029323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F4B"/>
    <w:rsid w:val="004F0576"/>
    <w:rsid w:val="0050519A"/>
    <w:rsid w:val="005072A1"/>
    <w:rsid w:val="00514517"/>
    <w:rsid w:val="00545827"/>
    <w:rsid w:val="0055759B"/>
    <w:rsid w:val="00560270"/>
    <w:rsid w:val="005A0E19"/>
    <w:rsid w:val="005C2568"/>
    <w:rsid w:val="005F1B17"/>
    <w:rsid w:val="006037C0"/>
    <w:rsid w:val="006631B6"/>
    <w:rsid w:val="00680577"/>
    <w:rsid w:val="006B55EE"/>
    <w:rsid w:val="006F74FA"/>
    <w:rsid w:val="00731ADD"/>
    <w:rsid w:val="00734777"/>
    <w:rsid w:val="00747932"/>
    <w:rsid w:val="00751A4A"/>
    <w:rsid w:val="00756632"/>
    <w:rsid w:val="00762C74"/>
    <w:rsid w:val="00786EC0"/>
    <w:rsid w:val="007D1690"/>
    <w:rsid w:val="007E22AD"/>
    <w:rsid w:val="007F4404"/>
    <w:rsid w:val="00817416"/>
    <w:rsid w:val="00842779"/>
    <w:rsid w:val="00865F67"/>
    <w:rsid w:val="00881A7B"/>
    <w:rsid w:val="008840E5"/>
    <w:rsid w:val="00887B3E"/>
    <w:rsid w:val="008C2AC6"/>
    <w:rsid w:val="008E7278"/>
    <w:rsid w:val="00930C23"/>
    <w:rsid w:val="0093193B"/>
    <w:rsid w:val="009509D8"/>
    <w:rsid w:val="00950B64"/>
    <w:rsid w:val="00970A08"/>
    <w:rsid w:val="00981893"/>
    <w:rsid w:val="00A1687D"/>
    <w:rsid w:val="00A43E52"/>
    <w:rsid w:val="00A4678D"/>
    <w:rsid w:val="00A778C7"/>
    <w:rsid w:val="00AA3984"/>
    <w:rsid w:val="00AB441E"/>
    <w:rsid w:val="00AB6293"/>
    <w:rsid w:val="00AE0928"/>
    <w:rsid w:val="00AF3B82"/>
    <w:rsid w:val="00B042E0"/>
    <w:rsid w:val="00B12E95"/>
    <w:rsid w:val="00B22876"/>
    <w:rsid w:val="00B558F0"/>
    <w:rsid w:val="00BD48FE"/>
    <w:rsid w:val="00BD7BD8"/>
    <w:rsid w:val="00BE6ADC"/>
    <w:rsid w:val="00C05BFE"/>
    <w:rsid w:val="00C23CD4"/>
    <w:rsid w:val="00C402C1"/>
    <w:rsid w:val="00C61C0C"/>
    <w:rsid w:val="00C941CB"/>
    <w:rsid w:val="00CC2357"/>
    <w:rsid w:val="00CF071A"/>
    <w:rsid w:val="00D058B8"/>
    <w:rsid w:val="00D56C11"/>
    <w:rsid w:val="00D834A0"/>
    <w:rsid w:val="00D872DF"/>
    <w:rsid w:val="00D91E21"/>
    <w:rsid w:val="00DA7FCD"/>
    <w:rsid w:val="00DF5C8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F9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91E69"/>
  <w15:chartTrackingRefBased/>
  <w15:docId w15:val="{1206255F-3DDC-4BFA-BEC9-AA353FB28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6F9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D6F96"/>
    <w:pPr>
      <w:keepNext/>
      <w:spacing w:after="480"/>
      <w:jc w:val="center"/>
    </w:pPr>
    <w:rPr>
      <w:rFonts w:ascii="Arial" w:hAnsi="Arial" w:cs="Arial"/>
      <w:b/>
    </w:rPr>
  </w:style>
  <w:style w:type="paragraph" w:customStyle="1" w:styleId="NormalBold">
    <w:name w:val="NormalBold"/>
    <w:basedOn w:val="Normal"/>
    <w:rsid w:val="00FD6F96"/>
    <w:rPr>
      <w:b/>
    </w:rPr>
  </w:style>
  <w:style w:type="paragraph" w:customStyle="1" w:styleId="NormalHanging12a">
    <w:name w:val="NormalHanging12a"/>
    <w:basedOn w:val="Normal"/>
    <w:rsid w:val="00FD6F96"/>
    <w:pPr>
      <w:spacing w:after="240"/>
      <w:ind w:left="567" w:hanging="567"/>
    </w:pPr>
  </w:style>
  <w:style w:type="paragraph" w:styleId="Header">
    <w:name w:val="header"/>
    <w:basedOn w:val="Normal"/>
    <w:link w:val="HeaderChar"/>
    <w:rsid w:val="00FD6F96"/>
    <w:pPr>
      <w:tabs>
        <w:tab w:val="center" w:pos="4513"/>
        <w:tab w:val="right" w:pos="9026"/>
      </w:tabs>
    </w:pPr>
  </w:style>
  <w:style w:type="character" w:customStyle="1" w:styleId="HeaderChar">
    <w:name w:val="Header Char"/>
    <w:basedOn w:val="DefaultParagraphFont"/>
    <w:link w:val="Header"/>
    <w:rsid w:val="00FD6F96"/>
    <w:rPr>
      <w:sz w:val="24"/>
      <w:lang w:val="el-GR"/>
    </w:rPr>
  </w:style>
  <w:style w:type="paragraph" w:customStyle="1" w:styleId="EPFooter">
    <w:name w:val="EPFooter"/>
    <w:basedOn w:val="Normal"/>
    <w:rsid w:val="00FD6F96"/>
    <w:pPr>
      <w:tabs>
        <w:tab w:val="center" w:pos="4535"/>
        <w:tab w:val="right" w:pos="9071"/>
      </w:tabs>
      <w:spacing w:before="240" w:after="240"/>
    </w:pPr>
    <w:rPr>
      <w:color w:val="010000"/>
      <w:sz w:val="22"/>
    </w:rPr>
  </w:style>
  <w:style w:type="paragraph" w:customStyle="1" w:styleId="EPComma">
    <w:name w:val="EPComma"/>
    <w:basedOn w:val="Normal"/>
    <w:rsid w:val="00FD6F96"/>
    <w:pPr>
      <w:spacing w:before="480" w:after="240"/>
    </w:pPr>
  </w:style>
  <w:style w:type="character" w:styleId="Hyperlink">
    <w:name w:val="Hyperlink"/>
    <w:basedOn w:val="DefaultParagraphFont"/>
    <w:uiPriority w:val="99"/>
    <w:rsid w:val="00FD6F96"/>
    <w:rPr>
      <w:color w:val="0563C1" w:themeColor="hyperlink"/>
      <w:u w:val="single"/>
    </w:rPr>
  </w:style>
  <w:style w:type="paragraph" w:styleId="ListParagraph">
    <w:name w:val="List Paragraph"/>
    <w:basedOn w:val="Normal"/>
    <w:uiPriority w:val="1"/>
    <w:qFormat/>
    <w:rsid w:val="00FD6F96"/>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rsid w:val="002754FC"/>
    <w:pPr>
      <w:tabs>
        <w:tab w:val="center" w:pos="4513"/>
        <w:tab w:val="right" w:pos="9026"/>
      </w:tabs>
    </w:pPr>
  </w:style>
  <w:style w:type="character" w:customStyle="1" w:styleId="FooterChar">
    <w:name w:val="Footer Char"/>
    <w:basedOn w:val="DefaultParagraphFont"/>
    <w:link w:val="Footer"/>
    <w:rsid w:val="002754FC"/>
    <w:rPr>
      <w:sz w:val="24"/>
      <w:lang w:val="el-GR"/>
    </w:rPr>
  </w:style>
  <w:style w:type="character" w:styleId="UnresolvedMention">
    <w:name w:val="Unresolved Mention"/>
    <w:basedOn w:val="DefaultParagraphFont"/>
    <w:uiPriority w:val="99"/>
    <w:semiHidden/>
    <w:unhideWhenUsed/>
    <w:rsid w:val="002754FC"/>
    <w:rPr>
      <w:color w:val="605E5C"/>
      <w:shd w:val="clear" w:color="auto" w:fill="E1DFDD"/>
    </w:rPr>
  </w:style>
  <w:style w:type="paragraph" w:styleId="Revision">
    <w:name w:val="Revision"/>
    <w:hidden/>
    <w:uiPriority w:val="99"/>
    <w:semiHidden/>
    <w:rsid w:val="002754F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36/oj" TargetMode="External"/><Relationship Id="rId13" Type="http://schemas.openxmlformats.org/officeDocument/2006/relationships/hyperlink" Target="http://data.europa.eu/eli/agree_interinstit/2020/122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02/201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 Id="rId1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2572</Words>
  <Characters>15423</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2026-07-07T12:37:00Z</dcterms:created>
  <dcterms:modified xsi:type="dcterms:W3CDTF">2026-07-07T12:37:00Z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A10-0178/2026</vt:lpwstr>
  </property>
  <property fmtid="{D5CDD505-2E9C-101B-9397-08002B2CF9AE}" pid="4" name="&lt;Type&gt;">
    <vt:lpwstr>RR</vt:lpwstr>
  </property>
</Properties>
</file>