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83E1A" w14:paraId="19E11CC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15D4CC2" w14:textId="77777777" w:rsidR="00751A4A" w:rsidRPr="00D83E1A" w:rsidRDefault="00B3150F" w:rsidP="0010095E">
            <w:pPr>
              <w:pStyle w:val="EPName"/>
            </w:pPr>
            <w:r w:rsidRPr="00D83E1A">
              <w:t>Europski parlament</w:t>
            </w:r>
          </w:p>
          <w:p w14:paraId="53569521" w14:textId="77777777" w:rsidR="00751A4A" w:rsidRPr="00D83E1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83E1A">
              <w:t>2024</w:t>
            </w:r>
            <w:r w:rsidR="00817416" w:rsidRPr="00D83E1A">
              <w:t>-202</w:t>
            </w:r>
            <w:r w:rsidRPr="00D83E1A">
              <w:t>9</w:t>
            </w:r>
          </w:p>
        </w:tc>
        <w:tc>
          <w:tcPr>
            <w:tcW w:w="2268" w:type="dxa"/>
            <w:shd w:val="clear" w:color="auto" w:fill="auto"/>
          </w:tcPr>
          <w:p w14:paraId="3BA3E6FC" w14:textId="77777777" w:rsidR="00751A4A" w:rsidRPr="00D83E1A" w:rsidRDefault="00187494" w:rsidP="0010095E">
            <w:pPr>
              <w:pStyle w:val="EPLogo"/>
            </w:pPr>
            <w:r w:rsidRPr="00D83E1A">
              <w:rPr>
                <w:noProof/>
                <w:lang w:eastAsia="ja-JP"/>
              </w:rPr>
              <w:drawing>
                <wp:inline distT="0" distB="0" distL="0" distR="0" wp14:anchorId="421385E7" wp14:editId="0204B9E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C19BFDA" w14:textId="77777777" w:rsidR="00D058B8" w:rsidRPr="00D83E1A" w:rsidRDefault="00D058B8" w:rsidP="004C5D52">
      <w:pPr>
        <w:pStyle w:val="LineTop"/>
      </w:pPr>
    </w:p>
    <w:p w14:paraId="32E20BED" w14:textId="77777777" w:rsidR="00680577" w:rsidRPr="00D83E1A" w:rsidRDefault="00B3150F" w:rsidP="00680577">
      <w:pPr>
        <w:pStyle w:val="EPBodyTA1"/>
      </w:pPr>
      <w:r w:rsidRPr="00D83E1A">
        <w:t>USVOJENI TEKSTOVI</w:t>
      </w:r>
    </w:p>
    <w:p w14:paraId="24F05525" w14:textId="77777777" w:rsidR="00D058B8" w:rsidRPr="00D83E1A" w:rsidRDefault="00D058B8" w:rsidP="00D058B8">
      <w:pPr>
        <w:pStyle w:val="LineBottom"/>
      </w:pPr>
    </w:p>
    <w:p w14:paraId="32FF424F" w14:textId="344FC902" w:rsidR="00B3150F" w:rsidRPr="00D83E1A" w:rsidRDefault="00B3150F" w:rsidP="00B3150F">
      <w:pPr>
        <w:pStyle w:val="ATHeading1"/>
      </w:pPr>
      <w:bookmarkStart w:id="0" w:name="TANumber"/>
      <w:r w:rsidRPr="00D83E1A">
        <w:t>P10_TA(2026)0</w:t>
      </w:r>
      <w:bookmarkEnd w:id="0"/>
      <w:r w:rsidR="002A73F0">
        <w:t>244</w:t>
      </w:r>
    </w:p>
    <w:p w14:paraId="059FB0B0" w14:textId="63BB6E41" w:rsidR="00B3150F" w:rsidRPr="00D83E1A" w:rsidRDefault="00EE6461" w:rsidP="00B3150F">
      <w:pPr>
        <w:pStyle w:val="ATHeading2"/>
      </w:pPr>
      <w:bookmarkStart w:id="1" w:name="title"/>
      <w:r w:rsidRPr="00EE6461">
        <w:rPr>
          <w:bCs/>
        </w:rPr>
        <w:t>Mobilizacija Fonda solidarnosti Europske unije: pružanje pomoći Rumunjskoj, Cipru i Španjolskoj u vezi s prirodnim katastrofama u 2025.</w:t>
      </w:r>
      <w:bookmarkEnd w:id="1"/>
    </w:p>
    <w:p w14:paraId="5A49F733" w14:textId="77777777" w:rsidR="00B3150F" w:rsidRPr="00D83E1A" w:rsidRDefault="00B3150F" w:rsidP="00B3150F">
      <w:pPr>
        <w:rPr>
          <w:i/>
          <w:vanish/>
        </w:rPr>
      </w:pPr>
      <w:r w:rsidRPr="00D83E1A">
        <w:rPr>
          <w:i/>
        </w:rPr>
        <w:fldChar w:fldCharType="begin"/>
      </w:r>
      <w:r w:rsidRPr="00D83E1A">
        <w:rPr>
          <w:i/>
        </w:rPr>
        <w:instrText xml:space="preserve"> TC"(</w:instrText>
      </w:r>
      <w:bookmarkStart w:id="2" w:name="DocNumber"/>
      <w:r w:rsidRPr="00D83E1A">
        <w:rPr>
          <w:i/>
        </w:rPr>
        <w:instrText>A10-0178/2026</w:instrText>
      </w:r>
      <w:bookmarkEnd w:id="2"/>
      <w:r w:rsidRPr="00D83E1A">
        <w:rPr>
          <w:i/>
        </w:rPr>
        <w:instrText xml:space="preserve"> - Izvjestitelj: Bogdan </w:instrText>
      </w:r>
      <w:proofErr w:type="spellStart"/>
      <w:r w:rsidRPr="00D83E1A">
        <w:rPr>
          <w:i/>
        </w:rPr>
        <w:instrText>Rzońca</w:instrText>
      </w:r>
      <w:proofErr w:type="spellEnd"/>
      <w:r w:rsidRPr="00D83E1A">
        <w:rPr>
          <w:i/>
        </w:rPr>
        <w:instrText xml:space="preserve">)"\l3 \n&gt; \* MERGEFORMAT </w:instrText>
      </w:r>
      <w:r w:rsidRPr="00D83E1A">
        <w:rPr>
          <w:i/>
        </w:rPr>
        <w:fldChar w:fldCharType="end"/>
      </w:r>
    </w:p>
    <w:p w14:paraId="629D4042" w14:textId="77777777" w:rsidR="00B3150F" w:rsidRPr="00D83E1A" w:rsidRDefault="00B3150F" w:rsidP="00B3150F">
      <w:pPr>
        <w:rPr>
          <w:vanish/>
        </w:rPr>
      </w:pPr>
      <w:bookmarkStart w:id="3" w:name="Commission"/>
      <w:r w:rsidRPr="00D83E1A">
        <w:rPr>
          <w:vanish/>
        </w:rPr>
        <w:t>Odbor za proračune</w:t>
      </w:r>
      <w:bookmarkEnd w:id="3"/>
    </w:p>
    <w:p w14:paraId="45B710EC" w14:textId="77777777" w:rsidR="00B3150F" w:rsidRPr="00D83E1A" w:rsidRDefault="00B3150F" w:rsidP="00B3150F">
      <w:pPr>
        <w:rPr>
          <w:vanish/>
        </w:rPr>
      </w:pPr>
      <w:bookmarkStart w:id="4" w:name="PE"/>
      <w:r w:rsidRPr="00D83E1A">
        <w:rPr>
          <w:vanish/>
        </w:rPr>
        <w:t>PE789.090</w:t>
      </w:r>
      <w:bookmarkEnd w:id="4"/>
    </w:p>
    <w:p w14:paraId="1B110B9F" w14:textId="0589A8E8" w:rsidR="00B3150F" w:rsidRPr="00D83E1A" w:rsidRDefault="00B3150F" w:rsidP="00B3150F">
      <w:pPr>
        <w:pStyle w:val="ATHeading3"/>
      </w:pPr>
      <w:bookmarkStart w:id="5" w:name="Sujet"/>
      <w:r w:rsidRPr="00D83E1A">
        <w:t xml:space="preserve">Rezolucija Europskog parlamenta od </w:t>
      </w:r>
      <w:r w:rsidR="00EE6461">
        <w:t>7. srpnja</w:t>
      </w:r>
      <w:r w:rsidRPr="00D83E1A">
        <w:t xml:space="preserve"> 2026. o Prijedlogu odluke Europskog parlamenta i Vijeća o mobilizaciji Fonda solidarnosti Europske unije radi pružanja pomoći Rumunjskoj u vezi s poplavama krajem svibnja 2025., Cipru u vezi sa šumskim požarima u srpnju 2025. i Španjolskoj u vezi sa šumskim požarima u kolovozu 2025.</w:t>
      </w:r>
      <w:bookmarkEnd w:id="5"/>
      <w:r w:rsidRPr="00D83E1A">
        <w:t xml:space="preserve"> </w:t>
      </w:r>
      <w:bookmarkStart w:id="6" w:name="References"/>
      <w:r w:rsidRPr="00D83E1A">
        <w:t>(COM(2026)1002 – C10-0119/2026 – 2026/0120(BUD))</w:t>
      </w:r>
      <w:bookmarkEnd w:id="6"/>
    </w:p>
    <w:p w14:paraId="179DAE25" w14:textId="77777777" w:rsidR="009C7C8B" w:rsidRPr="00D83E1A" w:rsidRDefault="009C7C8B" w:rsidP="009C7C8B">
      <w:pPr>
        <w:pStyle w:val="EPComma"/>
        <w:rPr>
          <w:noProof/>
        </w:rPr>
      </w:pPr>
      <w:r w:rsidRPr="00D83E1A">
        <w:rPr>
          <w:i/>
        </w:rPr>
        <w:t>Europski parlament</w:t>
      </w:r>
      <w:r w:rsidRPr="00D83E1A">
        <w:t>,</w:t>
      </w:r>
    </w:p>
    <w:p w14:paraId="172E7A04" w14:textId="77777777" w:rsidR="009C7C8B" w:rsidRPr="00D83E1A" w:rsidRDefault="009C7C8B" w:rsidP="009C7C8B">
      <w:pPr>
        <w:pStyle w:val="NormalHanging12a"/>
        <w:rPr>
          <w:noProof/>
        </w:rPr>
      </w:pPr>
      <w:r w:rsidRPr="00D83E1A">
        <w:t>–</w:t>
      </w:r>
      <w:r w:rsidRPr="00D83E1A">
        <w:tab/>
        <w:t>uzimajući u obzir Prijedlog Komisije upućen Europskom parlamentu i Vijeću (COM(2026)1002 – C10</w:t>
      </w:r>
      <w:r w:rsidRPr="00D83E1A">
        <w:noBreakHyphen/>
        <w:t>0119/2026),</w:t>
      </w:r>
    </w:p>
    <w:p w14:paraId="6D0BA43F" w14:textId="77777777" w:rsidR="009C7C8B" w:rsidRPr="00D83E1A" w:rsidRDefault="009C7C8B" w:rsidP="009C7C8B">
      <w:pPr>
        <w:pStyle w:val="NormalHanging12a"/>
        <w:rPr>
          <w:noProof/>
        </w:rPr>
      </w:pPr>
      <w:r w:rsidRPr="00D83E1A">
        <w:t>–</w:t>
      </w:r>
      <w:r w:rsidRPr="00D83E1A">
        <w:tab/>
        <w:t>uzimajući u obzir Uredbu Vijeća (EZ) br. 2012/2002 od 11. studenoga 2002. o osnivanju Fonda solidarnosti Europske unije</w:t>
      </w:r>
      <w:r w:rsidRPr="00D83E1A">
        <w:rPr>
          <w:rStyle w:val="FootnoteReference"/>
        </w:rPr>
        <w:footnoteReference w:id="1"/>
      </w:r>
      <w:r w:rsidRPr="00D83E1A">
        <w:t>,</w:t>
      </w:r>
    </w:p>
    <w:p w14:paraId="72A8F8F3" w14:textId="77777777" w:rsidR="009C7C8B" w:rsidRPr="00D83E1A" w:rsidRDefault="009C7C8B" w:rsidP="009C7C8B">
      <w:pPr>
        <w:pStyle w:val="NormalHanging12a"/>
        <w:rPr>
          <w:noProof/>
        </w:rPr>
      </w:pPr>
      <w:r w:rsidRPr="00D83E1A">
        <w:t>–</w:t>
      </w:r>
      <w:r w:rsidRPr="00D83E1A">
        <w:tab/>
        <w:t>uzimajući u obzir Uredbu Vijeća (EU, Euratom) 2020/2093 od 17. prosinca 2020. kojom se utvrđuje višegodišnji financijski okvir za razdoblje 2021. – 2027.</w:t>
      </w:r>
      <w:r w:rsidRPr="00D83E1A">
        <w:rPr>
          <w:rStyle w:val="FootnoteReference"/>
          <w:noProof/>
        </w:rPr>
        <w:footnoteReference w:id="2"/>
      </w:r>
      <w:r w:rsidRPr="00D83E1A">
        <w:t>, a posebno njezin članak 9.,</w:t>
      </w:r>
    </w:p>
    <w:p w14:paraId="57636A0D" w14:textId="77777777" w:rsidR="009C7C8B" w:rsidRPr="00D83E1A" w:rsidRDefault="009C7C8B" w:rsidP="009C7C8B">
      <w:pPr>
        <w:pStyle w:val="NormalHanging12a"/>
        <w:rPr>
          <w:noProof/>
        </w:rPr>
      </w:pPr>
      <w:r w:rsidRPr="00D83E1A">
        <w:t>–</w:t>
      </w:r>
      <w:r w:rsidRPr="00D83E1A">
        <w:tab/>
        <w:t xml:space="preserve">uzimajući u obzir </w:t>
      </w:r>
      <w:proofErr w:type="spellStart"/>
      <w:r w:rsidRPr="00D83E1A">
        <w:t>Međuinstitucijski</w:t>
      </w:r>
      <w:proofErr w:type="spellEnd"/>
      <w:r w:rsidRPr="00D83E1A">
        <w:t xml:space="preserve"> sporazum od 16. prosinca 2020. između Europskog parlamenta, Vijeća Europske unije i Europske komisije o proračunskoj disciplini, suradnji u proračunskim pitanjima i dobrom financijskom upravljanju te novim vlastitim sredstvima, uključujući plan za uvođenje novih vlastitih sredstava</w:t>
      </w:r>
      <w:r w:rsidRPr="00D83E1A">
        <w:rPr>
          <w:rStyle w:val="FootnoteReference"/>
          <w:noProof/>
        </w:rPr>
        <w:footnoteReference w:id="3"/>
      </w:r>
      <w:r w:rsidRPr="00D83E1A">
        <w:t>, a posebno njegovu točku 10.,</w:t>
      </w:r>
    </w:p>
    <w:p w14:paraId="1BE86498" w14:textId="77777777" w:rsidR="009C7C8B" w:rsidRPr="00D83E1A" w:rsidRDefault="009C7C8B" w:rsidP="009C7C8B">
      <w:pPr>
        <w:pStyle w:val="NormalHanging12a"/>
        <w:rPr>
          <w:noProof/>
        </w:rPr>
      </w:pPr>
      <w:r w:rsidRPr="00D83E1A">
        <w:t>–</w:t>
      </w:r>
      <w:r w:rsidRPr="00D83E1A">
        <w:tab/>
        <w:t>uzimajući u obzir Uredbu (EU) 2021/1058 Europskog parlamenta i Vijeća od 24. lipnja 2021. o Europskom fondu za regionalni razvoj i Kohezijskom fondu</w:t>
      </w:r>
      <w:r w:rsidRPr="00D83E1A">
        <w:rPr>
          <w:noProof/>
          <w:vertAlign w:val="superscript"/>
        </w:rPr>
        <w:footnoteReference w:id="4"/>
      </w:r>
      <w:r w:rsidRPr="00D83E1A">
        <w:t xml:space="preserve">, </w:t>
      </w:r>
    </w:p>
    <w:p w14:paraId="3D67D5F7" w14:textId="77777777" w:rsidR="009C7C8B" w:rsidRPr="00D83E1A" w:rsidRDefault="009C7C8B" w:rsidP="009C7C8B">
      <w:pPr>
        <w:pStyle w:val="NormalHanging12a"/>
        <w:rPr>
          <w:noProof/>
        </w:rPr>
      </w:pPr>
      <w:r w:rsidRPr="00D83E1A">
        <w:lastRenderedPageBreak/>
        <w:t>–</w:t>
      </w:r>
      <w:r w:rsidRPr="00D83E1A">
        <w:tab/>
        <w:t>uzimajući u obzir Uredbu (EU) 2021/1057 Europskog parlamenta i Vijeća od 24. lipnja 2021. o uspostavi Europskog socijalnog fonda plus (ESF+)</w:t>
      </w:r>
      <w:r w:rsidRPr="00D83E1A">
        <w:rPr>
          <w:noProof/>
          <w:vertAlign w:val="superscript"/>
        </w:rPr>
        <w:footnoteReference w:id="5"/>
      </w:r>
      <w:r w:rsidRPr="00D83E1A">
        <w:t xml:space="preserve">, </w:t>
      </w:r>
    </w:p>
    <w:p w14:paraId="538827CA" w14:textId="77777777" w:rsidR="009C7C8B" w:rsidRPr="00D83E1A" w:rsidRDefault="009C7C8B" w:rsidP="009C7C8B">
      <w:pPr>
        <w:pStyle w:val="NormalHanging12a"/>
        <w:rPr>
          <w:noProof/>
        </w:rPr>
      </w:pPr>
      <w:r w:rsidRPr="00D83E1A">
        <w:t>–</w:t>
      </w:r>
      <w:r w:rsidRPr="00D83E1A">
        <w:tab/>
        <w:t>uzimajući u obzir Uredbu (EU) 2021/2115 Europskog parlamenta i Vijeća od 2. prosinca 2021. o utvrđivanju pravila o potpori za strateške planove koje izrađuju države članice u okviru zajedničke poljoprivredne politike (strateški planovi u okviru ZPP-a) i koji se financiraju iz Europskog fonda za jamstva u poljoprivredi (EFJP) i Europskog poljoprivrednog fonda za ruralni razvoj (EPFRR) te o stavljanju izvan snage uredbi (EU) br. 1305/2013 i (EU) br. 1307/2013</w:t>
      </w:r>
      <w:r w:rsidRPr="00D83E1A">
        <w:rPr>
          <w:rStyle w:val="FootnoteReference"/>
          <w:noProof/>
        </w:rPr>
        <w:footnoteReference w:id="6"/>
      </w:r>
      <w:r w:rsidRPr="00D83E1A">
        <w:t>,</w:t>
      </w:r>
    </w:p>
    <w:p w14:paraId="296B6007" w14:textId="77777777" w:rsidR="009C7C8B" w:rsidRPr="00D83E1A" w:rsidRDefault="009C7C8B" w:rsidP="009C7C8B">
      <w:pPr>
        <w:pStyle w:val="NormalHanging12a"/>
        <w:rPr>
          <w:noProof/>
        </w:rPr>
      </w:pPr>
      <w:r w:rsidRPr="00D83E1A">
        <w:t>–</w:t>
      </w:r>
      <w:r w:rsidRPr="00D83E1A">
        <w:tab/>
        <w:t>uzimajući u obzir svoju Rezoluciju od 17. prosinca 2024. o Prijedlogu uredbe Europskog parlamenta i Vijeća RESTORE – regionalna hitna potpora za obnovu izmjenom Uredbe (EU) 2021/1058 i Uredbe (EU) 2021/1057</w:t>
      </w:r>
      <w:r w:rsidRPr="00D83E1A">
        <w:rPr>
          <w:rStyle w:val="FootnoteReference"/>
          <w:noProof/>
        </w:rPr>
        <w:footnoteReference w:id="7"/>
      </w:r>
      <w:r w:rsidRPr="00D83E1A">
        <w:t>, a posebno priloženu proračunsku procjenu,</w:t>
      </w:r>
    </w:p>
    <w:p w14:paraId="174FB8BF" w14:textId="77777777" w:rsidR="009C7C8B" w:rsidRPr="00D83E1A" w:rsidRDefault="009C7C8B" w:rsidP="009C7C8B">
      <w:pPr>
        <w:pStyle w:val="NormalHanging12a"/>
      </w:pPr>
      <w:r w:rsidRPr="00D83E1A">
        <w:t>–</w:t>
      </w:r>
      <w:r w:rsidRPr="00D83E1A">
        <w:tab/>
        <w:t>uzimajući u obzir izvješće Europske agencije za okoliš br. 1/2024 – Europska procjena klimatskih rizika (EUCRA)</w:t>
      </w:r>
      <w:r w:rsidRPr="00D83E1A">
        <w:rPr>
          <w:rStyle w:val="FootnoteReference"/>
          <w:noProof/>
        </w:rPr>
        <w:footnoteReference w:id="8"/>
      </w:r>
      <w:r w:rsidRPr="00D83E1A">
        <w:t>,</w:t>
      </w:r>
    </w:p>
    <w:p w14:paraId="686F46CF" w14:textId="77777777" w:rsidR="009C7C8B" w:rsidRPr="00D83E1A" w:rsidRDefault="009C7C8B" w:rsidP="009C7C8B">
      <w:pPr>
        <w:spacing w:after="240"/>
        <w:ind w:left="567" w:hanging="567"/>
        <w:rPr>
          <w:noProof/>
        </w:rPr>
      </w:pPr>
      <w:r w:rsidRPr="00D83E1A">
        <w:t>A.</w:t>
      </w:r>
      <w:r w:rsidRPr="00D83E1A">
        <w:tab/>
        <w:t xml:space="preserve">budući da su između 26. svibnja i početka lipnja 2025. Rumunjsku pogodile obilne kiše koje su uzrokovale velike poplave u regijama Centru, Sud </w:t>
      </w:r>
      <w:proofErr w:type="spellStart"/>
      <w:r w:rsidRPr="00D83E1A">
        <w:t>Muntenia</w:t>
      </w:r>
      <w:proofErr w:type="spellEnd"/>
      <w:r w:rsidRPr="00D83E1A">
        <w:t xml:space="preserve"> i Nord </w:t>
      </w:r>
      <w:proofErr w:type="spellStart"/>
      <w:r w:rsidRPr="00D83E1A">
        <w:t>Est</w:t>
      </w:r>
      <w:proofErr w:type="spellEnd"/>
      <w:r w:rsidRPr="00D83E1A">
        <w:t xml:space="preserve">, što je rezultiralo ukupnom izravnom štetom koju je Komisija procijenila na 573,59 milijuna EUR te je utjecalo na kritičnu infrastrukturu, javne usluge i tisuće kućanstava; budući da su poplave nanijele veliku štetu rudniku soli </w:t>
      </w:r>
      <w:proofErr w:type="spellStart"/>
      <w:r w:rsidRPr="00D83E1A">
        <w:t>Praid</w:t>
      </w:r>
      <w:proofErr w:type="spellEnd"/>
      <w:r w:rsidRPr="00D83E1A">
        <w:t xml:space="preserve"> i pripadajućoj hidrotehničkoj infrastrukturi;</w:t>
      </w:r>
    </w:p>
    <w:p w14:paraId="0FFC61B9" w14:textId="77777777" w:rsidR="009C7C8B" w:rsidRPr="00D83E1A" w:rsidRDefault="009C7C8B" w:rsidP="009C7C8B">
      <w:pPr>
        <w:spacing w:after="240"/>
        <w:ind w:left="567" w:hanging="567"/>
        <w:rPr>
          <w:noProof/>
        </w:rPr>
      </w:pPr>
      <w:r w:rsidRPr="00D83E1A">
        <w:t>B.</w:t>
      </w:r>
      <w:r w:rsidRPr="00D83E1A">
        <w:tab/>
        <w:t xml:space="preserve">budući da je u srpnju 2025. nakon dugotrajne suše, ekstremnih toplinskih valova i snažnih vjetrova Cipar pogodio niz dosad nezabilježenih šumskih požara u regijama </w:t>
      </w:r>
      <w:proofErr w:type="spellStart"/>
      <w:r w:rsidRPr="00D83E1A">
        <w:t>Limassol</w:t>
      </w:r>
      <w:proofErr w:type="spellEnd"/>
      <w:r w:rsidRPr="00D83E1A">
        <w:t xml:space="preserve"> i </w:t>
      </w:r>
      <w:proofErr w:type="spellStart"/>
      <w:r w:rsidRPr="00D83E1A">
        <w:t>Pafos</w:t>
      </w:r>
      <w:proofErr w:type="spellEnd"/>
      <w:r w:rsidRPr="00D83E1A">
        <w:t>, što je rezultiralo ukupnom izravnom štetom koju je Komisija procijenila na 252,68 milijuna EUR; budući da su šumski požari pogodili tisuće stanovnika, uništili gotovo 900 privatnih posjeda i prouzročili najmanje dva smrtna slučaja;</w:t>
      </w:r>
    </w:p>
    <w:p w14:paraId="603DA69C" w14:textId="77777777" w:rsidR="009C7C8B" w:rsidRPr="00D83E1A" w:rsidRDefault="009C7C8B" w:rsidP="009C7C8B">
      <w:pPr>
        <w:spacing w:after="240"/>
        <w:ind w:left="567" w:hanging="567"/>
        <w:rPr>
          <w:noProof/>
        </w:rPr>
      </w:pPr>
      <w:r w:rsidRPr="00D83E1A">
        <w:t>C.</w:t>
      </w:r>
      <w:r w:rsidRPr="00D83E1A">
        <w:tab/>
        <w:t>budući da je u kolovozu 2025. Španjolsku pogodio treći val velikih šumskih požara, što je rezultiralo ukupnom izravnom štetom koju je Komisija procijenila na 4,32 milijarde EUR; budući da su požari pogodili 16 autonomnih zajednica, prouzročili veliku ekološku, društvenu i gospodarsku štetu te odnijeli najmanje osam života;</w:t>
      </w:r>
    </w:p>
    <w:p w14:paraId="382D958D" w14:textId="77777777" w:rsidR="009C7C8B" w:rsidRPr="00D83E1A" w:rsidRDefault="009C7C8B" w:rsidP="009C7C8B">
      <w:pPr>
        <w:spacing w:after="240"/>
        <w:ind w:left="567" w:hanging="567"/>
        <w:rPr>
          <w:noProof/>
          <w:szCs w:val="24"/>
        </w:rPr>
      </w:pPr>
      <w:r w:rsidRPr="00D83E1A">
        <w:t>D.</w:t>
      </w:r>
      <w:r w:rsidRPr="00D83E1A">
        <w:tab/>
        <w:t>budući da sve veća ozbiljnost i učestalost poplava i šumskih požara u državama članicama odražava ubrzane učinke klimatskih promjena, što zahtijeva pojačano djelovanje Unije u mjerama prilagodbe, prevencije i otpornosti;</w:t>
      </w:r>
    </w:p>
    <w:p w14:paraId="47CF04C2" w14:textId="77777777" w:rsidR="009C7C8B" w:rsidRPr="00D83E1A" w:rsidRDefault="009C7C8B" w:rsidP="009C7C8B">
      <w:pPr>
        <w:spacing w:after="240"/>
        <w:ind w:left="567" w:hanging="567"/>
        <w:rPr>
          <w:noProof/>
        </w:rPr>
      </w:pPr>
      <w:bookmarkStart w:id="7" w:name="_Hlk230861495"/>
      <w:r w:rsidRPr="00D83E1A">
        <w:t>1.</w:t>
      </w:r>
      <w:r w:rsidRPr="00D83E1A">
        <w:tab/>
        <w:t>izražava svoju najdublju solidarnost sa svim žrtvama, njihovim obiteljima i svim pojedincima koji su pogođeni poplavama u Rumunjskoj krajem svibnja i početkom lipnja 2025., kao i šumskim požarima na Cipru u srpnju 2025. i u Španjolskoj u kolovozu 2025., te s nacionalnim, regionalnim i lokalnim vlastima uključenima u napore za pružanje pomoći;</w:t>
      </w:r>
    </w:p>
    <w:bookmarkEnd w:id="7"/>
    <w:p w14:paraId="6BF66BB4" w14:textId="77777777" w:rsidR="009C7C8B" w:rsidRPr="00D83E1A" w:rsidRDefault="009C7C8B" w:rsidP="009C7C8B">
      <w:pPr>
        <w:spacing w:after="240"/>
        <w:ind w:left="567" w:hanging="567"/>
        <w:rPr>
          <w:noProof/>
        </w:rPr>
      </w:pPr>
      <w:r w:rsidRPr="00D83E1A">
        <w:lastRenderedPageBreak/>
        <w:t>2.</w:t>
      </w:r>
      <w:r w:rsidRPr="00D83E1A">
        <w:tab/>
        <w:t>pozdravlja odluku kao opipljiv i vidljiv oblik solidarnosti Unije s građanima i regijama pogođenima poplavama i šumskim požarima u Rumunjskoj, na Cipru i u Španjolskoj;</w:t>
      </w:r>
    </w:p>
    <w:p w14:paraId="678EC170" w14:textId="77777777" w:rsidR="009C7C8B" w:rsidRPr="00D83E1A" w:rsidRDefault="009C7C8B" w:rsidP="009C7C8B">
      <w:pPr>
        <w:spacing w:after="240"/>
        <w:ind w:left="567" w:hanging="567"/>
        <w:rPr>
          <w:noProof/>
          <w:kern w:val="2"/>
          <w:szCs w:val="24"/>
          <w14:ligatures w14:val="standardContextual"/>
        </w:rPr>
      </w:pPr>
      <w:r w:rsidRPr="00D83E1A">
        <w:t>3.</w:t>
      </w:r>
      <w:r w:rsidRPr="00D83E1A">
        <w:tab/>
        <w:t>ponavlja da je važno informirati javnost o vidljivim koristima koje donosi Fond solidarnosti Europske unije (FSEU), među ostalim radi daljnjeg povećanja svijesti građana o instrumentima i programima Unije te o europskoj solidarnosti u kriznim vremenima, posebno u pogođenim područjima;</w:t>
      </w:r>
    </w:p>
    <w:p w14:paraId="6A9FD900" w14:textId="77777777" w:rsidR="009C7C8B" w:rsidRPr="00D83E1A" w:rsidRDefault="009C7C8B" w:rsidP="009C7C8B">
      <w:pPr>
        <w:spacing w:after="240"/>
        <w:ind w:left="567" w:hanging="567"/>
        <w:rPr>
          <w:bCs/>
          <w:iCs/>
          <w:noProof/>
        </w:rPr>
      </w:pPr>
      <w:r w:rsidRPr="00D83E1A">
        <w:t>4.</w:t>
      </w:r>
      <w:r w:rsidRPr="00D83E1A">
        <w:tab/>
        <w:t>podsjeća da FSEU ima ograničen proračun i da se ne može smatrati jedinim instrumentom za rješavanje velikih prirodnih katastrofa; stoga poziva na procjenu financijskog kapaciteta proračuna Unije; naglašava da je potrebno ubrzati i pojednostaviti sve njegove postupke kako bi se osiguralo da pomoć što prije stigne do pogođenih područja;</w:t>
      </w:r>
    </w:p>
    <w:p w14:paraId="1154C3BF" w14:textId="77777777" w:rsidR="009C7C8B" w:rsidRPr="00D83E1A" w:rsidRDefault="009C7C8B" w:rsidP="009C7C8B">
      <w:pPr>
        <w:spacing w:after="240"/>
        <w:ind w:left="567" w:hanging="567"/>
        <w:rPr>
          <w:noProof/>
          <w:kern w:val="2"/>
          <w:szCs w:val="24"/>
          <w14:ligatures w14:val="standardContextual"/>
        </w:rPr>
      </w:pPr>
      <w:r w:rsidRPr="00D83E1A">
        <w:t>5.</w:t>
      </w:r>
      <w:r w:rsidRPr="00D83E1A">
        <w:tab/>
        <w:t>ističe sve veći broj teških, razornih i smrtonosnih prirodnih katastrofa u Europi te poziva države članice i Komisiju da ulažu u mjere ublažavanja klimatskih promjena i prilagodbe njima kako bi se izbjegli ljudski i gospodarski gubici; poziva države članice da uzmu u obzir da klimatski rizici zbog socioekonomskih čimbenika nerazmjerno utječu na ranjivo stanovništvo; napominje da bi države članice trebale dati prednost mjerama oporavka za potporu pogođenom stanovništvu, prvenstveno ranjivim zajednicama, kako bi se osigurao pristup adekvatnom stanovanju i osnovnim uslugama tijekom oporavka;</w:t>
      </w:r>
      <w:r w:rsidRPr="00D83E1A">
        <w:rPr>
          <w:b/>
          <w:i/>
        </w:rPr>
        <w:t xml:space="preserve"> </w:t>
      </w:r>
      <w:r w:rsidRPr="00D83E1A">
        <w:t>poziva na ulaganje napora kako bi se osiguralo da pomoć FSEU-a brzo stigne do krajnjih primatelja, uključujući poduzeća, MSP-ove, obitelji i pogođene građane, kao i obnovu infrastrukture i popravak materijalne štete, uz odgovarajuću procjenu učinka i odgovarajuće mehanizme kontrole;</w:t>
      </w:r>
      <w:r w:rsidRPr="00D83E1A">
        <w:rPr>
          <w:b/>
          <w:i/>
        </w:rPr>
        <w:t xml:space="preserve"> </w:t>
      </w:r>
      <w:r w:rsidRPr="00D83E1A">
        <w:t>ističe važnost obnove i jačanja kritične infrastrukture, uključujući prometne i energetske, vodoopskrbne, zdravstvene i komunikacijske mreže, kako bi se povećala otpornost pogođenih regija i smanjila osjetljivost na buduće katastrofe;</w:t>
      </w:r>
    </w:p>
    <w:p w14:paraId="7BE63BB1" w14:textId="77777777" w:rsidR="009C7C8B" w:rsidRPr="00D83E1A" w:rsidRDefault="009C7C8B" w:rsidP="009C7C8B">
      <w:pPr>
        <w:spacing w:after="240"/>
        <w:ind w:left="567" w:hanging="567"/>
        <w:rPr>
          <w:noProof/>
          <w:kern w:val="2"/>
          <w:szCs w:val="24"/>
          <w14:ligatures w14:val="standardContextual"/>
        </w:rPr>
      </w:pPr>
      <w:r w:rsidRPr="00D83E1A">
        <w:t>6.</w:t>
      </w:r>
      <w:r w:rsidRPr="00D83E1A">
        <w:tab/>
        <w:t>naglašava da je FSEU samo kurativni instrument te da bi Unija također trebala nastaviti rješavati pitanja prilagodbe klimatskim promjenama i njihova ublažavanja podupiranjem europskih i nacionalnih politika za sprečavanje prirodnih katastrofa; ističe da se u izvješću Europske agencije za okoliš br. 1/2024 „Europska procjena klimatskih rizika” naglašava da je potrebno djelovati u pogledu utvrđenih rizika; poziva države članice i Komisiju da nastave ulagati napore u jačanje otpornosti, poboljšanje pripravnosti i doprinos provedbi obveza u okviru Pariškog sporazuma, uz istodobno osiguravanje učinkovitih kapaciteta za sprečavanje katastrofa, upravljanje rizicima i civilnu zaštitu diljem Unije; također naglašava potrebu za preventivnim mjerama, ne samo kako bi se ublažila buduća šteta, već i kako bi se spriječilo pogoršanje rizičnih uvjeta nakon katastrofalnih događaja, kao što su poplave, šumski požari, odroni tla ili presušivanje jezera i rijeka; naglašava da je važno osigurati odgovarajuću fleksibilnost među različitim programima;</w:t>
      </w:r>
      <w:bookmarkStart w:id="8" w:name="_Hlk233120310"/>
      <w:r w:rsidRPr="00D83E1A">
        <w:t xml:space="preserve"> naglašava da svaka fleksibilnost među različitim programima financiranja mora biti popraćena strogim proračunskim nadzorom kako bi se izbjeglo udvostručavanje ili rasipanje sredstava te da se njome moraju u potpunosti poštovati načela proračunske učinkovitosti i ciljani pokazatelji uspješnosti;</w:t>
      </w:r>
      <w:bookmarkEnd w:id="8"/>
    </w:p>
    <w:p w14:paraId="4A8CF62D" w14:textId="77777777" w:rsidR="009C7C8B" w:rsidRPr="00D83E1A" w:rsidRDefault="009C7C8B" w:rsidP="009C7C8B">
      <w:pPr>
        <w:spacing w:after="240"/>
        <w:ind w:left="567" w:hanging="567"/>
        <w:rPr>
          <w:noProof/>
        </w:rPr>
      </w:pPr>
      <w:r w:rsidRPr="00D83E1A">
        <w:t>7.</w:t>
      </w:r>
      <w:r w:rsidRPr="00D83E1A">
        <w:tab/>
        <w:t>podsjeća da RESTORE</w:t>
      </w:r>
      <w:r w:rsidRPr="00D83E1A">
        <w:rPr>
          <w:rStyle w:val="FootnoteReference"/>
          <w:noProof/>
        </w:rPr>
        <w:footnoteReference w:id="9"/>
      </w:r>
      <w:r w:rsidRPr="00D83E1A">
        <w:t xml:space="preserve"> i posebne mjere u okviru Europskog poljoprivrednog fonda za ruralni razvoj (EPFRR)</w:t>
      </w:r>
      <w:r w:rsidRPr="00D83E1A">
        <w:rPr>
          <w:rStyle w:val="FootnoteReference"/>
          <w:noProof/>
        </w:rPr>
        <w:footnoteReference w:id="10"/>
      </w:r>
      <w:r w:rsidRPr="00D83E1A">
        <w:t xml:space="preserve"> pružaju dodatnu pomoć državama članicama pogođenima </w:t>
      </w:r>
      <w:r w:rsidRPr="00D83E1A">
        <w:lastRenderedPageBreak/>
        <w:t>prirodnim katastrofama jer omogućuju dodatnu fleksibilnost u korištenju sredstava; naglašava da bi države članice trebale iskoristiti te mogućnosti;</w:t>
      </w:r>
    </w:p>
    <w:p w14:paraId="1CCD0660" w14:textId="77777777" w:rsidR="009C7C8B" w:rsidRPr="00D83E1A" w:rsidRDefault="009C7C8B" w:rsidP="009C7C8B">
      <w:pPr>
        <w:spacing w:after="240"/>
        <w:ind w:left="567" w:hanging="567"/>
        <w:rPr>
          <w:rFonts w:eastAsiaTheme="minorHAnsi"/>
          <w:noProof/>
          <w:kern w:val="2"/>
          <w:szCs w:val="24"/>
          <w14:ligatures w14:val="standardContextual"/>
        </w:rPr>
      </w:pPr>
      <w:r w:rsidRPr="00D83E1A">
        <w:t>8.</w:t>
      </w:r>
      <w:r w:rsidRPr="00D83E1A">
        <w:tab/>
        <w:t>podsjeća da je potrebno stvoriti učinkovite sinergije s drugim politikama i programima Unije te naglašava da bi države članice trebale u najvećoj mogućoj mjeri iskoristiti mogućnosti financiranja, posebno iz Europskog fonda za regionalni razvoj, Europskog socijalnog fonda plus i programâ ruralnog razvoja; poziva Komisiju da hitno razmotri sve obrazložene zahtjeve kojima države članice traže da se sredstva u okviru nacionalnih planova za oporavak i otpornost preraspodijele na pomoć u slučaju prirodnih katastrofa, u skladu s pravilima utvrđenima u Uredbi (EU) 2021/241 Europskog parlamenta i Vijeća</w:t>
      </w:r>
      <w:r w:rsidRPr="00D83E1A">
        <w:rPr>
          <w:rFonts w:eastAsiaTheme="minorHAnsi"/>
          <w:noProof/>
          <w:kern w:val="2"/>
          <w:szCs w:val="24"/>
          <w:vertAlign w:val="superscript"/>
          <w:lang w:eastAsia="en-US"/>
        </w:rPr>
        <w:footnoteReference w:id="11"/>
      </w:r>
      <w:r w:rsidRPr="00D83E1A">
        <w:t>; potiče relevantna tijela da osiguraju odgovarajuću i potrebnu koordinaciju između nacionalne, regionalne i lokalne razine kako bi se zajamčilo da se sredstva na svim pogođenim lokacijama raspodjeljuju transparentno, pravedno i neproizvoljno;</w:t>
      </w:r>
    </w:p>
    <w:p w14:paraId="007A452E" w14:textId="77777777" w:rsidR="009C7C8B" w:rsidRPr="00D83E1A" w:rsidRDefault="009C7C8B" w:rsidP="009C7C8B">
      <w:pPr>
        <w:spacing w:after="240"/>
        <w:ind w:left="567" w:hanging="567"/>
        <w:rPr>
          <w:noProof/>
        </w:rPr>
      </w:pPr>
      <w:r w:rsidRPr="00D83E1A">
        <w:t>9.</w:t>
      </w:r>
      <w:r w:rsidRPr="00D83E1A">
        <w:tab/>
        <w:t>naglašava da pomoć koja se pruža u okviru FSEU-a ne bi smjela biti na štetu sredstava Unije koja države članice primaju u okviru drugih politika ili programa Unije; podsjeća da države članice u skladu s primjenjivim pravilima Unije mogu dodijeliti državne potpore, i to prvenstveno poljoprivrednim poduzećima koja su pretrpjela štetu zbog prirodnih katastrofa;</w:t>
      </w:r>
    </w:p>
    <w:p w14:paraId="034E221D" w14:textId="2923EFAC" w:rsidR="002B1F9A" w:rsidRPr="00D83E1A" w:rsidRDefault="009C7C8B" w:rsidP="009C7C8B">
      <w:pPr>
        <w:spacing w:after="240"/>
        <w:ind w:left="567" w:hanging="567"/>
        <w:rPr>
          <w:noProof/>
          <w:kern w:val="2"/>
          <w:szCs w:val="24"/>
          <w14:ligatures w14:val="standardContextual"/>
        </w:rPr>
      </w:pPr>
      <w:r w:rsidRPr="00D83E1A">
        <w:t>10.</w:t>
      </w:r>
      <w:r w:rsidRPr="00D83E1A">
        <w:tab/>
        <w:t xml:space="preserve">podsjeća na važnost brze i pouzdane procjene štete kojom se na odgovarajući način uzimaju u obzir gospodarske posljedice te se poziva na ulaganje većih operativnih napora kako bi se smanjilo prosječno vrijeme za isplatu predujmova i istodobno zajamčila zaštita proračuna Unije; u tom pogledu naglašava da je potrebna potpuna transparentnost, učinkovito praćenje i </w:t>
      </w:r>
      <w:r w:rsidRPr="00D83E1A">
        <w:rPr>
          <w:i/>
          <w:iCs/>
        </w:rPr>
        <w:t>ex post</w:t>
      </w:r>
      <w:r w:rsidRPr="00D83E1A">
        <w:t xml:space="preserve"> kontrola upotrebe sredstava FSEU-a kako bi se osiguralo da sredstva Unije stignu do pogođenih regija i stanovništva; također poziva Komisiju da istraži sve moguće načine za ubrzavanje mobilizacije FSEU-a;</w:t>
      </w:r>
    </w:p>
    <w:p w14:paraId="78773655" w14:textId="77777777" w:rsidR="009C7C8B" w:rsidRDefault="009C7C8B" w:rsidP="009C7C8B">
      <w:pPr>
        <w:spacing w:after="240"/>
        <w:ind w:left="567" w:hanging="567"/>
      </w:pPr>
      <w:r w:rsidRPr="00D83E1A">
        <w:t>11.</w:t>
      </w:r>
      <w:r w:rsidRPr="00D83E1A">
        <w:tab/>
        <w:t>ističe da je hitno potrebno pogođenim građanima, obiteljima, poduzećima i lokalnim zajednicama što brže pružiti neposrednu financijsku pomoć putem FSEU-a kako bi se osiguralo da potpora na vrijeme stigne u Rumunjsku, Cipar i Španjolsku; također potiče Komisiju da istraži sve moguće načine za ubrzavanje mobilizacije FSEU-a, posebno izmjenom postojećih pravila i dodjeljivanjem većih predujmova zemljama podnositeljicama zahtjeva; naglašava važnost skraćivanja vremena između podnošenja zahtjeva za pomoć iz FSEU-a i odluke o financiranju; ističe da je potrebno pojednostavniti i ubrzati unutarnje procedure bez ugrožavanja institucionalne ravnoteže, posebno prava Europskog parlamenta kao jedne grane proračunskog tijela;</w:t>
      </w:r>
    </w:p>
    <w:p w14:paraId="0DE35F60" w14:textId="05A38BEF" w:rsidR="00A579E8" w:rsidRPr="00D83E1A" w:rsidRDefault="002A73F0" w:rsidP="009C7C8B">
      <w:pPr>
        <w:spacing w:after="240"/>
        <w:ind w:left="567" w:hanging="567"/>
        <w:rPr>
          <w:noProof/>
        </w:rPr>
      </w:pPr>
      <w:r>
        <w:rPr>
          <w:noProof/>
        </w:rPr>
        <w:t>12</w:t>
      </w:r>
      <w:r w:rsidR="00A579E8" w:rsidRPr="00A579E8">
        <w:rPr>
          <w:noProof/>
        </w:rPr>
        <w:t>.</w:t>
      </w:r>
      <w:r w:rsidR="00A579E8" w:rsidRPr="00A579E8">
        <w:rPr>
          <w:noProof/>
        </w:rPr>
        <w:tab/>
        <w:t xml:space="preserve">poziva Komisiju da blisko surađuje s rumunjskim vlastima kako bi poduprla obnovu rudnika soli Praid i pogođenih okolnih zajednica te da prepozna njegovu jedinstvenu stratešku važnost za regionalnu gospodarsku otpornost, zapošljavanje, turizam, javno zdravlje, kritičnu infrastrukturu i infrastrukturu za upravljanje vodama; u tom pogledu poziva na potpunu mobilizaciju svih relevantnih instrumenata financiranja Unije te na primjenu maksimalne dostupne fleksibilnosti u skladu s postojećim pravilima Unije kako bi se ubrzao oporavak, obnovile osnovne usluge, poduprlo lokalno gospodarstvo i ojačala dugoročna otpornost te regije na buduće rizike povezane s poplavama; s </w:t>
      </w:r>
      <w:r w:rsidR="00A579E8" w:rsidRPr="00A579E8">
        <w:rPr>
          <w:noProof/>
        </w:rPr>
        <w:lastRenderedPageBreak/>
        <w:t>obzirom na razmjere izazova te njihov društveni i gospodarski učinak, poziva Komisiju da utvrdi dodatne financijske instrumente i mehanizme solidarnosti za potporu pogođenim radnicima i regijama, uključujući veću fleksibilnost u korištenju fondova kohezijske politike, mobilizaciju Europskog socijalnog fonda plus (ESF+), Europskog fonda za prilagodbu globalizaciji za radnike koji su proglašeni viškom (EGF) i svih drugih relevantnih financijskih instrumenata Unije;</w:t>
      </w:r>
    </w:p>
    <w:p w14:paraId="106C5F21" w14:textId="6682A634" w:rsidR="009C7C8B" w:rsidRPr="00D83E1A" w:rsidRDefault="002A73F0" w:rsidP="009C7C8B">
      <w:pPr>
        <w:pStyle w:val="NormalHanging12a"/>
        <w:rPr>
          <w:noProof/>
        </w:rPr>
      </w:pPr>
      <w:r>
        <w:t>13</w:t>
      </w:r>
      <w:r w:rsidR="009C7C8B" w:rsidRPr="00D83E1A">
        <w:t>.</w:t>
      </w:r>
      <w:r w:rsidR="009C7C8B" w:rsidRPr="00D83E1A">
        <w:tab/>
        <w:t>odobrava Odluku priloženu ovoj Rezoluciji;</w:t>
      </w:r>
    </w:p>
    <w:p w14:paraId="288A3F65" w14:textId="3D2F15CC" w:rsidR="009C7C8B" w:rsidRPr="00D83E1A" w:rsidRDefault="002A73F0" w:rsidP="009C7C8B">
      <w:pPr>
        <w:pStyle w:val="NormalHanging12a"/>
        <w:rPr>
          <w:noProof/>
        </w:rPr>
      </w:pPr>
      <w:r>
        <w:t>14</w:t>
      </w:r>
      <w:r w:rsidR="009C7C8B" w:rsidRPr="00D83E1A">
        <w:t>.</w:t>
      </w:r>
      <w:r w:rsidR="009C7C8B" w:rsidRPr="00D83E1A">
        <w:tab/>
        <w:t xml:space="preserve">nalaže svojoj predsjednici da potpiše ovu Odluku zajedno s predsjednikom Vijeća te da je da na objavu u </w:t>
      </w:r>
      <w:r w:rsidR="009C7C8B" w:rsidRPr="00D83E1A">
        <w:rPr>
          <w:i/>
        </w:rPr>
        <w:t>Službenom listu Europske unije</w:t>
      </w:r>
      <w:r w:rsidR="009C7C8B" w:rsidRPr="00D83E1A">
        <w:t>;</w:t>
      </w:r>
    </w:p>
    <w:p w14:paraId="7E21BFD9" w14:textId="52640515" w:rsidR="009C7C8B" w:rsidRPr="00D83E1A" w:rsidRDefault="002A73F0" w:rsidP="00EE6461">
      <w:pPr>
        <w:pStyle w:val="NormalHanging12a"/>
        <w:rPr>
          <w:noProof/>
        </w:rPr>
      </w:pPr>
      <w:r>
        <w:t>15</w:t>
      </w:r>
      <w:r w:rsidR="009C7C8B" w:rsidRPr="00D83E1A">
        <w:t>.</w:t>
      </w:r>
      <w:r w:rsidR="009C7C8B" w:rsidRPr="00D83E1A">
        <w:tab/>
        <w:t>nalaže svojoj predsjednici da ovu Rezoluciju, zajedno s njezinim Prilogom, proslijedi Vijeću i Komisiji.</w:t>
      </w:r>
    </w:p>
    <w:p w14:paraId="6FC9DBF8" w14:textId="77777777" w:rsidR="009C7C8B" w:rsidRPr="00D83E1A" w:rsidRDefault="009C7C8B" w:rsidP="009C7C8B">
      <w:pPr>
        <w:pStyle w:val="PageHeading"/>
        <w:rPr>
          <w:noProof/>
        </w:rPr>
        <w:sectPr w:rsidR="009C7C8B" w:rsidRPr="00D83E1A" w:rsidSect="00D83E1A">
          <w:footerReference w:type="even" r:id="rId9"/>
          <w:footerReference w:type="first" r:id="rId10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2E08A7EA" w14:textId="77777777" w:rsidR="009C7C8B" w:rsidRPr="00D83E1A" w:rsidRDefault="009C7C8B" w:rsidP="009C7C8B">
      <w:pPr>
        <w:pStyle w:val="PageHeading"/>
        <w:rPr>
          <w:noProof/>
        </w:rPr>
      </w:pPr>
      <w:bookmarkStart w:id="9" w:name="_Toc233874453"/>
      <w:r w:rsidRPr="00D83E1A">
        <w:lastRenderedPageBreak/>
        <w:t>PRILOG: ODLUKA EUROPSKOG PARLAMENTA I VIJEĆA</w:t>
      </w:r>
      <w:bookmarkEnd w:id="9"/>
    </w:p>
    <w:p w14:paraId="1D1E885D" w14:textId="77777777" w:rsidR="009C7C8B" w:rsidRPr="00D83E1A" w:rsidRDefault="009C7C8B" w:rsidP="009C7C8B">
      <w:pPr>
        <w:pStyle w:val="NormalBold24a"/>
      </w:pPr>
      <w:r w:rsidRPr="00D83E1A">
        <w:t>o mobilizaciji Fonda solidarnosti Europske unije radi pružanja pomoći Rumunjskoj u vezi s poplavama koje su se dogodile krajem svibnja 2025., Cipru nakon šumskih požara koji su se dogodili u srpnju 2025. te Španjolskoj nakon šumskih požara koji su se dogodili u kolovozu 2025.</w:t>
      </w:r>
    </w:p>
    <w:p w14:paraId="37620EC9" w14:textId="77777777" w:rsidR="009C7C8B" w:rsidRPr="00D83E1A" w:rsidRDefault="009C7C8B" w:rsidP="009C7C8B">
      <w:pPr>
        <w:pStyle w:val="NormalHanging12a"/>
      </w:pPr>
      <w:r w:rsidRPr="00D83E1A">
        <w:t>EUROPSKI PARLAMENT I VIJEĆE EUROPSKE UNIJE,</w:t>
      </w:r>
    </w:p>
    <w:p w14:paraId="47DDF4EF" w14:textId="77777777" w:rsidR="009C7C8B" w:rsidRPr="00D83E1A" w:rsidRDefault="009C7C8B" w:rsidP="002A73F0">
      <w:pPr>
        <w:pStyle w:val="NormalHanging12a"/>
        <w:spacing w:line="360" w:lineRule="auto"/>
        <w:ind w:left="0" w:firstLine="0"/>
      </w:pPr>
      <w:r w:rsidRPr="00D83E1A">
        <w:t>uzimajući u obzir Ugovor o funkcioniranju Europske unije,</w:t>
      </w:r>
    </w:p>
    <w:p w14:paraId="290A4C58" w14:textId="77777777" w:rsidR="009C7C8B" w:rsidRPr="00D83E1A" w:rsidRDefault="009C7C8B" w:rsidP="002A73F0">
      <w:pPr>
        <w:pStyle w:val="NormalHanging12a"/>
        <w:spacing w:line="360" w:lineRule="auto"/>
        <w:ind w:left="0" w:firstLine="0"/>
      </w:pPr>
      <w:r w:rsidRPr="00D83E1A">
        <w:t>uzimajući u obzir Uredbu Vijeća (EZ) br. 2012/2002 od 11. studenoga 2002. o osnivanju Fonda solidarnosti Europske unije</w:t>
      </w:r>
      <w:r w:rsidRPr="00D83E1A">
        <w:rPr>
          <w:vertAlign w:val="superscript"/>
        </w:rPr>
        <w:footnoteReference w:id="12"/>
      </w:r>
      <w:r w:rsidRPr="00D83E1A">
        <w:t>, a posebno njezin članak 4. stavak 3.,</w:t>
      </w:r>
    </w:p>
    <w:p w14:paraId="0B1F8571" w14:textId="77777777" w:rsidR="009C7C8B" w:rsidRPr="00D83E1A" w:rsidRDefault="009C7C8B" w:rsidP="002A73F0">
      <w:pPr>
        <w:tabs>
          <w:tab w:val="left" w:pos="567"/>
          <w:tab w:val="left" w:pos="1134"/>
        </w:tabs>
        <w:spacing w:after="240" w:line="360" w:lineRule="auto"/>
        <w:rPr>
          <w:noProof/>
          <w:szCs w:val="24"/>
        </w:rPr>
      </w:pPr>
      <w:r w:rsidRPr="00D83E1A">
        <w:t>uzimajući u obzir Uredbu Vijeća (EU, Euratom) 2020/2093 od 17. prosinca 2020. kojom se utvrđuje višegodišnji financijski okvir za razdoblje 2021. – 2027.</w:t>
      </w:r>
      <w:r w:rsidRPr="00D83E1A">
        <w:rPr>
          <w:rStyle w:val="FootnoteReference"/>
          <w:noProof/>
          <w:szCs w:val="24"/>
        </w:rPr>
        <w:footnoteReference w:id="13"/>
      </w:r>
      <w:r w:rsidRPr="00D83E1A">
        <w:t>, a posebno njezin članak 9.,</w:t>
      </w:r>
    </w:p>
    <w:p w14:paraId="18B5DEA3" w14:textId="77777777" w:rsidR="009C7C8B" w:rsidRPr="00D83E1A" w:rsidRDefault="009C7C8B" w:rsidP="002A73F0">
      <w:pPr>
        <w:pStyle w:val="NormalHanging12a"/>
        <w:spacing w:line="360" w:lineRule="auto"/>
        <w:ind w:left="0" w:firstLine="0"/>
      </w:pPr>
      <w:r w:rsidRPr="00D83E1A">
        <w:t xml:space="preserve">uzimajući u obzir </w:t>
      </w:r>
      <w:proofErr w:type="spellStart"/>
      <w:r w:rsidRPr="00D83E1A">
        <w:t>Međuinstitucijski</w:t>
      </w:r>
      <w:proofErr w:type="spellEnd"/>
      <w:r w:rsidRPr="00D83E1A">
        <w:t xml:space="preserve"> sporazum od 16. prosinca 2020. između Europskog parlamenta, Vijeća Europske unije i Europske komisije o proračunskoj disciplini, suradnji u proračunskim pitanjima i dobrom financijskom upravljanju te novim vlastitim sredstvima, uključujući plan za uvođenje novih vlastitih sredstava</w:t>
      </w:r>
      <w:r w:rsidRPr="00D83E1A">
        <w:rPr>
          <w:vertAlign w:val="superscript"/>
        </w:rPr>
        <w:footnoteReference w:id="14"/>
      </w:r>
      <w:r w:rsidRPr="00D83E1A">
        <w:t>, a posebno njegovu točku 10.,</w:t>
      </w:r>
    </w:p>
    <w:p w14:paraId="142AD90D" w14:textId="77777777" w:rsidR="009C7C8B" w:rsidRPr="00D83E1A" w:rsidRDefault="009C7C8B" w:rsidP="002A73F0">
      <w:pPr>
        <w:pStyle w:val="NormalHanging12a"/>
        <w:spacing w:line="360" w:lineRule="auto"/>
        <w:ind w:left="0" w:firstLine="0"/>
      </w:pPr>
      <w:r w:rsidRPr="00D83E1A">
        <w:t>uzimajući u obzir prijedlog Europske komisije,</w:t>
      </w:r>
    </w:p>
    <w:p w14:paraId="4AD5864A" w14:textId="77777777" w:rsidR="009C7C8B" w:rsidRPr="00D83E1A" w:rsidRDefault="009C7C8B" w:rsidP="002A73F0">
      <w:pPr>
        <w:pStyle w:val="NormalHanging12a"/>
        <w:spacing w:line="360" w:lineRule="auto"/>
      </w:pPr>
      <w:r w:rsidRPr="00D83E1A">
        <w:t>budući da:</w:t>
      </w:r>
    </w:p>
    <w:p w14:paraId="7C8D920E" w14:textId="77777777" w:rsidR="009C7C8B" w:rsidRPr="00D83E1A" w:rsidRDefault="009C7C8B" w:rsidP="002A73F0">
      <w:pPr>
        <w:pStyle w:val="NormalHanging12a"/>
        <w:spacing w:line="360" w:lineRule="auto"/>
      </w:pPr>
      <w:r w:rsidRPr="00D83E1A">
        <w:t>(1)</w:t>
      </w:r>
      <w:r w:rsidRPr="00D83E1A">
        <w:tab/>
        <w:t>Fondom solidarnosti Europske unije („Fond”) Uniji se želi omogućiti da brzo, učinkovito i fleksibilno reagira na izvanredne situacije kako bi pokazala solidarnost sa stanovništvom regija pogođenih velikim ili regionalnim prirodnim katastrofama ili izvanrednim stanjem velikih razmjera u području javnog zdravlja.</w:t>
      </w:r>
    </w:p>
    <w:p w14:paraId="5E2926BC" w14:textId="77777777" w:rsidR="009C7C8B" w:rsidRPr="00D83E1A" w:rsidRDefault="009C7C8B" w:rsidP="002A73F0">
      <w:pPr>
        <w:pStyle w:val="NormalHanging12a"/>
        <w:spacing w:line="360" w:lineRule="auto"/>
      </w:pPr>
      <w:r w:rsidRPr="00D83E1A">
        <w:t>(2)</w:t>
      </w:r>
      <w:r w:rsidRPr="00D83E1A">
        <w:tab/>
        <w:t>Fond ne smije premašiti gornje granice utvrđene člankom 9. Uredbe Vijeća (EU, Euratom) 2020/2093, kako je izmijenjena Uredbom (EU, Euratom) 2024/765</w:t>
      </w:r>
      <w:r w:rsidRPr="00D83E1A">
        <w:rPr>
          <w:b/>
          <w:bCs/>
          <w:noProof/>
          <w:vertAlign w:val="superscript"/>
        </w:rPr>
        <w:footnoteReference w:id="15"/>
      </w:r>
      <w:r w:rsidRPr="00D83E1A">
        <w:t>.</w:t>
      </w:r>
    </w:p>
    <w:p w14:paraId="6BBFD9AE" w14:textId="77777777" w:rsidR="009C7C8B" w:rsidRPr="00D83E1A" w:rsidRDefault="009C7C8B" w:rsidP="002A73F0">
      <w:pPr>
        <w:pStyle w:val="NormalHanging12a"/>
        <w:spacing w:line="360" w:lineRule="auto"/>
      </w:pPr>
      <w:r w:rsidRPr="00D83E1A">
        <w:lastRenderedPageBreak/>
        <w:t>(3)</w:t>
      </w:r>
      <w:r w:rsidRPr="00D83E1A">
        <w:tab/>
        <w:t xml:space="preserve">Rumunjska je 14. kolovoza 2025. podnijela zahtjev za mobilizaciju Fonda nakon poplava koje su se dogodile krajem svibnja i početkom lipnja 2025. </w:t>
      </w:r>
    </w:p>
    <w:p w14:paraId="3A0ECAD1" w14:textId="77777777" w:rsidR="009C7C8B" w:rsidRPr="00D83E1A" w:rsidRDefault="009C7C8B" w:rsidP="002A73F0">
      <w:pPr>
        <w:pStyle w:val="NormalHanging12a"/>
        <w:spacing w:line="360" w:lineRule="auto"/>
      </w:pPr>
      <w:r w:rsidRPr="00D83E1A">
        <w:t>(4)</w:t>
      </w:r>
      <w:r w:rsidRPr="00D83E1A">
        <w:tab/>
        <w:t xml:space="preserve">Cipar je 14. listopada 2025. podnio zahtjev za mobilizaciju Fonda nakon šumskih požara koji su se dogodili u srpnju 2025. </w:t>
      </w:r>
    </w:p>
    <w:p w14:paraId="64878F43" w14:textId="77777777" w:rsidR="009C7C8B" w:rsidRPr="00D83E1A" w:rsidRDefault="009C7C8B" w:rsidP="002A73F0">
      <w:pPr>
        <w:pStyle w:val="NormalHanging12a"/>
        <w:spacing w:line="360" w:lineRule="auto"/>
      </w:pPr>
      <w:r w:rsidRPr="00D83E1A">
        <w:t>(5)</w:t>
      </w:r>
      <w:r w:rsidRPr="00D83E1A">
        <w:tab/>
        <w:t xml:space="preserve">Španjolska je 30. listopada 2025. podnijela zahtjev za mobilizaciju Fonda nakon šumskih požara koji su se dogodili u kolovozu 2025. </w:t>
      </w:r>
    </w:p>
    <w:p w14:paraId="3F8FE74A" w14:textId="77777777" w:rsidR="009C7C8B" w:rsidRPr="00D83E1A" w:rsidRDefault="009C7C8B" w:rsidP="002A73F0">
      <w:pPr>
        <w:pStyle w:val="NormalHanging12a"/>
        <w:spacing w:line="360" w:lineRule="auto"/>
      </w:pPr>
      <w:r w:rsidRPr="00D83E1A">
        <w:t>(6)</w:t>
      </w:r>
      <w:r w:rsidRPr="00D83E1A">
        <w:tab/>
        <w:t xml:space="preserve">Navedeni zahtjevi udovoljavaju uvjetima za osiguravanje financijskog doprinosa iz Fonda, utvrđenima člankom 4. Uredbe (EZ) br. 2012/2002. </w:t>
      </w:r>
    </w:p>
    <w:p w14:paraId="0EA8D595" w14:textId="77777777" w:rsidR="009C7C8B" w:rsidRPr="00D83E1A" w:rsidRDefault="009C7C8B" w:rsidP="002A73F0">
      <w:pPr>
        <w:pStyle w:val="NormalHanging12a"/>
        <w:spacing w:line="360" w:lineRule="auto"/>
      </w:pPr>
      <w:r w:rsidRPr="00D83E1A">
        <w:t>(7)</w:t>
      </w:r>
      <w:r w:rsidRPr="00D83E1A">
        <w:tab/>
        <w:t xml:space="preserve">Stoga bi trebalo mobilizirati Fond kako bi se osigurao financijski doprinos za Rumunjsku, Cipar i Španjolsku. </w:t>
      </w:r>
    </w:p>
    <w:p w14:paraId="7E16647B" w14:textId="77777777" w:rsidR="009C7C8B" w:rsidRPr="00D83E1A" w:rsidRDefault="009C7C8B" w:rsidP="002A73F0">
      <w:pPr>
        <w:pStyle w:val="NormalHanging12a"/>
        <w:spacing w:line="360" w:lineRule="auto"/>
      </w:pPr>
      <w:r w:rsidRPr="00D83E1A">
        <w:t>(8)</w:t>
      </w:r>
      <w:r w:rsidRPr="00D83E1A">
        <w:tab/>
        <w:t xml:space="preserve">Kako bi se osiguralo da se financijska pomoć Unije može što prije staviti na raspolaganje pogođenim državama članicama i kako bi se izbjegla kašnjenja u mobilizaciji Fonda solidarnosti Europske unije, ova bi Odluka trebala hitno stupiti na snagu na dan objave u </w:t>
      </w:r>
      <w:r w:rsidRPr="00D83E1A">
        <w:rPr>
          <w:i/>
        </w:rPr>
        <w:t>Službenom listu Europske unije</w:t>
      </w:r>
      <w:r w:rsidRPr="00D83E1A">
        <w:t xml:space="preserve"> te bi se trebala primjenjivati od dana njezina donošenja,</w:t>
      </w:r>
    </w:p>
    <w:p w14:paraId="3C19BB18" w14:textId="77777777" w:rsidR="009C7C8B" w:rsidRPr="00D83E1A" w:rsidRDefault="009C7C8B" w:rsidP="002A73F0">
      <w:pPr>
        <w:pStyle w:val="NormalHanging12a"/>
        <w:spacing w:line="360" w:lineRule="auto"/>
      </w:pPr>
      <w:r w:rsidRPr="00D83E1A">
        <w:t>DONIJELI SU OVU ODLUKU:</w:t>
      </w:r>
    </w:p>
    <w:p w14:paraId="422B5DA9" w14:textId="77777777" w:rsidR="009C7C8B" w:rsidRPr="00D83E1A" w:rsidRDefault="009C7C8B" w:rsidP="009C7C8B">
      <w:pPr>
        <w:pStyle w:val="NormalHanging12a"/>
        <w:jc w:val="center"/>
        <w:rPr>
          <w:i/>
        </w:rPr>
      </w:pPr>
      <w:r w:rsidRPr="00D83E1A">
        <w:rPr>
          <w:i/>
        </w:rPr>
        <w:t>Članak 1.</w:t>
      </w:r>
    </w:p>
    <w:p w14:paraId="14B50359" w14:textId="77777777" w:rsidR="009C7C8B" w:rsidRPr="00D83E1A" w:rsidRDefault="009C7C8B" w:rsidP="002A73F0">
      <w:pPr>
        <w:pStyle w:val="NormalHanging12a"/>
        <w:spacing w:line="360" w:lineRule="auto"/>
        <w:ind w:left="0" w:firstLine="0"/>
      </w:pPr>
      <w:r w:rsidRPr="00D83E1A">
        <w:t>U okviru općeg proračuna Unije za financijsku godinu 2026. mobilizira se Fond solidarnosti Europske unije te se u odobrenim sredstvima za preuzimanje obveza i odobrenim sredstvima za plaćanje u vezi s prirodnim katastrofama osiguravaju sljedeći iznosi:</w:t>
      </w:r>
    </w:p>
    <w:p w14:paraId="7F4E36D5" w14:textId="77777777" w:rsidR="009C7C8B" w:rsidRPr="00D83E1A" w:rsidRDefault="009C7C8B" w:rsidP="002A73F0">
      <w:pPr>
        <w:pStyle w:val="NormalHanging12a"/>
        <w:spacing w:line="360" w:lineRule="auto"/>
      </w:pPr>
      <w:r w:rsidRPr="00D83E1A">
        <w:t>(a)</w:t>
      </w:r>
      <w:r w:rsidRPr="00D83E1A">
        <w:tab/>
        <w:t xml:space="preserve">iznos od 14 339 675 EUR za Rumunjsku nakon poplava koje su se dogodile krajem svibnja i početkom lipnja 2025.; </w:t>
      </w:r>
    </w:p>
    <w:p w14:paraId="769A90D9" w14:textId="77777777" w:rsidR="009C7C8B" w:rsidRPr="00D83E1A" w:rsidRDefault="009C7C8B" w:rsidP="002A73F0">
      <w:pPr>
        <w:pStyle w:val="NormalHanging12a"/>
        <w:spacing w:line="360" w:lineRule="auto"/>
      </w:pPr>
      <w:r w:rsidRPr="00D83E1A">
        <w:t>(b)</w:t>
      </w:r>
      <w:r w:rsidRPr="00D83E1A">
        <w:tab/>
        <w:t>iznos od 9 209 223 EUR za Cipar nakon šumskih požara koji su se dogodili u srpnju 2025.;</w:t>
      </w:r>
    </w:p>
    <w:p w14:paraId="22B3BE42" w14:textId="77777777" w:rsidR="009C7C8B" w:rsidRPr="00D83E1A" w:rsidRDefault="009C7C8B" w:rsidP="002A73F0">
      <w:pPr>
        <w:pStyle w:val="NormalHanging12a"/>
        <w:spacing w:line="360" w:lineRule="auto"/>
      </w:pPr>
      <w:r w:rsidRPr="00D83E1A">
        <w:t>(c)</w:t>
      </w:r>
      <w:r w:rsidRPr="00D83E1A">
        <w:tab/>
        <w:t xml:space="preserve">iznos od 120 550 858 EUR za Španjolsku nakon šumskih požara koji su se dogodili u kolovozu 2025. </w:t>
      </w:r>
    </w:p>
    <w:p w14:paraId="6496B354" w14:textId="77777777" w:rsidR="009C7C8B" w:rsidRPr="00D83E1A" w:rsidRDefault="009C7C8B" w:rsidP="009C7C8B">
      <w:pPr>
        <w:pStyle w:val="NormalHanging12a"/>
        <w:jc w:val="center"/>
        <w:rPr>
          <w:i/>
        </w:rPr>
      </w:pPr>
      <w:r w:rsidRPr="00D83E1A">
        <w:rPr>
          <w:i/>
        </w:rPr>
        <w:t>Članak 2.</w:t>
      </w:r>
    </w:p>
    <w:p w14:paraId="046A970E" w14:textId="77777777" w:rsidR="009C7C8B" w:rsidRPr="00D83E1A" w:rsidRDefault="009C7C8B" w:rsidP="009C7C8B">
      <w:pPr>
        <w:pStyle w:val="NormalHanging12a"/>
        <w:ind w:left="0" w:firstLine="0"/>
      </w:pPr>
      <w:r w:rsidRPr="00D83E1A">
        <w:t xml:space="preserve">Ova Odluka stupa na snagu na dan objave u </w:t>
      </w:r>
      <w:r w:rsidRPr="00D83E1A">
        <w:rPr>
          <w:i/>
        </w:rPr>
        <w:t>Službenom listu Europske unije</w:t>
      </w:r>
      <w:r w:rsidRPr="00D83E1A">
        <w:t>.</w:t>
      </w:r>
    </w:p>
    <w:p w14:paraId="08319908" w14:textId="77777777" w:rsidR="009C7C8B" w:rsidRPr="00D83E1A" w:rsidRDefault="009C7C8B" w:rsidP="009C7C8B">
      <w:pPr>
        <w:pStyle w:val="NormalHanging12a"/>
        <w:rPr>
          <w:i/>
        </w:rPr>
      </w:pPr>
      <w:r w:rsidRPr="00D83E1A">
        <w:t>Primjenjuje se od [</w:t>
      </w:r>
      <w:r w:rsidRPr="00D83E1A">
        <w:rPr>
          <w:i/>
        </w:rPr>
        <w:t>datum donošenja</w:t>
      </w:r>
      <w:r w:rsidRPr="00D83E1A">
        <w:t>]</w:t>
      </w:r>
      <w:r w:rsidRPr="00D83E1A">
        <w:rPr>
          <w:vertAlign w:val="superscript"/>
        </w:rPr>
        <w:footnoteReference w:customMarkFollows="1" w:id="16"/>
        <w:t>*</w:t>
      </w:r>
      <w:r w:rsidRPr="00D83E1A">
        <w:t>.</w:t>
      </w:r>
    </w:p>
    <w:p w14:paraId="71C86A12" w14:textId="77777777" w:rsidR="009C7C8B" w:rsidRPr="00D83E1A" w:rsidRDefault="009C7C8B" w:rsidP="009C7C8B">
      <w:pPr>
        <w:pStyle w:val="NormalHanging12a"/>
        <w:rPr>
          <w:i/>
        </w:rPr>
      </w:pPr>
    </w:p>
    <w:p w14:paraId="309A2E26" w14:textId="1093BCF2" w:rsidR="009C7C8B" w:rsidRPr="00D83E1A" w:rsidRDefault="009C7C8B" w:rsidP="009C7C8B">
      <w:pPr>
        <w:jc w:val="both"/>
      </w:pPr>
      <w:r w:rsidRPr="00D83E1A">
        <w:t xml:space="preserve">Sastavljeno u </w:t>
      </w:r>
      <w:r w:rsidR="00EE6461">
        <w:t>..</w:t>
      </w:r>
      <w:r w:rsidRPr="00D83E1A">
        <w:t>.</w:t>
      </w:r>
    </w:p>
    <w:p w14:paraId="25E93A27" w14:textId="77777777" w:rsidR="009C7C8B" w:rsidRPr="00D83E1A" w:rsidRDefault="009C7C8B" w:rsidP="009C7C8B">
      <w:pPr>
        <w:jc w:val="both"/>
      </w:pPr>
    </w:p>
    <w:p w14:paraId="7F68B58B" w14:textId="3D7A6C0B" w:rsidR="009C7C8B" w:rsidRPr="00D83E1A" w:rsidRDefault="009C7C8B" w:rsidP="009C7C8B">
      <w:pPr>
        <w:jc w:val="both"/>
      </w:pPr>
      <w:r w:rsidRPr="00D83E1A">
        <w:rPr>
          <w:i/>
          <w:iCs/>
        </w:rPr>
        <w:t>Za Europski parlament</w:t>
      </w:r>
      <w:r w:rsidRPr="00D83E1A">
        <w:tab/>
      </w:r>
      <w:r w:rsidRPr="00D83E1A">
        <w:tab/>
      </w:r>
      <w:r w:rsidR="002A73F0">
        <w:tab/>
      </w:r>
      <w:r w:rsidR="002A73F0">
        <w:tab/>
      </w:r>
      <w:r w:rsidRPr="00D83E1A">
        <w:rPr>
          <w:i/>
          <w:iCs/>
        </w:rPr>
        <w:t>Za Vijeće</w:t>
      </w:r>
    </w:p>
    <w:p w14:paraId="6F098B5B" w14:textId="0EC43F59" w:rsidR="009C7C8B" w:rsidRPr="00D83E1A" w:rsidRDefault="009C7C8B" w:rsidP="009C7C8B">
      <w:pPr>
        <w:jc w:val="both"/>
      </w:pPr>
      <w:r w:rsidRPr="00D83E1A">
        <w:rPr>
          <w:i/>
          <w:iCs/>
        </w:rPr>
        <w:t>Predsjednica</w:t>
      </w:r>
      <w:r w:rsidRPr="00D83E1A">
        <w:tab/>
      </w:r>
      <w:r w:rsidRPr="00D83E1A">
        <w:tab/>
      </w:r>
      <w:r w:rsidRPr="00D83E1A">
        <w:tab/>
      </w:r>
      <w:r w:rsidRPr="00D83E1A">
        <w:tab/>
      </w:r>
      <w:r w:rsidRPr="00D83E1A">
        <w:rPr>
          <w:i/>
          <w:iCs/>
        </w:rPr>
        <w:t>Predsjednik/Predsjednica</w:t>
      </w:r>
    </w:p>
    <w:p w14:paraId="7FAF247E" w14:textId="294BF4E8" w:rsidR="00E365E1" w:rsidRPr="00D83E1A" w:rsidRDefault="00E365E1" w:rsidP="00B3150F"/>
    <w:sectPr w:rsidR="00E365E1" w:rsidRPr="00D83E1A" w:rsidSect="00D83E1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E5E11F" w14:textId="77777777" w:rsidR="00B3150F" w:rsidRPr="00D83E1A" w:rsidRDefault="00B3150F">
      <w:r w:rsidRPr="00D83E1A">
        <w:separator/>
      </w:r>
    </w:p>
  </w:endnote>
  <w:endnote w:type="continuationSeparator" w:id="0">
    <w:p w14:paraId="35221DB0" w14:textId="77777777" w:rsidR="00B3150F" w:rsidRPr="00D83E1A" w:rsidRDefault="00B3150F">
      <w:r w:rsidRPr="00D83E1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E1603" w14:textId="77777777" w:rsidR="009C7C8B" w:rsidRPr="00D83E1A" w:rsidRDefault="009C7C8B" w:rsidP="00CF05E7">
    <w:pPr>
      <w:pStyle w:val="EPFooter"/>
    </w:pPr>
    <w:r w:rsidRPr="00D83E1A">
      <w:t>PE</w:t>
    </w:r>
    <w:r w:rsidRPr="00D83E1A">
      <w:rPr>
        <w:rStyle w:val="HideTWBExt"/>
      </w:rPr>
      <w:t>&lt;</w:t>
    </w:r>
    <w:proofErr w:type="spellStart"/>
    <w:r w:rsidRPr="00D83E1A">
      <w:rPr>
        <w:rStyle w:val="HideTWBExt"/>
      </w:rPr>
      <w:t>NoPE</w:t>
    </w:r>
    <w:proofErr w:type="spellEnd"/>
    <w:r w:rsidRPr="00D83E1A">
      <w:rPr>
        <w:rStyle w:val="HideTWBExt"/>
      </w:rPr>
      <w:t>&gt;</w:t>
    </w:r>
    <w:r w:rsidRPr="00D83E1A">
      <w:t>789.090</w:t>
    </w:r>
    <w:r w:rsidRPr="00D83E1A">
      <w:rPr>
        <w:rStyle w:val="HideTWBExt"/>
      </w:rPr>
      <w:t>&lt;/</w:t>
    </w:r>
    <w:proofErr w:type="spellStart"/>
    <w:r w:rsidRPr="00D83E1A">
      <w:rPr>
        <w:rStyle w:val="HideTWBExt"/>
      </w:rPr>
      <w:t>NoPE</w:t>
    </w:r>
    <w:proofErr w:type="spellEnd"/>
    <w:r w:rsidRPr="00D83E1A">
      <w:rPr>
        <w:rStyle w:val="HideTWBExt"/>
      </w:rPr>
      <w:t>&gt;&lt;Version&gt;</w:t>
    </w:r>
    <w:r w:rsidRPr="00D83E1A">
      <w:t>v02-00</w:t>
    </w:r>
    <w:r w:rsidRPr="00D83E1A">
      <w:rPr>
        <w:rStyle w:val="HideTWBExt"/>
      </w:rPr>
      <w:t>&lt;/</w:t>
    </w:r>
    <w:proofErr w:type="spellStart"/>
    <w:r w:rsidRPr="00D83E1A">
      <w:rPr>
        <w:rStyle w:val="HideTWBExt"/>
      </w:rPr>
      <w:t>Version</w:t>
    </w:r>
    <w:proofErr w:type="spellEnd"/>
    <w:r w:rsidRPr="00D83E1A">
      <w:rPr>
        <w:rStyle w:val="HideTWBExt"/>
      </w:rPr>
      <w:t>&gt;</w:t>
    </w:r>
    <w:r w:rsidRPr="00D83E1A">
      <w:tab/>
    </w:r>
    <w:r w:rsidRPr="00D83E1A">
      <w:fldChar w:fldCharType="begin"/>
    </w:r>
    <w:r w:rsidRPr="00D83E1A">
      <w:instrText xml:space="preserve"> PAGE  \* MERGEFORMAT </w:instrText>
    </w:r>
    <w:r w:rsidRPr="00D83E1A">
      <w:fldChar w:fldCharType="separate"/>
    </w:r>
    <w:r w:rsidRPr="00D83E1A">
      <w:rPr>
        <w:noProof/>
      </w:rPr>
      <w:t>1</w:t>
    </w:r>
    <w:r w:rsidRPr="00D83E1A">
      <w:fldChar w:fldCharType="end"/>
    </w:r>
    <w:r w:rsidRPr="00D83E1A">
      <w:t>/</w:t>
    </w:r>
    <w:fldSimple w:instr=" NUMPAGES  \* MERGEFORMAT ">
      <w:r w:rsidRPr="00D83E1A">
        <w:rPr>
          <w:noProof/>
        </w:rPr>
        <w:t>2</w:t>
      </w:r>
    </w:fldSimple>
    <w:r w:rsidRPr="00D83E1A">
      <w:tab/>
    </w:r>
    <w:r w:rsidRPr="00D83E1A">
      <w:rPr>
        <w:rStyle w:val="HideTWBExt"/>
      </w:rPr>
      <w:t>&lt;PathFdR&gt;</w:t>
    </w:r>
    <w:r w:rsidRPr="00D83E1A">
      <w:t>RR\1346601HR.docx</w:t>
    </w:r>
    <w:r w:rsidRPr="00D83E1A">
      <w:rPr>
        <w:rStyle w:val="HideTWBExt"/>
      </w:rPr>
      <w:t>&lt;/</w:t>
    </w:r>
    <w:proofErr w:type="spellStart"/>
    <w:r w:rsidRPr="00D83E1A">
      <w:rPr>
        <w:rStyle w:val="HideTWBExt"/>
      </w:rPr>
      <w:t>PathFdR</w:t>
    </w:r>
    <w:proofErr w:type="spellEnd"/>
    <w:r w:rsidRPr="00D83E1A">
      <w:rPr>
        <w:rStyle w:val="HideTWBExt"/>
      </w:rPr>
      <w:t>&gt;</w:t>
    </w:r>
  </w:p>
  <w:p w14:paraId="769F563D" w14:textId="77777777" w:rsidR="009C7C8B" w:rsidRPr="00D83E1A" w:rsidRDefault="009C7C8B" w:rsidP="00CF05E7">
    <w:pPr>
      <w:pStyle w:val="EPFooter2"/>
    </w:pPr>
    <w:r w:rsidRPr="00D83E1A">
      <w:t>HR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C711D" w14:textId="77777777" w:rsidR="009C7C8B" w:rsidRPr="00D83E1A" w:rsidRDefault="009C7C8B" w:rsidP="00CF05E7">
    <w:pPr>
      <w:pStyle w:val="EPFooter"/>
    </w:pPr>
    <w:r w:rsidRPr="00D83E1A">
      <w:rPr>
        <w:rStyle w:val="HideTWBExt"/>
      </w:rPr>
      <w:t>&lt;PathFdR&gt;</w:t>
    </w:r>
    <w:r w:rsidRPr="00D83E1A">
      <w:t>RR\1346601HR.docx</w:t>
    </w:r>
    <w:r w:rsidRPr="00D83E1A">
      <w:rPr>
        <w:rStyle w:val="HideTWBExt"/>
      </w:rPr>
      <w:t>&lt;/</w:t>
    </w:r>
    <w:proofErr w:type="spellStart"/>
    <w:r w:rsidRPr="00D83E1A">
      <w:rPr>
        <w:rStyle w:val="HideTWBExt"/>
      </w:rPr>
      <w:t>PathFdR</w:t>
    </w:r>
    <w:proofErr w:type="spellEnd"/>
    <w:r w:rsidRPr="00D83E1A">
      <w:rPr>
        <w:rStyle w:val="HideTWBExt"/>
      </w:rPr>
      <w:t>&gt;</w:t>
    </w:r>
    <w:r w:rsidRPr="00D83E1A">
      <w:tab/>
    </w:r>
    <w:r w:rsidRPr="00D83E1A">
      <w:tab/>
      <w:t>PE</w:t>
    </w:r>
    <w:r w:rsidRPr="00D83E1A">
      <w:rPr>
        <w:rStyle w:val="HideTWBExt"/>
      </w:rPr>
      <w:t>&lt;</w:t>
    </w:r>
    <w:proofErr w:type="spellStart"/>
    <w:r w:rsidRPr="00D83E1A">
      <w:rPr>
        <w:rStyle w:val="HideTWBExt"/>
      </w:rPr>
      <w:t>NoPE</w:t>
    </w:r>
    <w:proofErr w:type="spellEnd"/>
    <w:r w:rsidRPr="00D83E1A">
      <w:rPr>
        <w:rStyle w:val="HideTWBExt"/>
      </w:rPr>
      <w:t>&gt;</w:t>
    </w:r>
    <w:r w:rsidRPr="00D83E1A">
      <w:t>789.090</w:t>
    </w:r>
    <w:r w:rsidRPr="00D83E1A">
      <w:rPr>
        <w:rStyle w:val="HideTWBExt"/>
      </w:rPr>
      <w:t>&lt;/</w:t>
    </w:r>
    <w:proofErr w:type="spellStart"/>
    <w:r w:rsidRPr="00D83E1A">
      <w:rPr>
        <w:rStyle w:val="HideTWBExt"/>
      </w:rPr>
      <w:t>NoPE</w:t>
    </w:r>
    <w:proofErr w:type="spellEnd"/>
    <w:r w:rsidRPr="00D83E1A">
      <w:rPr>
        <w:rStyle w:val="HideTWBExt"/>
      </w:rPr>
      <w:t>&gt;&lt;Version&gt;</w:t>
    </w:r>
    <w:r w:rsidRPr="00D83E1A">
      <w:t>v02-00</w:t>
    </w:r>
    <w:r w:rsidRPr="00D83E1A">
      <w:rPr>
        <w:rStyle w:val="HideTWBExt"/>
      </w:rPr>
      <w:t>&lt;/</w:t>
    </w:r>
    <w:proofErr w:type="spellStart"/>
    <w:r w:rsidRPr="00D83E1A">
      <w:rPr>
        <w:rStyle w:val="HideTWBExt"/>
      </w:rPr>
      <w:t>Version</w:t>
    </w:r>
    <w:proofErr w:type="spellEnd"/>
    <w:r w:rsidRPr="00D83E1A">
      <w:rPr>
        <w:rStyle w:val="HideTWBExt"/>
      </w:rPr>
      <w:t>&gt;</w:t>
    </w:r>
  </w:p>
  <w:p w14:paraId="2B5C4FEF" w14:textId="77777777" w:rsidR="009C7C8B" w:rsidRPr="00D83E1A" w:rsidRDefault="009C7C8B" w:rsidP="00CF05E7">
    <w:pPr>
      <w:pStyle w:val="EPFooter2"/>
    </w:pPr>
    <w:r w:rsidRPr="00D83E1A">
      <w:t>HR</w:t>
    </w:r>
    <w:r w:rsidRPr="00D83E1A">
      <w:tab/>
    </w:r>
    <w:r w:rsidRPr="00D83E1A">
      <w:rPr>
        <w:b w:val="0"/>
        <w:i/>
        <w:color w:val="C0C0C0"/>
        <w:sz w:val="22"/>
      </w:rPr>
      <w:t>Ujedinjena u raznolikosti</w:t>
    </w:r>
    <w:r w:rsidRPr="00D83E1A">
      <w:tab/>
      <w:t>HR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61599" w14:textId="77777777" w:rsidR="00064002" w:rsidRPr="00D83E1A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BE7F2" w14:textId="77777777" w:rsidR="00064002" w:rsidRPr="00D83E1A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03772" w14:textId="77777777" w:rsidR="00064002" w:rsidRPr="00D83E1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1580D9" w14:textId="77777777" w:rsidR="00B3150F" w:rsidRPr="00D83E1A" w:rsidRDefault="00B3150F">
      <w:r w:rsidRPr="00D83E1A">
        <w:separator/>
      </w:r>
    </w:p>
  </w:footnote>
  <w:footnote w:type="continuationSeparator" w:id="0">
    <w:p w14:paraId="3F4DCC4E" w14:textId="77777777" w:rsidR="00B3150F" w:rsidRPr="00D83E1A" w:rsidRDefault="00B3150F">
      <w:r w:rsidRPr="00D83E1A">
        <w:continuationSeparator/>
      </w:r>
    </w:p>
  </w:footnote>
  <w:footnote w:id="1">
    <w:p w14:paraId="6C000DE0" w14:textId="060AF59B" w:rsidR="009C7C8B" w:rsidRPr="00D83E1A" w:rsidRDefault="009C7C8B" w:rsidP="00D83E1A">
      <w:pPr>
        <w:pStyle w:val="FootnoteText"/>
        <w:ind w:left="567" w:hanging="567"/>
        <w:rPr>
          <w:sz w:val="24"/>
          <w:lang w:val="hr-HR"/>
        </w:rPr>
      </w:pPr>
      <w:r w:rsidRPr="00D83E1A">
        <w:rPr>
          <w:rStyle w:val="FootnoteReference"/>
          <w:sz w:val="24"/>
          <w:lang w:val="hr-HR"/>
        </w:rPr>
        <w:footnoteRef/>
      </w:r>
      <w:r w:rsidR="00D83E1A" w:rsidRPr="00D83E1A">
        <w:rPr>
          <w:sz w:val="24"/>
          <w:lang w:val="hr-HR"/>
        </w:rPr>
        <w:t xml:space="preserve"> </w:t>
      </w:r>
      <w:r w:rsidR="00D83E1A" w:rsidRPr="00D83E1A">
        <w:rPr>
          <w:sz w:val="24"/>
          <w:lang w:val="hr-HR"/>
        </w:rPr>
        <w:tab/>
      </w:r>
      <w:r w:rsidRPr="00D83E1A">
        <w:rPr>
          <w:sz w:val="24"/>
          <w:lang w:val="hr-HR"/>
        </w:rPr>
        <w:t xml:space="preserve">SL L 311, 14.11.2002., str. 3., ELI: </w:t>
      </w:r>
      <w:hyperlink r:id="rId1" w:tooltip="http://data.europa.eu/eli/reg/2002/2012/oj" w:history="1">
        <w:r w:rsidRPr="00D83E1A">
          <w:rPr>
            <w:rStyle w:val="Hyperlink"/>
            <w:sz w:val="24"/>
            <w:lang w:val="hr-HR"/>
          </w:rPr>
          <w:t>http://data.europ</w:t>
        </w:r>
        <w:r w:rsidRPr="00D83E1A">
          <w:rPr>
            <w:rStyle w:val="Hyperlink"/>
            <w:sz w:val="24"/>
            <w:lang w:val="hr-HR"/>
          </w:rPr>
          <w:t>a</w:t>
        </w:r>
        <w:r w:rsidRPr="00D83E1A">
          <w:rPr>
            <w:rStyle w:val="Hyperlink"/>
            <w:sz w:val="24"/>
            <w:lang w:val="hr-HR"/>
          </w:rPr>
          <w:t>.eu/eli/reg/2002/2012/oj</w:t>
        </w:r>
      </w:hyperlink>
      <w:r w:rsidRPr="00D83E1A">
        <w:rPr>
          <w:sz w:val="24"/>
          <w:lang w:val="hr-HR"/>
        </w:rPr>
        <w:t>.</w:t>
      </w:r>
    </w:p>
  </w:footnote>
  <w:footnote w:id="2">
    <w:p w14:paraId="59212C01" w14:textId="6FBB85D7" w:rsidR="009C7C8B" w:rsidRPr="00D83E1A" w:rsidRDefault="009C7C8B" w:rsidP="00D83E1A">
      <w:pPr>
        <w:pStyle w:val="FootnoteText"/>
        <w:ind w:left="567" w:hanging="567"/>
        <w:rPr>
          <w:sz w:val="24"/>
          <w:lang w:val="hr-HR"/>
        </w:rPr>
      </w:pPr>
      <w:r w:rsidRPr="00D83E1A">
        <w:rPr>
          <w:rStyle w:val="FootnoteReference"/>
          <w:sz w:val="24"/>
          <w:lang w:val="hr-HR"/>
        </w:rPr>
        <w:footnoteRef/>
      </w:r>
      <w:r w:rsidR="00D83E1A" w:rsidRPr="00D83E1A">
        <w:rPr>
          <w:sz w:val="24"/>
          <w:lang w:val="hr-HR"/>
        </w:rPr>
        <w:t xml:space="preserve"> </w:t>
      </w:r>
      <w:r w:rsidR="00D83E1A" w:rsidRPr="00D83E1A">
        <w:rPr>
          <w:sz w:val="24"/>
          <w:lang w:val="hr-HR"/>
        </w:rPr>
        <w:tab/>
      </w:r>
      <w:r w:rsidRPr="00D83E1A">
        <w:rPr>
          <w:sz w:val="24"/>
          <w:lang w:val="hr-HR"/>
        </w:rPr>
        <w:t xml:space="preserve">SL L 433 I, 22.12.2020., str. </w:t>
      </w:r>
      <w:r w:rsidRPr="00D83E1A">
        <w:rPr>
          <w:sz w:val="24"/>
          <w:lang w:val="hr-HR"/>
        </w:rPr>
        <w:t xml:space="preserve">11., ELI: </w:t>
      </w:r>
      <w:hyperlink r:id="rId2" w:tooltip="http://data.europa.eu/eli/reg/2020/2093/oj" w:history="1">
        <w:r w:rsidRPr="00D83E1A">
          <w:rPr>
            <w:rStyle w:val="Hyperlink"/>
            <w:sz w:val="24"/>
            <w:lang w:val="hr-HR"/>
          </w:rPr>
          <w:t>http://data</w:t>
        </w:r>
        <w:r w:rsidRPr="00D83E1A">
          <w:rPr>
            <w:rStyle w:val="Hyperlink"/>
            <w:sz w:val="24"/>
            <w:lang w:val="hr-HR"/>
          </w:rPr>
          <w:t>.</w:t>
        </w:r>
        <w:r w:rsidRPr="00D83E1A">
          <w:rPr>
            <w:rStyle w:val="Hyperlink"/>
            <w:sz w:val="24"/>
            <w:lang w:val="hr-HR"/>
          </w:rPr>
          <w:t>europa.eu/eli/reg/2020/2093/oj</w:t>
        </w:r>
      </w:hyperlink>
      <w:r w:rsidRPr="00D83E1A">
        <w:rPr>
          <w:sz w:val="24"/>
          <w:lang w:val="hr-HR"/>
        </w:rPr>
        <w:t>.</w:t>
      </w:r>
    </w:p>
  </w:footnote>
  <w:footnote w:id="3">
    <w:p w14:paraId="68A21646" w14:textId="158D811B" w:rsidR="009C7C8B" w:rsidRPr="00D83E1A" w:rsidRDefault="009C7C8B" w:rsidP="00D83E1A">
      <w:pPr>
        <w:pStyle w:val="FootnoteText"/>
        <w:ind w:left="567" w:hanging="567"/>
        <w:rPr>
          <w:sz w:val="24"/>
          <w:lang w:val="hr-HR"/>
        </w:rPr>
      </w:pPr>
      <w:r w:rsidRPr="00D83E1A">
        <w:rPr>
          <w:rStyle w:val="FootnoteReference"/>
          <w:sz w:val="24"/>
          <w:lang w:val="hr-HR"/>
        </w:rPr>
        <w:footnoteRef/>
      </w:r>
      <w:r w:rsidR="00D83E1A" w:rsidRPr="00D83E1A">
        <w:rPr>
          <w:sz w:val="24"/>
          <w:lang w:val="hr-HR"/>
        </w:rPr>
        <w:t xml:space="preserve"> </w:t>
      </w:r>
      <w:r w:rsidR="00D83E1A" w:rsidRPr="00D83E1A">
        <w:rPr>
          <w:sz w:val="24"/>
          <w:lang w:val="hr-HR"/>
        </w:rPr>
        <w:tab/>
      </w:r>
      <w:r w:rsidRPr="00D83E1A">
        <w:rPr>
          <w:sz w:val="24"/>
          <w:lang w:val="hr-HR"/>
        </w:rPr>
        <w:t xml:space="preserve">SL L 433 I, 22.12.2020., str. </w:t>
      </w:r>
      <w:r w:rsidRPr="00D83E1A">
        <w:rPr>
          <w:sz w:val="24"/>
          <w:lang w:val="hr-HR"/>
        </w:rPr>
        <w:t xml:space="preserve">28., ELI: </w:t>
      </w:r>
      <w:hyperlink r:id="rId3" w:tooltip="http://data.europa.eu/eli/agree_interinstit/2020/1222/oj" w:history="1">
        <w:r w:rsidRPr="00D83E1A">
          <w:rPr>
            <w:rStyle w:val="Hyperlink"/>
            <w:sz w:val="24"/>
            <w:lang w:val="hr-HR"/>
          </w:rPr>
          <w:t>http://data.europa.eu/eli/agr</w:t>
        </w:r>
        <w:r w:rsidRPr="00D83E1A">
          <w:rPr>
            <w:rStyle w:val="Hyperlink"/>
            <w:sz w:val="24"/>
            <w:lang w:val="hr-HR"/>
          </w:rPr>
          <w:t>e</w:t>
        </w:r>
        <w:r w:rsidRPr="00D83E1A">
          <w:rPr>
            <w:rStyle w:val="Hyperlink"/>
            <w:sz w:val="24"/>
            <w:lang w:val="hr-HR"/>
          </w:rPr>
          <w:t>e_interinstit/2020/1222/oj</w:t>
        </w:r>
      </w:hyperlink>
      <w:r w:rsidRPr="00D83E1A">
        <w:rPr>
          <w:sz w:val="24"/>
          <w:lang w:val="hr-HR"/>
        </w:rPr>
        <w:t>.</w:t>
      </w:r>
    </w:p>
  </w:footnote>
  <w:footnote w:id="4">
    <w:p w14:paraId="2D3D7B8F" w14:textId="12BB6D37" w:rsidR="009C7C8B" w:rsidRPr="00D83E1A" w:rsidRDefault="009C7C8B" w:rsidP="00D83E1A">
      <w:pPr>
        <w:pStyle w:val="FootnoteText"/>
        <w:ind w:left="567" w:hanging="567"/>
        <w:rPr>
          <w:sz w:val="24"/>
          <w:lang w:val="hr-HR"/>
        </w:rPr>
      </w:pPr>
      <w:r w:rsidRPr="00D83E1A">
        <w:rPr>
          <w:rStyle w:val="FootnoteReference"/>
          <w:sz w:val="24"/>
          <w:lang w:val="hr-HR"/>
        </w:rPr>
        <w:footnoteRef/>
      </w:r>
      <w:r w:rsidR="00D83E1A" w:rsidRPr="00D83E1A">
        <w:rPr>
          <w:sz w:val="24"/>
          <w:lang w:val="hr-HR"/>
        </w:rPr>
        <w:t xml:space="preserve"> </w:t>
      </w:r>
      <w:r w:rsidR="00D83E1A" w:rsidRPr="00D83E1A">
        <w:rPr>
          <w:sz w:val="24"/>
          <w:lang w:val="hr-HR"/>
        </w:rPr>
        <w:tab/>
      </w:r>
      <w:r w:rsidRPr="00D83E1A">
        <w:rPr>
          <w:sz w:val="24"/>
          <w:lang w:val="hr-HR"/>
        </w:rPr>
        <w:t>SL L 231, 30.6.2021., str. </w:t>
      </w:r>
      <w:r w:rsidRPr="00D83E1A">
        <w:rPr>
          <w:sz w:val="24"/>
          <w:lang w:val="hr-HR"/>
        </w:rPr>
        <w:t xml:space="preserve">60., ELI: </w:t>
      </w:r>
      <w:hyperlink r:id="rId4" w:history="1">
        <w:r w:rsidRPr="00D83E1A">
          <w:rPr>
            <w:sz w:val="24"/>
            <w:lang w:val="hr-HR"/>
          </w:rPr>
          <w:t>http://data.europa.eu/eli/reg/2021/1058/oj</w:t>
        </w:r>
      </w:hyperlink>
      <w:r w:rsidRPr="00D83E1A">
        <w:rPr>
          <w:sz w:val="24"/>
          <w:lang w:val="hr-HR"/>
        </w:rPr>
        <w:t>.</w:t>
      </w:r>
    </w:p>
  </w:footnote>
  <w:footnote w:id="5">
    <w:p w14:paraId="2AB9E7A8" w14:textId="78911499" w:rsidR="009C7C8B" w:rsidRPr="00D83E1A" w:rsidRDefault="009C7C8B" w:rsidP="00D83E1A">
      <w:pPr>
        <w:pStyle w:val="FootnoteText"/>
        <w:ind w:left="567" w:hanging="567"/>
        <w:rPr>
          <w:sz w:val="24"/>
          <w:lang w:val="hr-HR"/>
        </w:rPr>
      </w:pPr>
      <w:r w:rsidRPr="00D83E1A">
        <w:rPr>
          <w:rStyle w:val="FootnoteReference"/>
          <w:sz w:val="24"/>
          <w:lang w:val="hr-HR"/>
        </w:rPr>
        <w:footnoteRef/>
      </w:r>
      <w:r w:rsidR="00D83E1A" w:rsidRPr="00D83E1A">
        <w:rPr>
          <w:sz w:val="24"/>
          <w:lang w:val="hr-HR"/>
        </w:rPr>
        <w:t xml:space="preserve"> </w:t>
      </w:r>
      <w:r w:rsidR="00D83E1A" w:rsidRPr="00D83E1A">
        <w:rPr>
          <w:sz w:val="24"/>
          <w:lang w:val="hr-HR"/>
        </w:rPr>
        <w:tab/>
      </w:r>
      <w:r w:rsidRPr="00D83E1A">
        <w:rPr>
          <w:sz w:val="24"/>
          <w:lang w:val="hr-HR"/>
        </w:rPr>
        <w:t>SL L 231, 30.6.2021., str. </w:t>
      </w:r>
      <w:r w:rsidRPr="00D83E1A">
        <w:rPr>
          <w:sz w:val="24"/>
          <w:lang w:val="hr-HR"/>
        </w:rPr>
        <w:t xml:space="preserve">21., ELI: </w:t>
      </w:r>
      <w:hyperlink r:id="rId5" w:history="1">
        <w:r w:rsidRPr="00D83E1A">
          <w:rPr>
            <w:sz w:val="24"/>
            <w:lang w:val="hr-HR"/>
          </w:rPr>
          <w:t>htt</w:t>
        </w:r>
        <w:r w:rsidRPr="00D83E1A">
          <w:rPr>
            <w:sz w:val="24"/>
            <w:lang w:val="hr-HR"/>
          </w:rPr>
          <w:t>p</w:t>
        </w:r>
        <w:r w:rsidRPr="00D83E1A">
          <w:rPr>
            <w:sz w:val="24"/>
            <w:lang w:val="hr-HR"/>
          </w:rPr>
          <w:t>://data.europa.eu/eli/reg/2021/1057/oj</w:t>
        </w:r>
      </w:hyperlink>
      <w:r w:rsidRPr="00D83E1A">
        <w:rPr>
          <w:sz w:val="24"/>
          <w:lang w:val="hr-HR"/>
        </w:rPr>
        <w:t>.</w:t>
      </w:r>
    </w:p>
  </w:footnote>
  <w:footnote w:id="6">
    <w:p w14:paraId="38F8CF2E" w14:textId="7EBF3601" w:rsidR="009C7C8B" w:rsidRPr="00D83E1A" w:rsidRDefault="009C7C8B" w:rsidP="00D83E1A">
      <w:pPr>
        <w:pStyle w:val="FootnoteText"/>
        <w:ind w:left="567" w:hanging="567"/>
        <w:rPr>
          <w:sz w:val="24"/>
          <w:lang w:val="hr-HR"/>
        </w:rPr>
      </w:pPr>
      <w:r w:rsidRPr="00D83E1A">
        <w:rPr>
          <w:rStyle w:val="FootnoteReference"/>
          <w:sz w:val="24"/>
          <w:lang w:val="hr-HR"/>
        </w:rPr>
        <w:footnoteRef/>
      </w:r>
      <w:r w:rsidR="00D83E1A" w:rsidRPr="00D83E1A">
        <w:rPr>
          <w:sz w:val="24"/>
          <w:lang w:val="hr-HR"/>
        </w:rPr>
        <w:t xml:space="preserve"> </w:t>
      </w:r>
      <w:r w:rsidR="00D83E1A" w:rsidRPr="00D83E1A">
        <w:rPr>
          <w:sz w:val="24"/>
          <w:lang w:val="hr-HR"/>
        </w:rPr>
        <w:tab/>
      </w:r>
      <w:r w:rsidRPr="00D83E1A">
        <w:rPr>
          <w:sz w:val="24"/>
          <w:lang w:val="hr-HR"/>
        </w:rPr>
        <w:t>SL L 435, 6.12.2021., str. </w:t>
      </w:r>
      <w:r w:rsidRPr="00D83E1A">
        <w:rPr>
          <w:sz w:val="24"/>
          <w:lang w:val="hr-HR"/>
        </w:rPr>
        <w:t>1., ELI: </w:t>
      </w:r>
      <w:hyperlink r:id="rId6" w:tgtFrame="_blank" w:tooltip="http://data.europa.eu/eli/reg/2021/2115/oj" w:history="1">
        <w:r w:rsidRPr="00D83E1A">
          <w:rPr>
            <w:rStyle w:val="Hyperlink"/>
            <w:sz w:val="24"/>
            <w:lang w:val="hr-HR"/>
          </w:rPr>
          <w:t>http://data.</w:t>
        </w:r>
        <w:r w:rsidRPr="00D83E1A">
          <w:rPr>
            <w:rStyle w:val="Hyperlink"/>
            <w:sz w:val="24"/>
            <w:lang w:val="hr-HR"/>
          </w:rPr>
          <w:t>e</w:t>
        </w:r>
        <w:r w:rsidRPr="00D83E1A">
          <w:rPr>
            <w:rStyle w:val="Hyperlink"/>
            <w:sz w:val="24"/>
            <w:lang w:val="hr-HR"/>
          </w:rPr>
          <w:t>uropa.eu/eli/reg/2021/2115/oj</w:t>
        </w:r>
      </w:hyperlink>
      <w:r w:rsidRPr="00D83E1A">
        <w:rPr>
          <w:sz w:val="24"/>
          <w:lang w:val="hr-HR"/>
        </w:rPr>
        <w:t>.</w:t>
      </w:r>
    </w:p>
  </w:footnote>
  <w:footnote w:id="7">
    <w:p w14:paraId="3C30E590" w14:textId="59FA5287" w:rsidR="009C7C8B" w:rsidRPr="00D83E1A" w:rsidRDefault="009C7C8B" w:rsidP="00D83E1A">
      <w:pPr>
        <w:pStyle w:val="FootnoteText"/>
        <w:ind w:left="567" w:hanging="567"/>
        <w:rPr>
          <w:sz w:val="24"/>
          <w:lang w:val="hr-HR"/>
        </w:rPr>
      </w:pPr>
      <w:r w:rsidRPr="00D83E1A">
        <w:rPr>
          <w:rStyle w:val="FootnoteReference"/>
          <w:sz w:val="24"/>
          <w:lang w:val="hr-HR"/>
        </w:rPr>
        <w:footnoteRef/>
      </w:r>
      <w:r w:rsidR="00D83E1A" w:rsidRPr="00D83E1A">
        <w:rPr>
          <w:sz w:val="24"/>
          <w:lang w:val="hr-HR"/>
        </w:rPr>
        <w:t xml:space="preserve"> </w:t>
      </w:r>
      <w:r w:rsidR="00D83E1A" w:rsidRPr="00D83E1A">
        <w:rPr>
          <w:sz w:val="24"/>
          <w:lang w:val="hr-HR"/>
        </w:rPr>
        <w:tab/>
      </w:r>
      <w:r w:rsidRPr="00D83E1A">
        <w:rPr>
          <w:sz w:val="24"/>
          <w:lang w:val="hr-HR"/>
        </w:rPr>
        <w:t>Usvojeni tekstovi, P10_TA(2024)0059.</w:t>
      </w:r>
    </w:p>
  </w:footnote>
  <w:footnote w:id="8">
    <w:p w14:paraId="3AE39496" w14:textId="3D2A1FC9" w:rsidR="009C7C8B" w:rsidRPr="00D83E1A" w:rsidRDefault="009C7C8B" w:rsidP="00D83E1A">
      <w:pPr>
        <w:pStyle w:val="FootnoteText"/>
        <w:ind w:left="567" w:hanging="567"/>
        <w:rPr>
          <w:sz w:val="24"/>
          <w:lang w:val="hr-HR"/>
        </w:rPr>
      </w:pPr>
      <w:r w:rsidRPr="00D83E1A">
        <w:rPr>
          <w:rStyle w:val="FootnoteReference"/>
          <w:sz w:val="24"/>
          <w:lang w:val="hr-HR"/>
        </w:rPr>
        <w:footnoteRef/>
      </w:r>
      <w:r w:rsidR="00D83E1A" w:rsidRPr="00D83E1A">
        <w:rPr>
          <w:sz w:val="24"/>
          <w:lang w:val="hr-HR"/>
        </w:rPr>
        <w:t xml:space="preserve"> </w:t>
      </w:r>
      <w:r w:rsidR="00D83E1A" w:rsidRPr="00D83E1A">
        <w:rPr>
          <w:sz w:val="24"/>
          <w:lang w:val="hr-HR"/>
        </w:rPr>
        <w:tab/>
      </w:r>
      <w:hyperlink r:id="rId7" w:history="1">
        <w:r w:rsidRPr="00EE6461">
          <w:rPr>
            <w:rStyle w:val="Hyperlink"/>
            <w:sz w:val="24"/>
            <w:lang w:val="hr-HR"/>
          </w:rPr>
          <w:t>https://www.eea.europa.eu/en/analysis/publicati</w:t>
        </w:r>
        <w:r w:rsidRPr="00EE6461">
          <w:rPr>
            <w:rStyle w:val="Hyperlink"/>
            <w:sz w:val="24"/>
            <w:lang w:val="hr-HR"/>
          </w:rPr>
          <w:t>o</w:t>
        </w:r>
        <w:r w:rsidRPr="00EE6461">
          <w:rPr>
            <w:rStyle w:val="Hyperlink"/>
            <w:sz w:val="24"/>
            <w:lang w:val="hr-HR"/>
          </w:rPr>
          <w:t>ns/european-climate-risk-assessment</w:t>
        </w:r>
      </w:hyperlink>
    </w:p>
  </w:footnote>
  <w:footnote w:id="9">
    <w:p w14:paraId="47C81F13" w14:textId="51AC8B95" w:rsidR="009C7C8B" w:rsidRPr="00D83E1A" w:rsidRDefault="009C7C8B" w:rsidP="00D83E1A">
      <w:pPr>
        <w:pStyle w:val="FootnoteText"/>
        <w:ind w:left="567" w:hanging="567"/>
        <w:rPr>
          <w:sz w:val="24"/>
          <w:lang w:val="hr-HR"/>
        </w:rPr>
      </w:pPr>
      <w:r w:rsidRPr="00D83E1A">
        <w:rPr>
          <w:rStyle w:val="FootnoteReference"/>
          <w:sz w:val="24"/>
          <w:lang w:val="hr-HR"/>
        </w:rPr>
        <w:footnoteRef/>
      </w:r>
      <w:r w:rsidR="00D83E1A" w:rsidRPr="00D83E1A">
        <w:rPr>
          <w:sz w:val="24"/>
          <w:lang w:val="hr-HR"/>
        </w:rPr>
        <w:t xml:space="preserve"> </w:t>
      </w:r>
      <w:r w:rsidR="00D83E1A" w:rsidRPr="00D83E1A">
        <w:rPr>
          <w:sz w:val="24"/>
          <w:lang w:val="hr-HR"/>
        </w:rPr>
        <w:tab/>
      </w:r>
      <w:r w:rsidRPr="00D83E1A">
        <w:rPr>
          <w:sz w:val="24"/>
          <w:lang w:val="hr-HR"/>
        </w:rPr>
        <w:t xml:space="preserve">SL L, 2024/3236, 23.12.2024., ELI: </w:t>
      </w:r>
      <w:hyperlink r:id="rId8" w:tgtFrame="_blank" w:tooltip="http://data.europa.eu/eli/reg/2024/3236/oj" w:history="1">
        <w:r w:rsidRPr="00D83E1A">
          <w:rPr>
            <w:rStyle w:val="Hyperlink"/>
            <w:sz w:val="24"/>
            <w:lang w:val="hr-HR"/>
          </w:rPr>
          <w:t>http://data.europa.eu/</w:t>
        </w:r>
        <w:r w:rsidRPr="00D83E1A">
          <w:rPr>
            <w:rStyle w:val="Hyperlink"/>
            <w:sz w:val="24"/>
            <w:lang w:val="hr-HR"/>
          </w:rPr>
          <w:t>e</w:t>
        </w:r>
        <w:r w:rsidRPr="00D83E1A">
          <w:rPr>
            <w:rStyle w:val="Hyperlink"/>
            <w:sz w:val="24"/>
            <w:lang w:val="hr-HR"/>
          </w:rPr>
          <w:t>li/reg/2024/3236/oj</w:t>
        </w:r>
      </w:hyperlink>
      <w:r w:rsidRPr="00D83E1A">
        <w:rPr>
          <w:sz w:val="24"/>
          <w:lang w:val="hr-HR"/>
        </w:rPr>
        <w:t>.</w:t>
      </w:r>
    </w:p>
  </w:footnote>
  <w:footnote w:id="10">
    <w:p w14:paraId="635CFAE9" w14:textId="697CA7B5" w:rsidR="009C7C8B" w:rsidRPr="00D83E1A" w:rsidRDefault="009C7C8B" w:rsidP="00D83E1A">
      <w:pPr>
        <w:pStyle w:val="FootnoteText"/>
        <w:ind w:left="567" w:hanging="567"/>
        <w:rPr>
          <w:sz w:val="24"/>
          <w:lang w:val="hr-HR"/>
        </w:rPr>
      </w:pPr>
      <w:r w:rsidRPr="00D83E1A">
        <w:rPr>
          <w:rStyle w:val="FootnoteReference"/>
          <w:sz w:val="24"/>
          <w:lang w:val="hr-HR"/>
        </w:rPr>
        <w:footnoteRef/>
      </w:r>
      <w:r w:rsidR="00D83E1A" w:rsidRPr="00D83E1A">
        <w:rPr>
          <w:sz w:val="24"/>
          <w:lang w:val="hr-HR"/>
        </w:rPr>
        <w:t xml:space="preserve"> </w:t>
      </w:r>
      <w:r w:rsidR="00D83E1A" w:rsidRPr="00D83E1A">
        <w:rPr>
          <w:sz w:val="24"/>
          <w:lang w:val="hr-HR"/>
        </w:rPr>
        <w:tab/>
      </w:r>
      <w:r w:rsidRPr="00D83E1A">
        <w:rPr>
          <w:sz w:val="24"/>
          <w:lang w:val="hr-HR"/>
        </w:rPr>
        <w:t xml:space="preserve">SL L, 2024/3242, 23.12.2024., ELI: </w:t>
      </w:r>
      <w:hyperlink r:id="rId9" w:tgtFrame="_blank" w:tooltip="http://data.europa.eu/eli/reg/2024/3242/oj" w:history="1">
        <w:r w:rsidRPr="00D83E1A">
          <w:rPr>
            <w:rStyle w:val="Hyperlink"/>
            <w:sz w:val="24"/>
            <w:lang w:val="hr-HR"/>
          </w:rPr>
          <w:t>http://data.eu</w:t>
        </w:r>
        <w:r w:rsidRPr="00D83E1A">
          <w:rPr>
            <w:rStyle w:val="Hyperlink"/>
            <w:sz w:val="24"/>
            <w:lang w:val="hr-HR"/>
          </w:rPr>
          <w:t>r</w:t>
        </w:r>
        <w:r w:rsidRPr="00D83E1A">
          <w:rPr>
            <w:rStyle w:val="Hyperlink"/>
            <w:sz w:val="24"/>
            <w:lang w:val="hr-HR"/>
          </w:rPr>
          <w:t>opa.eu/eli/reg/2024/3242/oj</w:t>
        </w:r>
      </w:hyperlink>
      <w:r w:rsidRPr="00D83E1A">
        <w:rPr>
          <w:sz w:val="24"/>
          <w:lang w:val="hr-HR"/>
        </w:rPr>
        <w:t>.</w:t>
      </w:r>
    </w:p>
  </w:footnote>
  <w:footnote w:id="11">
    <w:p w14:paraId="0112A2C7" w14:textId="553AA0B7" w:rsidR="009C7C8B" w:rsidRPr="00D83E1A" w:rsidRDefault="009C7C8B" w:rsidP="00D83E1A">
      <w:pPr>
        <w:pStyle w:val="FootnoteText"/>
        <w:ind w:left="567" w:hanging="567"/>
        <w:rPr>
          <w:sz w:val="24"/>
          <w:lang w:val="hr-HR"/>
        </w:rPr>
      </w:pPr>
      <w:r w:rsidRPr="00D83E1A">
        <w:rPr>
          <w:rStyle w:val="FootnoteReference"/>
          <w:sz w:val="24"/>
          <w:lang w:val="hr-HR"/>
        </w:rPr>
        <w:footnoteRef/>
      </w:r>
      <w:r w:rsidR="00D83E1A" w:rsidRPr="00D83E1A">
        <w:rPr>
          <w:sz w:val="24"/>
          <w:lang w:val="hr-HR"/>
        </w:rPr>
        <w:t xml:space="preserve"> </w:t>
      </w:r>
      <w:r w:rsidR="00D83E1A" w:rsidRPr="00D83E1A">
        <w:rPr>
          <w:sz w:val="24"/>
          <w:lang w:val="hr-HR"/>
        </w:rPr>
        <w:tab/>
      </w:r>
      <w:r w:rsidRPr="00D83E1A">
        <w:rPr>
          <w:sz w:val="24"/>
          <w:lang w:val="hr-HR"/>
        </w:rPr>
        <w:t>Uredba (EU) 2021/241 Europskog parlamenta i Vijeća od 12. veljače 2021. o uspostavi Mehanizma za oporavak i odgovornost (SL L 57, 18.2.2021., str. </w:t>
      </w:r>
      <w:r w:rsidRPr="00D83E1A">
        <w:rPr>
          <w:sz w:val="24"/>
          <w:lang w:val="hr-HR"/>
        </w:rPr>
        <w:t xml:space="preserve">17., ELI: </w:t>
      </w:r>
      <w:hyperlink r:id="rId10" w:history="1">
        <w:r w:rsidRPr="00EE6461">
          <w:rPr>
            <w:rStyle w:val="Hyperlink"/>
            <w:sz w:val="24"/>
            <w:lang w:val="hr-HR"/>
          </w:rPr>
          <w:t>http://data.europa.eu/eli/reg/202</w:t>
        </w:r>
        <w:r w:rsidRPr="00EE6461">
          <w:rPr>
            <w:rStyle w:val="Hyperlink"/>
            <w:sz w:val="24"/>
            <w:lang w:val="hr-HR"/>
          </w:rPr>
          <w:t>1</w:t>
        </w:r>
        <w:r w:rsidRPr="00EE6461">
          <w:rPr>
            <w:rStyle w:val="Hyperlink"/>
            <w:sz w:val="24"/>
            <w:lang w:val="hr-HR"/>
          </w:rPr>
          <w:t>/241/oj</w:t>
        </w:r>
      </w:hyperlink>
      <w:r w:rsidRPr="00D83E1A">
        <w:rPr>
          <w:sz w:val="24"/>
          <w:lang w:val="hr-HR"/>
        </w:rPr>
        <w:t>).</w:t>
      </w:r>
    </w:p>
  </w:footnote>
  <w:footnote w:id="12">
    <w:p w14:paraId="42FB4F82" w14:textId="756D7FD6" w:rsidR="009C7C8B" w:rsidRPr="00D83E1A" w:rsidRDefault="009C7C8B" w:rsidP="00D83E1A">
      <w:pPr>
        <w:pStyle w:val="FootnoteText"/>
        <w:ind w:left="567" w:hanging="567"/>
        <w:rPr>
          <w:sz w:val="24"/>
          <w:lang w:val="hr-HR"/>
        </w:rPr>
      </w:pPr>
      <w:r w:rsidRPr="00D83E1A">
        <w:rPr>
          <w:rStyle w:val="FootnoteReference"/>
          <w:sz w:val="24"/>
          <w:lang w:val="hr-HR"/>
        </w:rPr>
        <w:footnoteRef/>
      </w:r>
      <w:r w:rsidR="00D83E1A" w:rsidRPr="00D83E1A">
        <w:rPr>
          <w:sz w:val="24"/>
          <w:shd w:val="clear" w:color="auto" w:fill="FFFFFF"/>
          <w:lang w:val="hr-HR"/>
        </w:rPr>
        <w:t xml:space="preserve"> </w:t>
      </w:r>
      <w:r w:rsidR="00D83E1A" w:rsidRPr="00D83E1A">
        <w:rPr>
          <w:sz w:val="24"/>
          <w:shd w:val="clear" w:color="auto" w:fill="FFFFFF"/>
          <w:lang w:val="hr-HR"/>
        </w:rPr>
        <w:tab/>
      </w:r>
      <w:r w:rsidRPr="00D83E1A">
        <w:rPr>
          <w:sz w:val="24"/>
          <w:shd w:val="clear" w:color="auto" w:fill="FFFFFF"/>
          <w:lang w:val="hr-HR"/>
        </w:rPr>
        <w:t>SL L 311, 14.11.2002., str. </w:t>
      </w:r>
      <w:r w:rsidRPr="00D83E1A">
        <w:rPr>
          <w:sz w:val="24"/>
          <w:shd w:val="clear" w:color="auto" w:fill="FFFFFF"/>
          <w:lang w:val="hr-HR"/>
        </w:rPr>
        <w:t xml:space="preserve">3., ELI: </w:t>
      </w:r>
      <w:hyperlink r:id="rId11" w:history="1">
        <w:r w:rsidRPr="00D83E1A">
          <w:rPr>
            <w:rStyle w:val="Hyperlink"/>
            <w:sz w:val="24"/>
            <w:shd w:val="clear" w:color="auto" w:fill="FFFFFF"/>
            <w:lang w:val="hr-HR"/>
          </w:rPr>
          <w:t>http://data.europa.eu/eli/</w:t>
        </w:r>
        <w:r w:rsidRPr="00D83E1A">
          <w:rPr>
            <w:rStyle w:val="Hyperlink"/>
            <w:sz w:val="24"/>
            <w:shd w:val="clear" w:color="auto" w:fill="FFFFFF"/>
            <w:lang w:val="hr-HR"/>
          </w:rPr>
          <w:t>r</w:t>
        </w:r>
        <w:r w:rsidRPr="00D83E1A">
          <w:rPr>
            <w:rStyle w:val="Hyperlink"/>
            <w:sz w:val="24"/>
            <w:shd w:val="clear" w:color="auto" w:fill="FFFFFF"/>
            <w:lang w:val="hr-HR"/>
          </w:rPr>
          <w:t>eg/2002/2012/oj</w:t>
        </w:r>
      </w:hyperlink>
      <w:r w:rsidRPr="00D83E1A">
        <w:rPr>
          <w:sz w:val="24"/>
          <w:shd w:val="clear" w:color="auto" w:fill="FFFFFF"/>
          <w:lang w:val="hr-HR"/>
        </w:rPr>
        <w:t>.</w:t>
      </w:r>
    </w:p>
  </w:footnote>
  <w:footnote w:id="13">
    <w:p w14:paraId="3E26164E" w14:textId="770E2B6F" w:rsidR="009C7C8B" w:rsidRPr="00D83E1A" w:rsidRDefault="009C7C8B" w:rsidP="00D83E1A">
      <w:pPr>
        <w:pStyle w:val="FootnoteText"/>
        <w:ind w:left="567" w:hanging="567"/>
        <w:rPr>
          <w:sz w:val="24"/>
          <w:lang w:val="hr-HR"/>
        </w:rPr>
      </w:pPr>
      <w:r w:rsidRPr="00D83E1A">
        <w:rPr>
          <w:rStyle w:val="FootnoteReference"/>
          <w:sz w:val="24"/>
          <w:lang w:val="hr-HR"/>
        </w:rPr>
        <w:footnoteRef/>
      </w:r>
      <w:r w:rsidR="00D83E1A" w:rsidRPr="00D83E1A">
        <w:rPr>
          <w:sz w:val="24"/>
          <w:lang w:val="hr-HR"/>
        </w:rPr>
        <w:t xml:space="preserve"> </w:t>
      </w:r>
      <w:r w:rsidR="00D83E1A" w:rsidRPr="00D83E1A">
        <w:rPr>
          <w:sz w:val="24"/>
          <w:lang w:val="hr-HR"/>
        </w:rPr>
        <w:tab/>
      </w:r>
      <w:r w:rsidRPr="00D83E1A">
        <w:rPr>
          <w:sz w:val="24"/>
          <w:lang w:val="hr-HR"/>
        </w:rPr>
        <w:t>SL L 433 I, 22.12.2020., str. </w:t>
      </w:r>
      <w:r w:rsidRPr="00D83E1A">
        <w:rPr>
          <w:sz w:val="24"/>
          <w:lang w:val="hr-HR"/>
        </w:rPr>
        <w:t xml:space="preserve">11., ELI: </w:t>
      </w:r>
      <w:hyperlink r:id="rId12" w:history="1">
        <w:r w:rsidRPr="00D83E1A">
          <w:rPr>
            <w:rStyle w:val="Hyperlink"/>
            <w:sz w:val="24"/>
            <w:lang w:val="hr-HR"/>
          </w:rPr>
          <w:t>http:/</w:t>
        </w:r>
        <w:r w:rsidRPr="00D83E1A">
          <w:rPr>
            <w:rStyle w:val="Hyperlink"/>
            <w:sz w:val="24"/>
            <w:lang w:val="hr-HR"/>
          </w:rPr>
          <w:t>/</w:t>
        </w:r>
        <w:r w:rsidRPr="00D83E1A">
          <w:rPr>
            <w:rStyle w:val="Hyperlink"/>
            <w:sz w:val="24"/>
            <w:lang w:val="hr-HR"/>
          </w:rPr>
          <w:t>data.europa.eu/eli/reg/2020/2093/oj</w:t>
        </w:r>
      </w:hyperlink>
      <w:r w:rsidRPr="00D83E1A">
        <w:rPr>
          <w:sz w:val="24"/>
          <w:lang w:val="hr-HR"/>
        </w:rPr>
        <w:t>.</w:t>
      </w:r>
    </w:p>
  </w:footnote>
  <w:footnote w:id="14">
    <w:p w14:paraId="563278BD" w14:textId="2D95E175" w:rsidR="009C7C8B" w:rsidRPr="00D83E1A" w:rsidRDefault="009C7C8B" w:rsidP="00D83E1A">
      <w:pPr>
        <w:pStyle w:val="FootnoteText"/>
        <w:ind w:left="567" w:hanging="567"/>
        <w:rPr>
          <w:sz w:val="24"/>
          <w:lang w:val="hr-HR"/>
        </w:rPr>
      </w:pPr>
      <w:r w:rsidRPr="00D83E1A">
        <w:rPr>
          <w:rStyle w:val="FootnoteReference"/>
          <w:sz w:val="24"/>
          <w:lang w:val="hr-HR"/>
        </w:rPr>
        <w:footnoteRef/>
      </w:r>
      <w:r w:rsidR="00D83E1A" w:rsidRPr="00D83E1A">
        <w:rPr>
          <w:sz w:val="24"/>
          <w:lang w:val="hr-HR"/>
        </w:rPr>
        <w:t xml:space="preserve"> </w:t>
      </w:r>
      <w:r w:rsidR="00D83E1A" w:rsidRPr="00D83E1A">
        <w:rPr>
          <w:sz w:val="24"/>
          <w:lang w:val="hr-HR"/>
        </w:rPr>
        <w:tab/>
      </w:r>
      <w:r w:rsidRPr="00D83E1A">
        <w:rPr>
          <w:sz w:val="24"/>
          <w:lang w:val="hr-HR"/>
        </w:rPr>
        <w:t>SL L 433</w:t>
      </w:r>
      <w:r w:rsidR="00C76E2D">
        <w:rPr>
          <w:sz w:val="24"/>
          <w:lang w:val="hr-HR"/>
        </w:rPr>
        <w:t xml:space="preserve"> I</w:t>
      </w:r>
      <w:r w:rsidRPr="00D83E1A">
        <w:rPr>
          <w:sz w:val="24"/>
          <w:lang w:val="hr-HR"/>
        </w:rPr>
        <w:t>, 22.12.2020., str. </w:t>
      </w:r>
      <w:r w:rsidRPr="00D83E1A">
        <w:rPr>
          <w:sz w:val="24"/>
          <w:lang w:val="hr-HR"/>
        </w:rPr>
        <w:t xml:space="preserve">28., ELI: </w:t>
      </w:r>
      <w:hyperlink r:id="rId13" w:history="1">
        <w:r w:rsidRPr="00D83E1A">
          <w:rPr>
            <w:rStyle w:val="Hyperlink"/>
            <w:sz w:val="24"/>
            <w:lang w:val="hr-HR"/>
          </w:rPr>
          <w:t>http://data.europa.eu/eli/ag</w:t>
        </w:r>
        <w:r w:rsidRPr="00D83E1A">
          <w:rPr>
            <w:rStyle w:val="Hyperlink"/>
            <w:sz w:val="24"/>
            <w:lang w:val="hr-HR"/>
          </w:rPr>
          <w:t>r</w:t>
        </w:r>
        <w:r w:rsidRPr="00D83E1A">
          <w:rPr>
            <w:rStyle w:val="Hyperlink"/>
            <w:sz w:val="24"/>
            <w:lang w:val="hr-HR"/>
          </w:rPr>
          <w:t>ee_interinstit/2020/1222/oj</w:t>
        </w:r>
      </w:hyperlink>
      <w:r w:rsidRPr="00D83E1A">
        <w:rPr>
          <w:sz w:val="24"/>
          <w:lang w:val="hr-HR"/>
        </w:rPr>
        <w:t>.</w:t>
      </w:r>
    </w:p>
  </w:footnote>
  <w:footnote w:id="15">
    <w:p w14:paraId="694ED2A9" w14:textId="503527FE" w:rsidR="009C7C8B" w:rsidRPr="00D83E1A" w:rsidRDefault="009C7C8B" w:rsidP="00D83E1A">
      <w:pPr>
        <w:pStyle w:val="FootnoteText"/>
        <w:ind w:left="567" w:hanging="567"/>
        <w:rPr>
          <w:sz w:val="24"/>
          <w:lang w:val="hr-HR"/>
        </w:rPr>
      </w:pPr>
      <w:r w:rsidRPr="00D83E1A">
        <w:rPr>
          <w:rStyle w:val="FootnoteReference"/>
          <w:sz w:val="24"/>
          <w:lang w:val="hr-HR"/>
        </w:rPr>
        <w:footnoteRef/>
      </w:r>
      <w:r w:rsidR="00D83E1A" w:rsidRPr="00D83E1A">
        <w:rPr>
          <w:sz w:val="24"/>
          <w:lang w:val="hr-HR"/>
        </w:rPr>
        <w:t xml:space="preserve"> </w:t>
      </w:r>
      <w:r w:rsidR="00D83E1A" w:rsidRPr="00D83E1A">
        <w:rPr>
          <w:sz w:val="24"/>
          <w:lang w:val="hr-HR"/>
        </w:rPr>
        <w:tab/>
      </w:r>
      <w:r w:rsidRPr="00D83E1A">
        <w:rPr>
          <w:sz w:val="24"/>
          <w:lang w:val="hr-HR"/>
        </w:rPr>
        <w:t xml:space="preserve">Uredba Vijeća (EU, Euratom) 2024/765 od 29. veljače 2024. o izmjeni Uredbe (EU, Euratom) 2020/2093 kojom se utvrđuje višegodišnji financijski okvir za razdoblje 2021. – 2027. </w:t>
      </w:r>
      <w:r w:rsidRPr="00D83E1A">
        <w:rPr>
          <w:sz w:val="24"/>
          <w:lang w:val="hr-HR"/>
        </w:rPr>
        <w:t xml:space="preserve">(SL L, 2024/765, 29.2.2024., ELI: </w:t>
      </w:r>
      <w:hyperlink r:id="rId14" w:history="1">
        <w:r w:rsidRPr="00D83E1A">
          <w:rPr>
            <w:rStyle w:val="Hyperlink"/>
            <w:sz w:val="24"/>
            <w:lang w:val="hr-HR"/>
          </w:rPr>
          <w:t>http://dat</w:t>
        </w:r>
        <w:r w:rsidRPr="00D83E1A">
          <w:rPr>
            <w:rStyle w:val="Hyperlink"/>
            <w:sz w:val="24"/>
            <w:lang w:val="hr-HR"/>
          </w:rPr>
          <w:t>a</w:t>
        </w:r>
        <w:r w:rsidRPr="00D83E1A">
          <w:rPr>
            <w:rStyle w:val="Hyperlink"/>
            <w:sz w:val="24"/>
            <w:lang w:val="hr-HR"/>
          </w:rPr>
          <w:t>.europa.eu/eli/reg/2024/765/oj</w:t>
        </w:r>
      </w:hyperlink>
      <w:r w:rsidRPr="00D83E1A">
        <w:rPr>
          <w:sz w:val="24"/>
          <w:lang w:val="hr-HR"/>
        </w:rPr>
        <w:t>).</w:t>
      </w:r>
    </w:p>
  </w:footnote>
  <w:footnote w:id="16">
    <w:p w14:paraId="0FF47BBC" w14:textId="5B4E9128" w:rsidR="009C7C8B" w:rsidRPr="00D83E1A" w:rsidRDefault="009C7C8B" w:rsidP="00D83E1A">
      <w:pPr>
        <w:pStyle w:val="FootnoteText"/>
        <w:ind w:left="567" w:hanging="567"/>
        <w:rPr>
          <w:sz w:val="24"/>
          <w:lang w:val="hr-HR"/>
        </w:rPr>
      </w:pPr>
      <w:r w:rsidRPr="00D83E1A">
        <w:rPr>
          <w:rStyle w:val="FootnoteReference"/>
          <w:sz w:val="24"/>
          <w:lang w:val="hr-HR"/>
        </w:rPr>
        <w:t>*</w:t>
      </w:r>
      <w:r w:rsidR="00D83E1A" w:rsidRPr="00D83E1A">
        <w:rPr>
          <w:sz w:val="24"/>
          <w:lang w:val="hr-HR"/>
        </w:rPr>
        <w:t xml:space="preserve"> </w:t>
      </w:r>
      <w:r w:rsidR="00D83E1A" w:rsidRPr="00D83E1A">
        <w:rPr>
          <w:sz w:val="24"/>
          <w:lang w:val="hr-HR"/>
        </w:rPr>
        <w:tab/>
      </w:r>
      <w:r w:rsidRPr="00D83E1A">
        <w:rPr>
          <w:sz w:val="24"/>
          <w:lang w:val="hr-HR"/>
        </w:rPr>
        <w:t>Parlament treba unijeti datum prije objave u SL-u.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BFCCD" w14:textId="77777777" w:rsidR="00064002" w:rsidRPr="00D83E1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0332F" w14:textId="77777777" w:rsidR="00064002" w:rsidRPr="00D83E1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F750C" w14:textId="77777777" w:rsidR="00064002" w:rsidRPr="00D83E1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77450628">
    <w:abstractNumId w:val="9"/>
  </w:num>
  <w:num w:numId="2" w16cid:durableId="436632742">
    <w:abstractNumId w:val="9"/>
  </w:num>
  <w:num w:numId="3" w16cid:durableId="1814714122">
    <w:abstractNumId w:val="7"/>
  </w:num>
  <w:num w:numId="4" w16cid:durableId="2043244015">
    <w:abstractNumId w:val="7"/>
  </w:num>
  <w:num w:numId="5" w16cid:durableId="1484081192">
    <w:abstractNumId w:val="6"/>
  </w:num>
  <w:num w:numId="6" w16cid:durableId="287050212">
    <w:abstractNumId w:val="6"/>
  </w:num>
  <w:num w:numId="7" w16cid:durableId="121197671">
    <w:abstractNumId w:val="5"/>
  </w:num>
  <w:num w:numId="8" w16cid:durableId="1382972347">
    <w:abstractNumId w:val="5"/>
  </w:num>
  <w:num w:numId="9" w16cid:durableId="279186452">
    <w:abstractNumId w:val="4"/>
  </w:num>
  <w:num w:numId="10" w16cid:durableId="1486124733">
    <w:abstractNumId w:val="4"/>
  </w:num>
  <w:num w:numId="11" w16cid:durableId="836194217">
    <w:abstractNumId w:val="8"/>
  </w:num>
  <w:num w:numId="12" w16cid:durableId="1976910831">
    <w:abstractNumId w:val="8"/>
  </w:num>
  <w:num w:numId="13" w16cid:durableId="2247082">
    <w:abstractNumId w:val="3"/>
  </w:num>
  <w:num w:numId="14" w16cid:durableId="227423853">
    <w:abstractNumId w:val="3"/>
  </w:num>
  <w:num w:numId="15" w16cid:durableId="1149174450">
    <w:abstractNumId w:val="2"/>
  </w:num>
  <w:num w:numId="16" w16cid:durableId="610630797">
    <w:abstractNumId w:val="2"/>
  </w:num>
  <w:num w:numId="17" w16cid:durableId="546724753">
    <w:abstractNumId w:val="1"/>
  </w:num>
  <w:num w:numId="18" w16cid:durableId="1624312248">
    <w:abstractNumId w:val="1"/>
  </w:num>
  <w:num w:numId="19" w16cid:durableId="1792936769">
    <w:abstractNumId w:val="0"/>
  </w:num>
  <w:num w:numId="20" w16cid:durableId="418909245">
    <w:abstractNumId w:val="0"/>
  </w:num>
  <w:num w:numId="21" w16cid:durableId="1338457456">
    <w:abstractNumId w:val="9"/>
  </w:num>
  <w:num w:numId="22" w16cid:durableId="481435025">
    <w:abstractNumId w:val="7"/>
  </w:num>
  <w:num w:numId="23" w16cid:durableId="1066299297">
    <w:abstractNumId w:val="6"/>
  </w:num>
  <w:num w:numId="24" w16cid:durableId="1942031536">
    <w:abstractNumId w:val="5"/>
  </w:num>
  <w:num w:numId="25" w16cid:durableId="1163089258">
    <w:abstractNumId w:val="4"/>
  </w:num>
  <w:num w:numId="26" w16cid:durableId="296841746">
    <w:abstractNumId w:val="8"/>
  </w:num>
  <w:num w:numId="27" w16cid:durableId="1461456707">
    <w:abstractNumId w:val="3"/>
  </w:num>
  <w:num w:numId="28" w16cid:durableId="869950897">
    <w:abstractNumId w:val="2"/>
  </w:num>
  <w:num w:numId="29" w16cid:durableId="909921924">
    <w:abstractNumId w:val="1"/>
  </w:num>
  <w:num w:numId="30" w16cid:durableId="1229418787">
    <w:abstractNumId w:val="0"/>
  </w:num>
  <w:num w:numId="31" w16cid:durableId="1465149140">
    <w:abstractNumId w:val="9"/>
  </w:num>
  <w:num w:numId="32" w16cid:durableId="1889144717">
    <w:abstractNumId w:val="7"/>
  </w:num>
  <w:num w:numId="33" w16cid:durableId="1516847904">
    <w:abstractNumId w:val="6"/>
  </w:num>
  <w:num w:numId="34" w16cid:durableId="1638954700">
    <w:abstractNumId w:val="5"/>
  </w:num>
  <w:num w:numId="35" w16cid:durableId="510527638">
    <w:abstractNumId w:val="4"/>
  </w:num>
  <w:num w:numId="36" w16cid:durableId="1478180163">
    <w:abstractNumId w:val="8"/>
  </w:num>
  <w:num w:numId="37" w16cid:durableId="1023095259">
    <w:abstractNumId w:val="3"/>
  </w:num>
  <w:num w:numId="38" w16cid:durableId="398358526">
    <w:abstractNumId w:val="2"/>
  </w:num>
  <w:num w:numId="39" w16cid:durableId="482892589">
    <w:abstractNumId w:val="1"/>
  </w:num>
  <w:num w:numId="40" w16cid:durableId="552935540">
    <w:abstractNumId w:val="0"/>
  </w:num>
  <w:num w:numId="41" w16cid:durableId="412704798">
    <w:abstractNumId w:val="10"/>
  </w:num>
  <w:num w:numId="42" w16cid:durableId="170872115">
    <w:abstractNumId w:val="10"/>
  </w:num>
  <w:num w:numId="43" w16cid:durableId="188295674">
    <w:abstractNumId w:val="10"/>
  </w:num>
  <w:num w:numId="44" w16cid:durableId="14594890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78/2026"/>
    <w:docVar w:name="dvlangue" w:val="HR"/>
    <w:docVar w:name="dvnumam" w:val="0"/>
    <w:docVar w:name="dvpe" w:val="789.090"/>
    <w:docVar w:name="dvrapporteur" w:val="Izvjestitelj: "/>
    <w:docVar w:name="dvtitre" w:val="Rezolucija Europskog parlamenta od .... 2026. o Prijedlogu odluke Europskog parlamenta i Vijeća o mobilizaciji Fonda solidarnosti Europske unije radi pružanja pomoći Rumunjskoj u vezi s poplavama krajem svibnja 2025., Cipru u vezi sa šumskim požarima u srpnju 2025. i Španjolskoj u vezi sa šumskim požarima u kolovozu 2025.(COM(2026)1002 – C10-0119/2026 – 2026/0120(BUD))"/>
  </w:docVars>
  <w:rsids>
    <w:rsidRoot w:val="00B3150F"/>
    <w:rsid w:val="00002272"/>
    <w:rsid w:val="00064002"/>
    <w:rsid w:val="000677B9"/>
    <w:rsid w:val="000831BA"/>
    <w:rsid w:val="000A42CC"/>
    <w:rsid w:val="000E7DD9"/>
    <w:rsid w:val="000F7D07"/>
    <w:rsid w:val="0010095E"/>
    <w:rsid w:val="00125B37"/>
    <w:rsid w:val="00187494"/>
    <w:rsid w:val="001F32AE"/>
    <w:rsid w:val="002767FF"/>
    <w:rsid w:val="002A73F0"/>
    <w:rsid w:val="002B18FE"/>
    <w:rsid w:val="002B1F9A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0819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3F50"/>
    <w:rsid w:val="00981893"/>
    <w:rsid w:val="009C7C8B"/>
    <w:rsid w:val="00A1687D"/>
    <w:rsid w:val="00A43E52"/>
    <w:rsid w:val="00A4678D"/>
    <w:rsid w:val="00A579E8"/>
    <w:rsid w:val="00A778C7"/>
    <w:rsid w:val="00AB441E"/>
    <w:rsid w:val="00AB6293"/>
    <w:rsid w:val="00AE0928"/>
    <w:rsid w:val="00AF3B82"/>
    <w:rsid w:val="00B12E95"/>
    <w:rsid w:val="00B22876"/>
    <w:rsid w:val="00B3150F"/>
    <w:rsid w:val="00B558F0"/>
    <w:rsid w:val="00BA0F2E"/>
    <w:rsid w:val="00BD48FE"/>
    <w:rsid w:val="00BD7BD8"/>
    <w:rsid w:val="00BE354A"/>
    <w:rsid w:val="00BE6ADC"/>
    <w:rsid w:val="00C05BFE"/>
    <w:rsid w:val="00C23CD4"/>
    <w:rsid w:val="00C61C0C"/>
    <w:rsid w:val="00C76E2D"/>
    <w:rsid w:val="00C941CB"/>
    <w:rsid w:val="00CC2357"/>
    <w:rsid w:val="00CF071A"/>
    <w:rsid w:val="00D058B8"/>
    <w:rsid w:val="00D56C11"/>
    <w:rsid w:val="00D834A0"/>
    <w:rsid w:val="00D83E1A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6461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DC5FE8"/>
  <w15:chartTrackingRefBased/>
  <w15:docId w15:val="{DD159081-1390-45AF-8A82-56D04E7B6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Footnote symbol,Footnote,stylish,BVI fnr,Footnote symboFußnotenzeichen,Footnote sign,Footnote Reference Number,E FNZ,-E Fußnotenzeichen,Footnote#,Times 10 Point,Exposant 3 Point,Ref,de nota al pie,SUPER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9C7C8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9C7C8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rsid w:val="009C7C8B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9C7C8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C7C8B"/>
    <w:rPr>
      <w:sz w:val="24"/>
      <w:lang w:val="hr-HR"/>
    </w:rPr>
  </w:style>
  <w:style w:type="paragraph" w:customStyle="1" w:styleId="NormalBold24a">
    <w:name w:val="NormalBold24a"/>
    <w:basedOn w:val="Normal"/>
    <w:rsid w:val="009C7C8B"/>
    <w:pPr>
      <w:spacing w:after="480"/>
    </w:pPr>
    <w:rPr>
      <w:b/>
      <w:bCs/>
    </w:rPr>
  </w:style>
  <w:style w:type="paragraph" w:customStyle="1" w:styleId="EPFooter">
    <w:name w:val="EPFooter"/>
    <w:basedOn w:val="Normal"/>
    <w:rsid w:val="009C7C8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9C7C8B"/>
    <w:pPr>
      <w:spacing w:before="480" w:after="240"/>
    </w:pPr>
  </w:style>
  <w:style w:type="character" w:styleId="Hyperlink">
    <w:name w:val="Hyperlink"/>
    <w:basedOn w:val="DefaultParagraphFont"/>
    <w:uiPriority w:val="99"/>
    <w:rsid w:val="009C7C8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E646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EE6461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EE6461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/2024/3236/oj" TargetMode="External"/><Relationship Id="rId13" Type="http://schemas.openxmlformats.org/officeDocument/2006/relationships/hyperlink" Target="http://data.europa.eu/eli/agree_interinstit/2020/1222/oj" TargetMode="External"/><Relationship Id="rId3" Type="http://schemas.openxmlformats.org/officeDocument/2006/relationships/hyperlink" Target="http://data.europa.eu/eli/agree_interinstit/2020/1222/oj" TargetMode="External"/><Relationship Id="rId7" Type="http://schemas.openxmlformats.org/officeDocument/2006/relationships/hyperlink" Target="https://www.eea.europa.eu/en/analysis/publications/european-climate-risk-assessment" TargetMode="External"/><Relationship Id="rId12" Type="http://schemas.openxmlformats.org/officeDocument/2006/relationships/hyperlink" Target="http://data.europa.eu/eli/reg/2020/2093/oj" TargetMode="External"/><Relationship Id="rId2" Type="http://schemas.openxmlformats.org/officeDocument/2006/relationships/hyperlink" Target="http://data.europa.eu/eli/reg/2020/2093/oj" TargetMode="External"/><Relationship Id="rId1" Type="http://schemas.openxmlformats.org/officeDocument/2006/relationships/hyperlink" Target="http://data.europa.eu/eli/reg/2002/2012/oj" TargetMode="External"/><Relationship Id="rId6" Type="http://schemas.openxmlformats.org/officeDocument/2006/relationships/hyperlink" Target="http://data.europa.eu/eli/reg/2021/2115/oj" TargetMode="External"/><Relationship Id="rId11" Type="http://schemas.openxmlformats.org/officeDocument/2006/relationships/hyperlink" Target="http://data.europa.eu/eli/reg/2002/2012/oj" TargetMode="External"/><Relationship Id="rId5" Type="http://schemas.openxmlformats.org/officeDocument/2006/relationships/hyperlink" Target="http://data.europa.eu/eli/reg/2021/1057/oj" TargetMode="External"/><Relationship Id="rId10" Type="http://schemas.openxmlformats.org/officeDocument/2006/relationships/hyperlink" Target="http://data.europa.eu/eli/reg/2021/241/oj" TargetMode="External"/><Relationship Id="rId4" Type="http://schemas.openxmlformats.org/officeDocument/2006/relationships/hyperlink" Target="http://data.europa.eu/eli/reg/2021/1058/oj" TargetMode="External"/><Relationship Id="rId9" Type="http://schemas.openxmlformats.org/officeDocument/2006/relationships/hyperlink" Target="http://data.europa.eu/eli/reg/2024/3242/oj" TargetMode="External"/><Relationship Id="rId14" Type="http://schemas.openxmlformats.org/officeDocument/2006/relationships/hyperlink" Target="http://data.europa.eu/eli/reg/2024/76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2168</Words>
  <Characters>13235</Characters>
  <Application>Microsoft Office Word</Application>
  <DocSecurity>0</DocSecurity>
  <Lines>110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2026-07-07T13:16:00Z</dcterms:created>
  <dcterms:modified xsi:type="dcterms:W3CDTF">2026-07-07T13:16:00Z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A10-0178/2026</vt:lpwstr>
  </property>
  <property fmtid="{D5CDD505-2E9C-101B-9397-08002B2CF9AE}" pid="4" name="&lt;Type&gt;">
    <vt:lpwstr>RR</vt:lpwstr>
  </property>
</Properties>
</file>