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5808" w14:paraId="69735936" w14:textId="77777777" w:rsidTr="0010095E">
        <w:trPr>
          <w:trHeight w:hRule="exact" w:val="1418"/>
        </w:trPr>
        <w:tc>
          <w:tcPr>
            <w:tcW w:w="6804" w:type="dxa"/>
            <w:shd w:val="clear" w:color="auto" w:fill="auto"/>
            <w:vAlign w:val="center"/>
          </w:tcPr>
          <w:p w14:paraId="28817B9E" w14:textId="77777777" w:rsidR="00751A4A" w:rsidRPr="00C65808" w:rsidRDefault="00FB2999" w:rsidP="0010095E">
            <w:pPr>
              <w:pStyle w:val="EPName"/>
            </w:pPr>
            <w:r w:rsidRPr="00C65808">
              <w:t>Evropski parlament</w:t>
            </w:r>
          </w:p>
          <w:p w14:paraId="0A70236F" w14:textId="77777777" w:rsidR="00751A4A" w:rsidRPr="00C65808" w:rsidRDefault="005F1B17" w:rsidP="005F1B17">
            <w:pPr>
              <w:pStyle w:val="EPTerm"/>
              <w:rPr>
                <w:rStyle w:val="HideTWBExt"/>
                <w:noProof w:val="0"/>
                <w:vanish w:val="0"/>
                <w:color w:val="auto"/>
              </w:rPr>
            </w:pPr>
            <w:r w:rsidRPr="00C65808">
              <w:t>2024</w:t>
            </w:r>
            <w:r w:rsidR="00817416" w:rsidRPr="00C65808">
              <w:t>-202</w:t>
            </w:r>
            <w:r w:rsidRPr="00C65808">
              <w:t>9</w:t>
            </w:r>
          </w:p>
        </w:tc>
        <w:tc>
          <w:tcPr>
            <w:tcW w:w="2268" w:type="dxa"/>
            <w:shd w:val="clear" w:color="auto" w:fill="auto"/>
          </w:tcPr>
          <w:p w14:paraId="0B0C144C" w14:textId="77777777" w:rsidR="00751A4A" w:rsidRPr="00C65808" w:rsidRDefault="00187494" w:rsidP="0010095E">
            <w:pPr>
              <w:pStyle w:val="EPLogo"/>
            </w:pPr>
            <w:r w:rsidRPr="00C65808">
              <w:rPr>
                <w:noProof/>
                <w:lang w:eastAsia="ja-JP"/>
              </w:rPr>
              <w:drawing>
                <wp:inline distT="0" distB="0" distL="0" distR="0" wp14:anchorId="46FA187E" wp14:editId="038A69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324FE7" w14:textId="77777777" w:rsidR="00D058B8" w:rsidRPr="00C65808" w:rsidRDefault="00D058B8" w:rsidP="004C5D52">
      <w:pPr>
        <w:pStyle w:val="LineTop"/>
      </w:pPr>
    </w:p>
    <w:p w14:paraId="6A2FF7E1" w14:textId="77777777" w:rsidR="00680577" w:rsidRPr="00C65808" w:rsidRDefault="00FB2999" w:rsidP="00680577">
      <w:pPr>
        <w:pStyle w:val="EPBodyTA1"/>
      </w:pPr>
      <w:r w:rsidRPr="00C65808">
        <w:t>SPREJETA BESEDILA</w:t>
      </w:r>
    </w:p>
    <w:p w14:paraId="4D455DF6" w14:textId="77777777" w:rsidR="00D058B8" w:rsidRPr="00C65808" w:rsidRDefault="00D058B8" w:rsidP="00D058B8">
      <w:pPr>
        <w:pStyle w:val="LineBottom"/>
      </w:pPr>
    </w:p>
    <w:p w14:paraId="79327D6E" w14:textId="57A55D38" w:rsidR="00FB2999" w:rsidRPr="00C65808" w:rsidRDefault="00FB2999" w:rsidP="00FB2999">
      <w:pPr>
        <w:pStyle w:val="ATHeading1"/>
      </w:pPr>
      <w:bookmarkStart w:id="0" w:name="TANumber"/>
      <w:r w:rsidRPr="00C65808">
        <w:t>P10_TA(2026)0</w:t>
      </w:r>
      <w:bookmarkEnd w:id="0"/>
      <w:r w:rsidR="00C65808" w:rsidRPr="00C65808">
        <w:t>244</w:t>
      </w:r>
    </w:p>
    <w:p w14:paraId="2102E7B7" w14:textId="48485472" w:rsidR="00FB2999" w:rsidRPr="00C65808" w:rsidRDefault="00FB2999" w:rsidP="00FB2999">
      <w:pPr>
        <w:pStyle w:val="ATHeading2"/>
      </w:pPr>
      <w:bookmarkStart w:id="1" w:name="title"/>
      <w:r w:rsidRPr="00C65808">
        <w:t xml:space="preserve">Uporaba Solidarnostnega sklada Evropske unije: pomoč Romuniji, Cipru in Španiji po naravnih nesrečah </w:t>
      </w:r>
      <w:r w:rsidR="002F2FCB" w:rsidRPr="00C65808">
        <w:t xml:space="preserve">v letu </w:t>
      </w:r>
      <w:r w:rsidRPr="00C65808">
        <w:t>2025</w:t>
      </w:r>
      <w:bookmarkEnd w:id="1"/>
    </w:p>
    <w:p w14:paraId="0780099C" w14:textId="77777777" w:rsidR="00FB2999" w:rsidRPr="00C65808" w:rsidRDefault="00FB2999" w:rsidP="00FB2999">
      <w:pPr>
        <w:rPr>
          <w:i/>
          <w:vanish/>
        </w:rPr>
      </w:pPr>
      <w:r w:rsidRPr="00C65808">
        <w:rPr>
          <w:i/>
        </w:rPr>
        <w:fldChar w:fldCharType="begin"/>
      </w:r>
      <w:r w:rsidRPr="00C65808">
        <w:rPr>
          <w:i/>
        </w:rPr>
        <w:instrText xml:space="preserve"> TC"(</w:instrText>
      </w:r>
      <w:bookmarkStart w:id="2" w:name="DocNumber"/>
      <w:r w:rsidRPr="00C65808">
        <w:rPr>
          <w:i/>
        </w:rPr>
        <w:instrText>A10-0178/2026</w:instrText>
      </w:r>
      <w:bookmarkEnd w:id="2"/>
      <w:r w:rsidRPr="00C65808">
        <w:rPr>
          <w:i/>
        </w:rPr>
        <w:instrText xml:space="preserve"> - Poročevalec: Bogdan </w:instrText>
      </w:r>
      <w:proofErr w:type="spellStart"/>
      <w:r w:rsidRPr="00C65808">
        <w:rPr>
          <w:i/>
        </w:rPr>
        <w:instrText>Rzońca</w:instrText>
      </w:r>
      <w:proofErr w:type="spellEnd"/>
      <w:r w:rsidRPr="00C65808">
        <w:rPr>
          <w:i/>
        </w:rPr>
        <w:instrText xml:space="preserve">)"\l3 \n&gt; \* MERGEFORMAT </w:instrText>
      </w:r>
      <w:r w:rsidRPr="00C65808">
        <w:rPr>
          <w:i/>
        </w:rPr>
        <w:fldChar w:fldCharType="end"/>
      </w:r>
    </w:p>
    <w:p w14:paraId="55FD6D01" w14:textId="77777777" w:rsidR="00FB2999" w:rsidRPr="00C65808" w:rsidRDefault="00FB2999" w:rsidP="00FB2999">
      <w:pPr>
        <w:rPr>
          <w:vanish/>
        </w:rPr>
      </w:pPr>
      <w:bookmarkStart w:id="3" w:name="Commission"/>
      <w:r w:rsidRPr="00C65808">
        <w:rPr>
          <w:vanish/>
        </w:rPr>
        <w:t>Odbor za proračun</w:t>
      </w:r>
      <w:bookmarkEnd w:id="3"/>
    </w:p>
    <w:p w14:paraId="764B9634" w14:textId="77777777" w:rsidR="00FB2999" w:rsidRPr="00C65808" w:rsidRDefault="00FB2999" w:rsidP="00FB2999">
      <w:pPr>
        <w:rPr>
          <w:vanish/>
        </w:rPr>
      </w:pPr>
      <w:bookmarkStart w:id="4" w:name="PE"/>
      <w:r w:rsidRPr="00C65808">
        <w:rPr>
          <w:vanish/>
        </w:rPr>
        <w:t>PE789.090</w:t>
      </w:r>
      <w:bookmarkEnd w:id="4"/>
    </w:p>
    <w:p w14:paraId="4CCE36BC" w14:textId="66EAF4CA" w:rsidR="00FB2999" w:rsidRPr="00C65808" w:rsidRDefault="00FB2999" w:rsidP="00FB2999">
      <w:pPr>
        <w:pStyle w:val="ATHeading3"/>
      </w:pPr>
      <w:bookmarkStart w:id="5" w:name="Sujet"/>
      <w:r w:rsidRPr="00C65808">
        <w:t xml:space="preserve">Resolucija Evropskega parlamenta z dne </w:t>
      </w:r>
      <w:r w:rsidR="00C65808" w:rsidRPr="00C65808">
        <w:t>7</w:t>
      </w:r>
      <w:r w:rsidRPr="00C65808">
        <w:t>. julija 2026 o predlogu sklepa Evropskega parlamenta in Sveta o uporabi Solidarnostnega sklada Evropske unije za zagotovitev pomoči Romuniji v zvezi s poplavami konec maja 2025, Cipru po požarih v naravi julija 2025 in Španiji po požarih v naravi avgusta 2025</w:t>
      </w:r>
      <w:bookmarkEnd w:id="5"/>
      <w:r w:rsidRPr="00C65808">
        <w:t xml:space="preserve"> </w:t>
      </w:r>
      <w:bookmarkStart w:id="6" w:name="References"/>
      <w:r w:rsidRPr="00C65808">
        <w:t>(COM(2026)1002 – C10-0119/2026 – 2026/0120(BUD))</w:t>
      </w:r>
      <w:bookmarkEnd w:id="6"/>
    </w:p>
    <w:p w14:paraId="753B172F" w14:textId="77777777" w:rsidR="00D65E6B" w:rsidRPr="00C65808" w:rsidRDefault="00D65E6B" w:rsidP="00D65E6B">
      <w:pPr>
        <w:pStyle w:val="EPComma"/>
        <w:rPr>
          <w:noProof/>
        </w:rPr>
      </w:pPr>
      <w:r w:rsidRPr="00C65808">
        <w:rPr>
          <w:i/>
        </w:rPr>
        <w:t>Evropski parlament</w:t>
      </w:r>
      <w:r w:rsidRPr="00C65808">
        <w:t>,</w:t>
      </w:r>
    </w:p>
    <w:p w14:paraId="76F55B69" w14:textId="77777777" w:rsidR="00D65E6B" w:rsidRPr="00C65808" w:rsidRDefault="00D65E6B" w:rsidP="00D65E6B">
      <w:pPr>
        <w:pStyle w:val="NormalHanging12a"/>
        <w:rPr>
          <w:noProof/>
        </w:rPr>
      </w:pPr>
      <w:r w:rsidRPr="00C65808">
        <w:t>–</w:t>
      </w:r>
      <w:r w:rsidRPr="00C65808">
        <w:tab/>
        <w:t>ob upoštevanju predloga Komisije Evropskemu parlamentu in Svetu (COM(2026)1002 – C10</w:t>
      </w:r>
      <w:r w:rsidRPr="00C65808">
        <w:noBreakHyphen/>
        <w:t>0119/2026),</w:t>
      </w:r>
    </w:p>
    <w:p w14:paraId="3DC0B65E" w14:textId="77777777" w:rsidR="00D65E6B" w:rsidRPr="00C65808" w:rsidRDefault="00D65E6B" w:rsidP="00D65E6B">
      <w:pPr>
        <w:pStyle w:val="NormalHanging12a"/>
        <w:rPr>
          <w:noProof/>
        </w:rPr>
      </w:pPr>
      <w:r w:rsidRPr="00C65808">
        <w:t>–</w:t>
      </w:r>
      <w:r w:rsidRPr="00C65808">
        <w:tab/>
        <w:t>ob upoštevanju Uredbe Sveta (ES) št. 2012/2002 z dne 11. novembra 2002 o ustanovitvi Solidarnostnega sklada Evropske unije</w:t>
      </w:r>
      <w:r w:rsidRPr="00C65808">
        <w:rPr>
          <w:rStyle w:val="FootnoteReference"/>
        </w:rPr>
        <w:footnoteReference w:id="1"/>
      </w:r>
      <w:r w:rsidRPr="00C65808">
        <w:t>,</w:t>
      </w:r>
    </w:p>
    <w:p w14:paraId="25210B4B" w14:textId="77777777" w:rsidR="00D65E6B" w:rsidRPr="00C65808" w:rsidRDefault="00D65E6B" w:rsidP="00D65E6B">
      <w:pPr>
        <w:pStyle w:val="NormalHanging12a"/>
        <w:rPr>
          <w:noProof/>
        </w:rPr>
      </w:pPr>
      <w:r w:rsidRPr="00C65808">
        <w:t>–</w:t>
      </w:r>
      <w:r w:rsidRPr="00C65808">
        <w:tab/>
        <w:t>ob upoštevanju Uredbe Sveta (EU, Euratom) 2020/2093 z dne 17. decembra 2020 o določitvi večletnega finančnega okvira za obdobje 2021–2027</w:t>
      </w:r>
      <w:r w:rsidRPr="00C65808">
        <w:rPr>
          <w:rStyle w:val="FootnoteReference"/>
          <w:noProof/>
        </w:rPr>
        <w:footnoteReference w:id="2"/>
      </w:r>
      <w:r w:rsidRPr="00C65808">
        <w:t xml:space="preserve"> in zlasti člena 9,</w:t>
      </w:r>
    </w:p>
    <w:p w14:paraId="7FBAF93C" w14:textId="520E97FA" w:rsidR="00D65E6B" w:rsidRPr="00C65808" w:rsidRDefault="00D65E6B" w:rsidP="00D65E6B">
      <w:pPr>
        <w:pStyle w:val="NormalHanging12a"/>
        <w:rPr>
          <w:noProof/>
        </w:rPr>
      </w:pPr>
      <w:r w:rsidRPr="00C65808">
        <w:t>–</w:t>
      </w:r>
      <w:r w:rsidRPr="00C65808">
        <w:tab/>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C65808">
        <w:t>poslovodenju</w:t>
      </w:r>
      <w:proofErr w:type="spellEnd"/>
      <w:r w:rsidRPr="00C65808">
        <w:t xml:space="preserve"> ter novih virih lastnih sredstev, vključno s časovnim načrtom za uvedbo novih virov lastnih sredstev</w:t>
      </w:r>
      <w:r w:rsidRPr="00C65808">
        <w:rPr>
          <w:noProof/>
          <w:vertAlign w:val="superscript"/>
        </w:rPr>
        <w:footnoteReference w:id="3"/>
      </w:r>
      <w:r w:rsidRPr="00C65808">
        <w:t xml:space="preserve">, </w:t>
      </w:r>
      <w:r w:rsidR="00A373F5" w:rsidRPr="00C65808">
        <w:t xml:space="preserve">ter </w:t>
      </w:r>
      <w:r w:rsidRPr="00C65808">
        <w:t>zlasti točke 10</w:t>
      </w:r>
      <w:r w:rsidR="00A373F5" w:rsidRPr="00C65808">
        <w:t xml:space="preserve"> Sporazuma</w:t>
      </w:r>
      <w:r w:rsidRPr="00C65808">
        <w:t>,</w:t>
      </w:r>
    </w:p>
    <w:p w14:paraId="42F86D74" w14:textId="77777777" w:rsidR="00D65E6B" w:rsidRPr="00C65808" w:rsidRDefault="00D65E6B" w:rsidP="00D65E6B">
      <w:pPr>
        <w:pStyle w:val="NormalHanging12a"/>
        <w:rPr>
          <w:noProof/>
        </w:rPr>
      </w:pPr>
      <w:r w:rsidRPr="00C65808">
        <w:t>–</w:t>
      </w:r>
      <w:r w:rsidRPr="00C65808">
        <w:tab/>
        <w:t>ob upoštevanju Uredbe (EU) 2021/1058 Evropskega parlamenta in Sveta z dne 24. junija 2021 o Evropskem skladu za regionalni razvoj in Kohezijskem skladu</w:t>
      </w:r>
      <w:r w:rsidRPr="00C65808">
        <w:rPr>
          <w:noProof/>
          <w:vertAlign w:val="superscript"/>
        </w:rPr>
        <w:footnoteReference w:id="4"/>
      </w:r>
      <w:r w:rsidRPr="00C65808">
        <w:t>,</w:t>
      </w:r>
    </w:p>
    <w:p w14:paraId="4F8BE251" w14:textId="77777777" w:rsidR="00D65E6B" w:rsidRPr="00C65808" w:rsidRDefault="00D65E6B" w:rsidP="00D65E6B">
      <w:pPr>
        <w:pStyle w:val="NormalHanging12a"/>
        <w:rPr>
          <w:noProof/>
        </w:rPr>
      </w:pPr>
      <w:r w:rsidRPr="00C65808">
        <w:t>–</w:t>
      </w:r>
      <w:r w:rsidRPr="00C65808">
        <w:tab/>
        <w:t xml:space="preserve">ob upoštevanju Uredbe (EU) 2021/1057 Evropskega parlamenta in Sveta z dne </w:t>
      </w:r>
      <w:r w:rsidRPr="00C65808">
        <w:lastRenderedPageBreak/>
        <w:t>24. junija 2021 o vzpostavitvi Evropskega socialnega sklada plus (ESS+)</w:t>
      </w:r>
      <w:r w:rsidRPr="00C65808">
        <w:rPr>
          <w:noProof/>
          <w:vertAlign w:val="superscript"/>
        </w:rPr>
        <w:footnoteReference w:id="5"/>
      </w:r>
      <w:r w:rsidRPr="00C65808">
        <w:t>,</w:t>
      </w:r>
    </w:p>
    <w:p w14:paraId="44761BD6" w14:textId="77777777" w:rsidR="00D65E6B" w:rsidRPr="00C65808" w:rsidRDefault="00D65E6B" w:rsidP="00D65E6B">
      <w:pPr>
        <w:pStyle w:val="NormalHanging12a"/>
        <w:rPr>
          <w:noProof/>
        </w:rPr>
      </w:pPr>
      <w:r w:rsidRPr="00C65808">
        <w:t>–</w:t>
      </w:r>
      <w:r w:rsidRPr="00C65808">
        <w:tab/>
        <w:t>ob upoštevanju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C65808">
        <w:rPr>
          <w:rStyle w:val="FootnoteReference"/>
          <w:noProof/>
        </w:rPr>
        <w:footnoteReference w:id="6"/>
      </w:r>
      <w:r w:rsidRPr="00C65808">
        <w:t>,</w:t>
      </w:r>
    </w:p>
    <w:p w14:paraId="0216B57D" w14:textId="77777777" w:rsidR="00D65E6B" w:rsidRPr="00C65808" w:rsidRDefault="00D65E6B" w:rsidP="00D65E6B">
      <w:pPr>
        <w:pStyle w:val="NormalHanging12a"/>
        <w:rPr>
          <w:noProof/>
        </w:rPr>
      </w:pPr>
      <w:r w:rsidRPr="00C65808">
        <w:t>–</w:t>
      </w:r>
      <w:r w:rsidRPr="00C65808">
        <w:tab/>
        <w:t>ob upoštevanju svoje resolucije z dne 17. decembra 2024 o predlogu uredbe Evropskega parlamenta in Sveta RESTORE – regionalna nujna pomoč za obnovo ter spremembi Uredbe (EU) 2021/1058 in Uredbe (EU) 2021/1057</w:t>
      </w:r>
      <w:r w:rsidRPr="00C65808">
        <w:rPr>
          <w:rStyle w:val="FootnoteReference"/>
          <w:noProof/>
        </w:rPr>
        <w:footnoteReference w:id="7"/>
      </w:r>
      <w:r w:rsidRPr="00C65808">
        <w:t>, zlasti z njo povezane proračunske ocene,</w:t>
      </w:r>
    </w:p>
    <w:p w14:paraId="3C3D4098" w14:textId="77777777" w:rsidR="00D65E6B" w:rsidRPr="00C65808" w:rsidRDefault="00D65E6B" w:rsidP="00D65E6B">
      <w:pPr>
        <w:pStyle w:val="NormalHanging12a"/>
        <w:rPr>
          <w:noProof/>
        </w:rPr>
      </w:pPr>
      <w:r w:rsidRPr="00C65808">
        <w:t>–</w:t>
      </w:r>
      <w:r w:rsidRPr="00C65808">
        <w:tab/>
        <w:t>ob upoštevanju poročila Evropske agencije za okolje št. 1/2024 – Evropska ocena podnebnih tveganj (EUCRA)</w:t>
      </w:r>
      <w:r w:rsidRPr="00C65808">
        <w:rPr>
          <w:rStyle w:val="FootnoteReference"/>
          <w:noProof/>
        </w:rPr>
        <w:footnoteReference w:id="8"/>
      </w:r>
      <w:r w:rsidRPr="00C65808">
        <w:t>,</w:t>
      </w:r>
    </w:p>
    <w:p w14:paraId="14E3EC4D" w14:textId="77777777" w:rsidR="00D65E6B" w:rsidRPr="00C65808" w:rsidRDefault="00D65E6B" w:rsidP="00D65E6B">
      <w:pPr>
        <w:spacing w:after="240"/>
        <w:ind w:left="567" w:hanging="567"/>
        <w:rPr>
          <w:noProof/>
        </w:rPr>
      </w:pPr>
      <w:r w:rsidRPr="00C65808">
        <w:t>A.</w:t>
      </w:r>
      <w:r w:rsidRPr="00C65808">
        <w:tab/>
        <w:t xml:space="preserve">ker je Romunijo med 26. majem in začetkom junija 2025 prizadelo močno deževje, ki je povzročilo hude poplave v romunskih regijah Centru, </w:t>
      </w:r>
      <w:proofErr w:type="spellStart"/>
      <w:r w:rsidRPr="00C65808">
        <w:t>Sud</w:t>
      </w:r>
      <w:proofErr w:type="spellEnd"/>
      <w:r w:rsidRPr="00C65808">
        <w:t xml:space="preserve"> </w:t>
      </w:r>
      <w:proofErr w:type="spellStart"/>
      <w:r w:rsidRPr="00C65808">
        <w:t>Muntenia</w:t>
      </w:r>
      <w:proofErr w:type="spellEnd"/>
      <w:r w:rsidRPr="00C65808">
        <w:t xml:space="preserve"> in </w:t>
      </w:r>
      <w:proofErr w:type="spellStart"/>
      <w:r w:rsidRPr="00C65808">
        <w:t>Nord</w:t>
      </w:r>
      <w:proofErr w:type="spellEnd"/>
      <w:r w:rsidRPr="00C65808">
        <w:t xml:space="preserve"> </w:t>
      </w:r>
      <w:proofErr w:type="spellStart"/>
      <w:r w:rsidRPr="00C65808">
        <w:t>Est</w:t>
      </w:r>
      <w:proofErr w:type="spellEnd"/>
      <w:r w:rsidRPr="00C65808">
        <w:t xml:space="preserve">, pri čemer je po ocenah Komisije nastala skupna neposredna škoda v višini 573,59 milijona EUR, prizadeti pa so bili kritična infrastruktura, javne storitve in na tisoče gospodinjstev; ker so poplave povzročile ogromno škodo v rudniku soli </w:t>
      </w:r>
      <w:proofErr w:type="spellStart"/>
      <w:r w:rsidRPr="00C65808">
        <w:t>Praid</w:t>
      </w:r>
      <w:proofErr w:type="spellEnd"/>
      <w:r w:rsidRPr="00C65808">
        <w:t xml:space="preserve"> in na tamkajšnji hidrotehnični infrastrukturi;</w:t>
      </w:r>
    </w:p>
    <w:p w14:paraId="06ED11BB" w14:textId="4EE99354" w:rsidR="00D65E6B" w:rsidRPr="00C65808" w:rsidRDefault="00D65E6B" w:rsidP="00D65E6B">
      <w:pPr>
        <w:spacing w:after="240"/>
        <w:ind w:left="567" w:hanging="567"/>
        <w:rPr>
          <w:noProof/>
        </w:rPr>
      </w:pPr>
      <w:r w:rsidRPr="00C65808">
        <w:t>B.</w:t>
      </w:r>
      <w:r w:rsidRPr="00C65808">
        <w:tab/>
        <w:t xml:space="preserve">ker sta Ciper julija 2025 po dolgotrajni suši, ekstremnih vročinskih valovih in močnem vetru prizadela požara v naravi brez primere v regijah </w:t>
      </w:r>
      <w:proofErr w:type="spellStart"/>
      <w:r w:rsidRPr="00C65808">
        <w:t>Limassol</w:t>
      </w:r>
      <w:proofErr w:type="spellEnd"/>
      <w:r w:rsidRPr="00C65808">
        <w:t xml:space="preserve"> in </w:t>
      </w:r>
      <w:proofErr w:type="spellStart"/>
      <w:r w:rsidRPr="00C65808">
        <w:t>Pafos</w:t>
      </w:r>
      <w:proofErr w:type="spellEnd"/>
      <w:r w:rsidRPr="00C65808">
        <w:t>, ki sta po ocenah Komisije povzročila skupno neposredno škodo v višini 252,68</w:t>
      </w:r>
      <w:r w:rsidR="00442CD8" w:rsidRPr="00C65808">
        <w:t> </w:t>
      </w:r>
      <w:r w:rsidRPr="00C65808">
        <w:t>milijona</w:t>
      </w:r>
      <w:r w:rsidR="00442CD8" w:rsidRPr="00C65808">
        <w:t> </w:t>
      </w:r>
      <w:r w:rsidRPr="00C65808">
        <w:t>EUR; ker sta prizadela na tisoče prebivalcev, uničila skoraj 900 zasebnih nepremičnin in povzročila vsaj dve smrtni žrtvi;</w:t>
      </w:r>
    </w:p>
    <w:p w14:paraId="4FCDD88C" w14:textId="77777777" w:rsidR="00D65E6B" w:rsidRPr="00C65808" w:rsidRDefault="00D65E6B" w:rsidP="00D65E6B">
      <w:pPr>
        <w:spacing w:after="240"/>
        <w:ind w:left="567" w:hanging="567"/>
        <w:rPr>
          <w:noProof/>
        </w:rPr>
      </w:pPr>
      <w:r w:rsidRPr="00C65808">
        <w:t>C.</w:t>
      </w:r>
      <w:r w:rsidRPr="00C65808">
        <w:tab/>
        <w:t>ker je Španijo avgusta 2025 prizadel tretji val hudih požarov v naravi, pri čemer je Komisija skupno neposredno škodo ocenila na 4,32 milijarde EUR; ker so požari prizadeli 16 avtonomnih skupnosti ter povzročili veliko okoljsko, socialno in gospodarsko škodo, pa tudi vsaj osem smrtnih žrtev;</w:t>
      </w:r>
    </w:p>
    <w:p w14:paraId="26F953BE" w14:textId="77777777" w:rsidR="00D65E6B" w:rsidRPr="00C65808" w:rsidRDefault="00D65E6B" w:rsidP="00D65E6B">
      <w:pPr>
        <w:spacing w:after="240"/>
        <w:ind w:left="567" w:hanging="567"/>
        <w:rPr>
          <w:noProof/>
          <w:szCs w:val="24"/>
        </w:rPr>
      </w:pPr>
      <w:r w:rsidRPr="00C65808">
        <w:t>D.</w:t>
      </w:r>
      <w:r w:rsidRPr="00C65808">
        <w:tab/>
        <w:t>ker vse hujše in pogostejše poplave in požari v naravi v državah članicah odražajo vse hitrejše posledice podnebnih sprememb, zaradi česar je potrebno okrepljeno delovanje Unije pri ukrepih za prilagajanje, preprečevanje in odpornost;</w:t>
      </w:r>
    </w:p>
    <w:p w14:paraId="460E748B" w14:textId="77777777" w:rsidR="00D65E6B" w:rsidRPr="00C65808" w:rsidRDefault="00D65E6B" w:rsidP="00D65E6B">
      <w:pPr>
        <w:spacing w:after="240"/>
        <w:ind w:left="567" w:hanging="567"/>
        <w:rPr>
          <w:noProof/>
        </w:rPr>
      </w:pPr>
      <w:bookmarkStart w:id="7" w:name="_Hlk230861495"/>
      <w:r w:rsidRPr="00C65808">
        <w:t>1.</w:t>
      </w:r>
      <w:r w:rsidRPr="00C65808">
        <w:tab/>
        <w:t>izraža globoko solidarnost z vsemi žrtvami, njihovimi družinami in posamezniki, ki so jih prizadele poplave v Romuniji konec maja in v začetku junija 2025 ter požari v naravi na Cipru julija 2025 in v Španiji avgusta 2025, pa tudi z nacionalnimi, regionalnimi in lokalnimi organi, ki sodelujejo pri nudenju pomoči;</w:t>
      </w:r>
    </w:p>
    <w:bookmarkEnd w:id="7"/>
    <w:p w14:paraId="3399CE24" w14:textId="71C5CA77" w:rsidR="00D65E6B" w:rsidRPr="00C65808" w:rsidRDefault="00D65E6B" w:rsidP="00D65E6B">
      <w:pPr>
        <w:spacing w:after="240"/>
        <w:ind w:left="567" w:hanging="567"/>
        <w:rPr>
          <w:noProof/>
        </w:rPr>
      </w:pPr>
      <w:r w:rsidRPr="00C65808">
        <w:t>2.</w:t>
      </w:r>
      <w:r w:rsidRPr="00C65808">
        <w:tab/>
        <w:t xml:space="preserve">pozdravlja ta sklep kot oprijemljivo in prepoznavno obliko solidarnosti Unije z državljani in regijami, prizadetimi zaradi poplav in požarov </w:t>
      </w:r>
      <w:r w:rsidR="00430961" w:rsidRPr="00C65808">
        <w:t xml:space="preserve">v naravi </w:t>
      </w:r>
      <w:r w:rsidRPr="00C65808">
        <w:t xml:space="preserve">v Romuniji, na </w:t>
      </w:r>
      <w:r w:rsidRPr="00C65808">
        <w:lastRenderedPageBreak/>
        <w:t>Cipru in v Španiji;</w:t>
      </w:r>
    </w:p>
    <w:p w14:paraId="2E860628" w14:textId="77777777" w:rsidR="00D65E6B" w:rsidRPr="00C65808" w:rsidRDefault="00D65E6B" w:rsidP="00D65E6B">
      <w:pPr>
        <w:spacing w:after="240"/>
        <w:ind w:left="567" w:hanging="567"/>
        <w:rPr>
          <w:noProof/>
          <w:kern w:val="2"/>
          <w:szCs w:val="24"/>
          <w14:ligatures w14:val="standardContextual"/>
        </w:rPr>
      </w:pPr>
      <w:r w:rsidRPr="00C65808">
        <w:t>3.</w:t>
      </w:r>
      <w:r w:rsidRPr="00C65808">
        <w:tab/>
        <w:t>ponovno poudarja, da je pomembno obveščati javnost o oprijemljivih koristih, ki jih prinaša Solidarnostni sklad EU, da bi še povečali ozaveščenost državljanov v zvezi z orodji in programi Unije ter evropsko solidarnostjo v času krize, zlasti na prizadetih območjih;</w:t>
      </w:r>
    </w:p>
    <w:p w14:paraId="66A70685" w14:textId="77777777" w:rsidR="00D65E6B" w:rsidRPr="00C65808" w:rsidRDefault="00D65E6B" w:rsidP="00D65E6B">
      <w:pPr>
        <w:spacing w:after="240"/>
        <w:ind w:left="567" w:hanging="567"/>
        <w:rPr>
          <w:bCs/>
          <w:iCs/>
          <w:noProof/>
        </w:rPr>
      </w:pPr>
      <w:r w:rsidRPr="00C65808">
        <w:t>4.</w:t>
      </w:r>
      <w:r w:rsidRPr="00C65808">
        <w:tab/>
        <w:t>opozarja, da je proračun Solidarnostnega sklada EU omejen in ne more biti razumljen kot edini instrument v primeru hujših naravnih nesreč; zato poziva k oceni finančne zmogljivosti proračuna Unije; poudarja, da je treba pospešiti in poenostaviti vse postopke sklada, da bi pomoč čim prej dosegla prizadeta območja;</w:t>
      </w:r>
    </w:p>
    <w:p w14:paraId="30B1FBED" w14:textId="77777777" w:rsidR="00D65E6B" w:rsidRPr="00C65808" w:rsidRDefault="00D65E6B" w:rsidP="00D65E6B">
      <w:pPr>
        <w:spacing w:after="240"/>
        <w:ind w:left="567" w:hanging="567"/>
        <w:rPr>
          <w:noProof/>
          <w:kern w:val="2"/>
          <w:szCs w:val="24"/>
          <w14:ligatures w14:val="standardContextual"/>
        </w:rPr>
      </w:pPr>
      <w:r w:rsidRPr="00C65808">
        <w:t>5.</w:t>
      </w:r>
      <w:r w:rsidRPr="00C65808">
        <w:tab/>
        <w:t>opozarja na vse večje število hudih, uničujočih in smrtonosnih naravnih nesreč v Evropi ter poziva države članice in Komisijo, naj vlagajo v ukrepe za blažitev podnebnih sprememb in prilagajanje nanje, da bi preprečili človeške in gospodarske izgube; poziva države članice, naj upoštevajo, da podnebna tveganja zaradi socialno-ekonomskih dejavnikov nesorazmerno vplivajo na ranljivo prebivalstvo; ugotavlja, da bi morale države članice dati prednost ukrepom za okrevanje, da bi podprle prizadeto prebivalstvo, zlasti ranljive skupnosti, da bi med okrevanjem zagotovile dostop do ustreznih stanovanj in osnovnih storitev;</w:t>
      </w:r>
      <w:r w:rsidRPr="00C65808">
        <w:rPr>
          <w:b/>
          <w:i/>
        </w:rPr>
        <w:t xml:space="preserve"> </w:t>
      </w:r>
      <w:r w:rsidRPr="00C65808">
        <w:t>poziva k prizadevanjem za to, da bo pomoč iz Solidarnostnega sklada EU hitro dosegla končne prejemnike, med drugim podjetja, tudi mala in srednja, družine in prizadete državljane, ter da bo namenjena obnovi infrastrukture in odpravi materialne škode, vse skupaj z ustrezno oceno učinka in ustreznimi nadzornimi mehanizmi;</w:t>
      </w:r>
      <w:r w:rsidRPr="00C65808">
        <w:rPr>
          <w:b/>
          <w:i/>
        </w:rPr>
        <w:t xml:space="preserve"> </w:t>
      </w:r>
      <w:r w:rsidRPr="00C65808">
        <w:t>poudarja, da je treba obnoviti in okrepiti kritično infrastrukturo, vključno s prometnimi, energetskimi, vodooskrbnimi, zdravstvenimi in komunikacijskimi omrežji, da bi povečali odpornost prizadetih regij in zmanjšali ranljivost za prihodnje nesreče;</w:t>
      </w:r>
    </w:p>
    <w:p w14:paraId="371A843F" w14:textId="77777777" w:rsidR="00D65E6B" w:rsidRPr="00C65808" w:rsidRDefault="00D65E6B" w:rsidP="00D65E6B">
      <w:pPr>
        <w:spacing w:after="240"/>
        <w:ind w:left="567" w:hanging="567"/>
        <w:rPr>
          <w:noProof/>
          <w:kern w:val="2"/>
          <w:szCs w:val="24"/>
          <w14:ligatures w14:val="standardContextual"/>
        </w:rPr>
      </w:pPr>
      <w:r w:rsidRPr="00C65808">
        <w:t>6.</w:t>
      </w:r>
      <w:r w:rsidRPr="00C65808">
        <w:tab/>
        <w:t>poudarja, da je Solidarnostni sklad EU le kurativni instrument in da bi morala Unija s podporo evropskim in nacionalnim politikam za preprečevanje naravnih nesreč še naprej skrbeti za prilagajanje podnebnim spremembam in njihovo blažitev; poudarja, da je v poročilu Evropske agencije za okolje št. 1/2024 z oceno evropskih podnebnih tveganj poudarjeno, da je treba ukrepati v zvezi s tveganji, ugotovljenimi v poročilu; poziva države članice in Komisijo, naj si še naprej prizadevajo za krepitev odpornosti, izboljšanje pripravljenosti in prispevanje k izvajanju zavez iz Pariškega sporazuma, hkrati pa zagotovijo učinkovito preprečevanje nesreč, obvladovanje tveganj in zmogljivosti civilne zaščite po vsej Uniji; poudarja tudi, da so potrebni preventivni ukrepi, ne le za to, da bi ublažili škodo v prihodnje, marveč tudi preprečili, da bi se nevarne razmere po naravnih katastrofah, kot so poplave, požari v naravi, zemeljski plazovi ali sušenje jezer in rek, še poslabšale; opozarja na pomen ustrezne prožnosti med različnimi programi;</w:t>
      </w:r>
      <w:bookmarkStart w:id="8" w:name="_Hlk233120310"/>
      <w:r w:rsidRPr="00C65808">
        <w:t xml:space="preserve"> poudarja, da mora vsako prožnost med različnimi programi financiranja spremljati strog proračunski nadzor, da bi se izognili podvajanju ali tratenju sredstev, ter da mora v celoti spoštovati načela proračunske učinkovitosti in ciljno usmerjene kazalnike uspešnosti;</w:t>
      </w:r>
      <w:bookmarkEnd w:id="8"/>
    </w:p>
    <w:p w14:paraId="0F5033DD" w14:textId="77777777" w:rsidR="00D65E6B" w:rsidRPr="00C65808" w:rsidRDefault="00D65E6B" w:rsidP="00D65E6B">
      <w:pPr>
        <w:spacing w:after="240"/>
        <w:ind w:left="567" w:hanging="567"/>
        <w:rPr>
          <w:noProof/>
        </w:rPr>
      </w:pPr>
      <w:r w:rsidRPr="00C65808">
        <w:t>7.</w:t>
      </w:r>
      <w:r w:rsidRPr="00C65808">
        <w:tab/>
        <w:t>želi spomniti, da program RESTORE</w:t>
      </w:r>
      <w:r w:rsidRPr="00C65808">
        <w:rPr>
          <w:rStyle w:val="FootnoteReference"/>
          <w:noProof/>
        </w:rPr>
        <w:footnoteReference w:id="9"/>
      </w:r>
      <w:r w:rsidRPr="00C65808">
        <w:t xml:space="preserve"> in posebni ukrepi Evropskega kmetijskega sklada za razvoj podeželja (EKSRP)</w:t>
      </w:r>
      <w:r w:rsidRPr="00C65808">
        <w:rPr>
          <w:rStyle w:val="FootnoteReference"/>
          <w:noProof/>
        </w:rPr>
        <w:footnoteReference w:id="10"/>
      </w:r>
      <w:r w:rsidRPr="00C65808">
        <w:t xml:space="preserve"> zagotavljajo dodatno pomoč državam članicam, ki so jih prizadele naravne nesreče, in sicer z dodatno prožnostjo pri uporabi sredstev; poudarja, </w:t>
      </w:r>
      <w:r w:rsidRPr="00C65808">
        <w:lastRenderedPageBreak/>
        <w:t>da bi morale države članice te priložnosti izkoristiti;</w:t>
      </w:r>
    </w:p>
    <w:p w14:paraId="12E269FF" w14:textId="77777777" w:rsidR="00D65E6B" w:rsidRPr="00C65808" w:rsidRDefault="00D65E6B" w:rsidP="00D65E6B">
      <w:pPr>
        <w:spacing w:after="240"/>
        <w:ind w:left="567" w:hanging="567"/>
        <w:rPr>
          <w:rFonts w:eastAsiaTheme="minorHAnsi"/>
          <w:noProof/>
          <w:kern w:val="2"/>
          <w:szCs w:val="24"/>
          <w14:ligatures w14:val="standardContextual"/>
        </w:rPr>
      </w:pPr>
      <w:r w:rsidRPr="00C65808">
        <w:t>8.</w:t>
      </w:r>
      <w:r w:rsidRPr="00C65808">
        <w:tab/>
        <w:t>želi spomniti, da so potrebne učinkovite sinergije z drugimi politikami in programi Unije, in poudarja, da bi morale države članice čim bolj izkoristiti možnosti financiranja, zlasti iz Evropskega sklada za regionalni razvoj in Evropskega socialnega sklada+ ter programov za razvoj podeželja; poziva Komisijo, naj z ustrezno nujnostjo oceni vse utemeljene zahteve držav članic za prerazporeditev sredstev v nacionalnih načrtih za okrevanje in odpornost za pomoč pri naravnih nesrečah v skladu s pravili iz Uredbe (EU) 2021/241 Evropskega parlamenta in Sveta</w:t>
      </w:r>
      <w:r w:rsidRPr="00C65808">
        <w:rPr>
          <w:rFonts w:eastAsiaTheme="minorHAnsi"/>
          <w:noProof/>
          <w:kern w:val="2"/>
          <w:szCs w:val="24"/>
          <w:vertAlign w:val="superscript"/>
          <w:lang w:eastAsia="en-US"/>
        </w:rPr>
        <w:footnoteReference w:id="11"/>
      </w:r>
      <w:r w:rsidRPr="00C65808">
        <w:t xml:space="preserve">; poziva ustrezne organe, naj zagotovijo primerno in potrebno usklajevanje med nacionalno, regionalno in lokalno ravnjo, da bi zagotovili, da bodo sredstva za vse prizadete kraje razdeljena na pregleden in pravičen način in </w:t>
      </w:r>
      <w:proofErr w:type="spellStart"/>
      <w:r w:rsidRPr="00C65808">
        <w:t>nesamovoljno</w:t>
      </w:r>
      <w:proofErr w:type="spellEnd"/>
      <w:r w:rsidRPr="00C65808">
        <w:t>;</w:t>
      </w:r>
    </w:p>
    <w:p w14:paraId="130924C5" w14:textId="77777777" w:rsidR="00D65E6B" w:rsidRPr="00C65808" w:rsidRDefault="00D65E6B" w:rsidP="00D65E6B">
      <w:pPr>
        <w:spacing w:after="240"/>
        <w:ind w:left="567" w:hanging="567"/>
        <w:rPr>
          <w:noProof/>
        </w:rPr>
      </w:pPr>
      <w:r w:rsidRPr="00C65808">
        <w:t>9.</w:t>
      </w:r>
      <w:r w:rsidRPr="00C65808">
        <w:tab/>
        <w:t>poudarja, da se pomoč iz Solidarnostnega sklada EU ne bi smela izplačevati na račun financiranja Unije, ki ga države članice prejmejo v okviru drugih politik ali programov Unije; želi spomniti, da lahko države članice dodelijo državno pomoč v skladu z veljavnimi pravili Unije, zlasti za kmetijska podjetja, ki so utrpela škodo zaradi naravnih nesreč;</w:t>
      </w:r>
    </w:p>
    <w:p w14:paraId="60D457D5" w14:textId="77777777" w:rsidR="00D65E6B" w:rsidRPr="00C65808" w:rsidRDefault="00D65E6B" w:rsidP="00D65E6B">
      <w:pPr>
        <w:spacing w:after="240"/>
        <w:ind w:left="567" w:hanging="567"/>
        <w:rPr>
          <w:noProof/>
          <w:kern w:val="2"/>
          <w:szCs w:val="24"/>
          <w14:ligatures w14:val="standardContextual"/>
        </w:rPr>
      </w:pPr>
      <w:r w:rsidRPr="00C65808">
        <w:t>10.</w:t>
      </w:r>
      <w:r w:rsidRPr="00C65808">
        <w:tab/>
        <w:t>opozarja, da je pomembno hitro in zanesljivo oceniti škodo, pri tem pa ustrezno upoštevati gospodarske posledice, in poziva k večjim operativnim prizadevanjem, da bi skrajšali povprečni čas za sprostitev predplačil, hkrati pa zaščitili proračun Unije; v zvezi s tem poudarja, da so potrebni popolna preglednost, učinkovito spremljanje in naknadni nadzor uporabe sredstev Solidarnostnega sklada EU, da bi zagotovili, da bodo sredstva Unije dosegla prizadete regije in prebivalstvo; poziva Komisijo, naj preuči vse možnosti za to, da bi se sredstva Solidarnostnega sklada EU hitreje mobilizirala;</w:t>
      </w:r>
    </w:p>
    <w:p w14:paraId="4D3A5E0B" w14:textId="77777777" w:rsidR="00D65E6B" w:rsidRDefault="00D65E6B" w:rsidP="00D65E6B">
      <w:pPr>
        <w:spacing w:after="240"/>
        <w:ind w:left="567" w:hanging="567"/>
      </w:pPr>
      <w:r w:rsidRPr="00C65808">
        <w:t>11.</w:t>
      </w:r>
      <w:r w:rsidRPr="00C65808">
        <w:tab/>
        <w:t>poudarja, da je treba nujno nemudoma sprostiti finančno pomoč iz Solidarnostnega sklada EU prizadetim državljanom, družinam, podjetjem in lokalnim skupnostim, da bo lahko pravočasno prispela v Romunijo, na Ciper in v Španijo; prav tako poziva Komisijo, naj preuči vse možnosti za pospešitev uporabe Solidarnostnega sklada EU, zlasti s spremembo veljavnih pravil in odobritvijo višjih predplačil državam prosilkam; poudarja, da je treba skrajšati čas med predložitvijo vloge za pomoč iz Solidarnostnega sklada EU in sklepom o financiranju; opozarja, da je treba poenostaviti in pospešiti notranje postopke, ne da bi pri tem ogrozili institucionalno ravnovesje, zlasti pravice Evropskega parlamenta kot ene od vej proračunskega organa;</w:t>
      </w:r>
    </w:p>
    <w:p w14:paraId="392E5309" w14:textId="1FFC585C" w:rsidR="00785946" w:rsidRPr="00C65808" w:rsidRDefault="00785946" w:rsidP="00D65E6B">
      <w:pPr>
        <w:spacing w:after="240"/>
        <w:ind w:left="567" w:hanging="567"/>
        <w:rPr>
          <w:noProof/>
          <w:kern w:val="2"/>
          <w:szCs w:val="24"/>
          <w14:ligatures w14:val="standardContextual"/>
        </w:rPr>
      </w:pPr>
      <w:r w:rsidRPr="00785946">
        <w:rPr>
          <w:noProof/>
          <w:kern w:val="2"/>
          <w:szCs w:val="24"/>
          <w14:ligatures w14:val="standardContextual"/>
        </w:rPr>
        <w:t>1</w:t>
      </w:r>
      <w:r w:rsidR="00142967">
        <w:rPr>
          <w:noProof/>
          <w:kern w:val="2"/>
          <w:szCs w:val="24"/>
          <w14:ligatures w14:val="standardContextual"/>
        </w:rPr>
        <w:t>2</w:t>
      </w:r>
      <w:r w:rsidRPr="00785946">
        <w:rPr>
          <w:noProof/>
          <w:kern w:val="2"/>
          <w:szCs w:val="24"/>
          <w14:ligatures w14:val="standardContextual"/>
        </w:rPr>
        <w:t>.</w:t>
      </w:r>
      <w:r w:rsidRPr="00785946">
        <w:rPr>
          <w:noProof/>
          <w:kern w:val="2"/>
          <w:szCs w:val="24"/>
          <w14:ligatures w14:val="standardContextual"/>
        </w:rPr>
        <w:tab/>
        <w:t xml:space="preserve">poziva Komisijo, naj v tesnem sodelovanju z romunskimi oblastmi podpre hitro obnovo rudnika soli Praid in prizadetih okoliških skupnosti, pri čemer naj prizna njegov edinstven strateški pomen za regionalno gospodarsko odpornost, zaposlovanje, turizem, javno zdravje, kritično infrastrukturo in infrastrukturo za upravljanje voda; v zvezi s tem poziva, naj se v celoti uporabijo vsi ustrezni instrumenti financiranja Unije in izkoristi čim večja prožnost, ki je na voljo v okviru obstoječih pravil Unije, da bi pospešili okrevanje, obnovili osnovne storitve, podprli lokalno gospodarstvo in okrepili dolgoročno odpornost regije proti prihodnjim tveganjem, povezanim s poplavami; poziva Komisijo, naj glede na obseg izzivov ter njihov socialni in gospodarski učinek opredeli dodatne finančne instrumente in solidarnostne mehanizme za podporo </w:t>
      </w:r>
      <w:r w:rsidRPr="00785946">
        <w:rPr>
          <w:noProof/>
          <w:kern w:val="2"/>
          <w:szCs w:val="24"/>
          <w14:ligatures w14:val="standardContextual"/>
        </w:rPr>
        <w:lastRenderedPageBreak/>
        <w:t>prizadetim delavcem in regijam, vključno z večjo prožnostjo pri uporabi sredstev kohezijske politike, mobilizacijo Evropskega socialnega sklada plus (ESS+), Evropskega sklada za prilagoditev globalizaciji za presežne delavce (ESPG) in vseh drugih ustreznih finančnih instrumentov Unije;</w:t>
      </w:r>
    </w:p>
    <w:p w14:paraId="5336B9C4" w14:textId="2ED67AAB" w:rsidR="00D65E6B" w:rsidRPr="00C65808" w:rsidRDefault="00142967" w:rsidP="00D65E6B">
      <w:pPr>
        <w:spacing w:after="240"/>
        <w:ind w:left="567" w:hanging="567"/>
        <w:rPr>
          <w:noProof/>
        </w:rPr>
      </w:pPr>
      <w:r>
        <w:t>13</w:t>
      </w:r>
      <w:r w:rsidR="00D65E6B" w:rsidRPr="00C65808">
        <w:t>.</w:t>
      </w:r>
      <w:r w:rsidR="00D65E6B" w:rsidRPr="00C65808">
        <w:tab/>
        <w:t>odobri sklep, priložen tej resoluciji;</w:t>
      </w:r>
    </w:p>
    <w:p w14:paraId="75817203" w14:textId="752CC344" w:rsidR="00D65E6B" w:rsidRPr="00C65808" w:rsidRDefault="00142967" w:rsidP="00D65E6B">
      <w:pPr>
        <w:spacing w:after="240"/>
        <w:ind w:left="567" w:hanging="567"/>
        <w:rPr>
          <w:noProof/>
        </w:rPr>
      </w:pPr>
      <w:r>
        <w:t>14</w:t>
      </w:r>
      <w:r w:rsidR="00D65E6B" w:rsidRPr="00C65808">
        <w:t>.</w:t>
      </w:r>
      <w:r w:rsidR="00D65E6B" w:rsidRPr="00C65808">
        <w:tab/>
        <w:t xml:space="preserve">naroči svoji predsednici, da podpiše ta sklep skupaj s predsedujočim Svetu ter poskrbi za njegovo objavo v </w:t>
      </w:r>
      <w:r w:rsidR="00D65E6B" w:rsidRPr="00C65808">
        <w:rPr>
          <w:i/>
        </w:rPr>
        <w:t>Uradnem listu Evropske unije</w:t>
      </w:r>
      <w:r w:rsidR="00D65E6B" w:rsidRPr="00C65808">
        <w:t>;</w:t>
      </w:r>
    </w:p>
    <w:p w14:paraId="01FFC6D1" w14:textId="514BFD0A" w:rsidR="00D65E6B" w:rsidRPr="00C65808" w:rsidRDefault="00142967" w:rsidP="00D65E6B">
      <w:pPr>
        <w:spacing w:after="240"/>
        <w:ind w:left="567" w:hanging="567"/>
        <w:rPr>
          <w:noProof/>
        </w:rPr>
      </w:pPr>
      <w:r>
        <w:t>15</w:t>
      </w:r>
      <w:r w:rsidR="00D65E6B" w:rsidRPr="00C65808">
        <w:t>.</w:t>
      </w:r>
      <w:r w:rsidR="00D65E6B" w:rsidRPr="00C65808">
        <w:tab/>
        <w:t>naroči svoji predsednici, naj resolucijo skupaj s prilogo posreduje Svetu in Komisiji.</w:t>
      </w:r>
    </w:p>
    <w:p w14:paraId="258D7470" w14:textId="77777777" w:rsidR="00D65E6B" w:rsidRPr="00C65808" w:rsidRDefault="00D65E6B" w:rsidP="00D65E6B">
      <w:pPr>
        <w:rPr>
          <w:noProof/>
        </w:rPr>
      </w:pPr>
    </w:p>
    <w:p w14:paraId="3EB8AA21" w14:textId="77777777" w:rsidR="00D65E6B" w:rsidRPr="00C65808" w:rsidRDefault="00D65E6B" w:rsidP="00D65E6B">
      <w:pPr>
        <w:pStyle w:val="PageHeading"/>
        <w:rPr>
          <w:noProof/>
        </w:rPr>
        <w:sectPr w:rsidR="00D65E6B" w:rsidRPr="00C65808" w:rsidSect="00052F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638BBB" w14:textId="77777777" w:rsidR="00D65E6B" w:rsidRPr="00C65808" w:rsidRDefault="00D65E6B" w:rsidP="00D65E6B">
      <w:pPr>
        <w:pStyle w:val="PageHeading"/>
        <w:rPr>
          <w:noProof/>
        </w:rPr>
      </w:pPr>
      <w:bookmarkStart w:id="9" w:name="_Toc233880604"/>
      <w:r w:rsidRPr="00C65808">
        <w:lastRenderedPageBreak/>
        <w:t>PRILOGA: SKLEP EVROPSKEGA PARLAMENTA IN SVETA</w:t>
      </w:r>
      <w:bookmarkEnd w:id="9"/>
    </w:p>
    <w:p w14:paraId="7EF4534E" w14:textId="77777777" w:rsidR="00D65E6B" w:rsidRPr="00C65808" w:rsidRDefault="00D65E6B" w:rsidP="00D65E6B">
      <w:pPr>
        <w:spacing w:after="480"/>
        <w:rPr>
          <w:b/>
          <w:bCs/>
        </w:rPr>
      </w:pPr>
      <w:r w:rsidRPr="00C65808">
        <w:rPr>
          <w:b/>
        </w:rPr>
        <w:t>o uporabi Solidarnostnega sklada Evropske unije za zagotovitev pomoči Romuniji v zvezi s poplavami konec maja 2025, Cipru po požarih v naravi julija 2025 in Španiji po požarih v naravi avgusta 2025</w:t>
      </w:r>
    </w:p>
    <w:p w14:paraId="7E2CD763" w14:textId="77777777" w:rsidR="00D65E6B" w:rsidRPr="00C65808" w:rsidRDefault="00D65E6B" w:rsidP="00D65E6B">
      <w:pPr>
        <w:pStyle w:val="NormalHanging12a"/>
      </w:pPr>
      <w:r w:rsidRPr="00C65808">
        <w:t>EVROPSKI PARLAMENT IN SVET EVROPSKE UNIJE STA –</w:t>
      </w:r>
    </w:p>
    <w:p w14:paraId="194FDB24" w14:textId="77777777" w:rsidR="00D65E6B" w:rsidRPr="00C65808" w:rsidRDefault="00D65E6B" w:rsidP="00D65E6B">
      <w:pPr>
        <w:pStyle w:val="NormalHanging12a"/>
      </w:pPr>
      <w:r w:rsidRPr="00C65808">
        <w:t>ob upoštevanju Pogodbe o delovanju Evropske unije,</w:t>
      </w:r>
    </w:p>
    <w:p w14:paraId="2796B664" w14:textId="77777777" w:rsidR="00D65E6B" w:rsidRPr="00C65808" w:rsidRDefault="00D65E6B" w:rsidP="00D65E6B">
      <w:pPr>
        <w:pStyle w:val="NormalHanging12a"/>
        <w:ind w:left="0" w:firstLine="0"/>
      </w:pPr>
      <w:r w:rsidRPr="00C65808">
        <w:t>ob upoštevanju Uredbe Sveta (ES) št. 2012/2002 z dne 11. novembra 2002 o ustanovitvi Solidarnostnega sklada Evropske unije</w:t>
      </w:r>
      <w:r w:rsidRPr="00C65808">
        <w:rPr>
          <w:vertAlign w:val="superscript"/>
        </w:rPr>
        <w:footnoteReference w:id="12"/>
      </w:r>
      <w:r w:rsidRPr="00C65808">
        <w:t xml:space="preserve"> in zlasti člena 4(3) Uredbe,</w:t>
      </w:r>
    </w:p>
    <w:p w14:paraId="5BDFEAA6" w14:textId="77777777" w:rsidR="00D65E6B" w:rsidRPr="00C65808" w:rsidRDefault="00D65E6B" w:rsidP="00442CD8">
      <w:pPr>
        <w:tabs>
          <w:tab w:val="left" w:pos="567"/>
          <w:tab w:val="left" w:pos="1134"/>
        </w:tabs>
        <w:spacing w:after="240"/>
        <w:rPr>
          <w:noProof/>
          <w:szCs w:val="24"/>
        </w:rPr>
      </w:pPr>
      <w:r w:rsidRPr="00C65808">
        <w:t>ob upoštevanju Uredbe Sveta (EU, Euratom) 2020/2093 z dne 17. decembra 2020 o določitvi večletnega finančnega okvira za obdobje 2021–2027</w:t>
      </w:r>
      <w:r w:rsidRPr="00C65808">
        <w:rPr>
          <w:rStyle w:val="FootnoteReference"/>
          <w:noProof/>
          <w:szCs w:val="24"/>
        </w:rPr>
        <w:footnoteReference w:id="13"/>
      </w:r>
      <w:r w:rsidRPr="00C65808">
        <w:t xml:space="preserve"> in zlasti člena 9,</w:t>
      </w:r>
    </w:p>
    <w:p w14:paraId="1E157986" w14:textId="77777777" w:rsidR="00D65E6B" w:rsidRPr="00C65808" w:rsidRDefault="00D65E6B" w:rsidP="00D65E6B">
      <w:pPr>
        <w:pStyle w:val="NormalHanging12a"/>
        <w:ind w:left="0" w:firstLine="0"/>
      </w:pPr>
      <w:r w:rsidRPr="00C65808">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C65808">
        <w:t>poslovodenju</w:t>
      </w:r>
      <w:proofErr w:type="spellEnd"/>
      <w:r w:rsidRPr="00C65808">
        <w:t xml:space="preserve"> ter novih virih lastnih sredstev, vključno s časovnim načrtom za uvedbo novih virov lastnih sredstev</w:t>
      </w:r>
      <w:r w:rsidRPr="00C65808">
        <w:rPr>
          <w:vertAlign w:val="superscript"/>
        </w:rPr>
        <w:footnoteReference w:id="14"/>
      </w:r>
      <w:r w:rsidRPr="00C65808">
        <w:t>, in zlasti točke 10 Sporazuma,</w:t>
      </w:r>
    </w:p>
    <w:p w14:paraId="38E3CEB0" w14:textId="77777777" w:rsidR="00D65E6B" w:rsidRPr="00C65808" w:rsidRDefault="00D65E6B" w:rsidP="00D65E6B">
      <w:pPr>
        <w:pStyle w:val="NormalHanging12a"/>
      </w:pPr>
      <w:r w:rsidRPr="00C65808">
        <w:t>ob upoštevanju predloga Evropske komisije,</w:t>
      </w:r>
    </w:p>
    <w:p w14:paraId="167D1AF2" w14:textId="77777777" w:rsidR="00D65E6B" w:rsidRPr="00C65808" w:rsidRDefault="00D65E6B" w:rsidP="00D65E6B">
      <w:pPr>
        <w:pStyle w:val="NormalHanging12a"/>
      </w:pPr>
      <w:r w:rsidRPr="00C65808">
        <w:t>ob upoštevanju naslednjega:</w:t>
      </w:r>
    </w:p>
    <w:p w14:paraId="587F63B2" w14:textId="77777777" w:rsidR="00D65E6B" w:rsidRPr="00C65808" w:rsidRDefault="00D65E6B" w:rsidP="00D65E6B">
      <w:pPr>
        <w:pStyle w:val="NormalHanging12a"/>
      </w:pPr>
      <w:r w:rsidRPr="00C65808">
        <w:t>(1)</w:t>
      </w:r>
      <w:r w:rsidRPr="00C65808">
        <w:tab/>
        <w:t>Namen Solidarnostnega sklada Evropske unije (v nadaljnjem besedilu: „sklad“) je omogočiti Uniji, da se hitro, učinkovito in fleksibilno odziva na izredne razmere in tako izkazuje solidarnost s prebivalstvom regij, ki so jih prizadele večje ali regionalne naravne nesreče ali izredne razmere večjih razsežnosti v javnem zdravju.</w:t>
      </w:r>
    </w:p>
    <w:p w14:paraId="2A207CD5" w14:textId="77777777" w:rsidR="00D65E6B" w:rsidRPr="00C65808" w:rsidRDefault="00D65E6B" w:rsidP="00D65E6B">
      <w:pPr>
        <w:pStyle w:val="NormalHanging12a"/>
      </w:pPr>
      <w:r w:rsidRPr="00C65808">
        <w:t>(2)</w:t>
      </w:r>
      <w:r w:rsidRPr="00C65808">
        <w:tab/>
        <w:t>Sredstva sklada ne smejo preseči zgornjih mej, določenih v členu 9 Uredbe Sveta (EU, Euratom) 2020/2093, kot je bila spremenjena z Uredbo (EU, Euratom) 2024/765</w:t>
      </w:r>
      <w:r w:rsidRPr="00C65808">
        <w:rPr>
          <w:noProof/>
          <w:vertAlign w:val="superscript"/>
        </w:rPr>
        <w:footnoteReference w:id="15"/>
      </w:r>
      <w:r w:rsidRPr="00C65808">
        <w:t>.</w:t>
      </w:r>
    </w:p>
    <w:p w14:paraId="3B61B0B3" w14:textId="236DF7C4" w:rsidR="00D65E6B" w:rsidRPr="00C65808" w:rsidRDefault="00D65E6B" w:rsidP="00D65E6B">
      <w:pPr>
        <w:pStyle w:val="NormalHanging12a"/>
      </w:pPr>
      <w:r w:rsidRPr="00C65808">
        <w:t>(3)</w:t>
      </w:r>
      <w:r w:rsidRPr="00C65808">
        <w:tab/>
        <w:t>Romunija je 14. avgusta 2025 vložila vlogo za uporabo sklada po poplavah konec maja in v začetku junija 2025.</w:t>
      </w:r>
    </w:p>
    <w:p w14:paraId="00B51081" w14:textId="77777777" w:rsidR="007976DD" w:rsidRPr="00C65808" w:rsidRDefault="00D65E6B" w:rsidP="00D65E6B">
      <w:pPr>
        <w:pStyle w:val="NormalHanging12a"/>
      </w:pPr>
      <w:r w:rsidRPr="00C65808">
        <w:t>(4)</w:t>
      </w:r>
      <w:r w:rsidRPr="00C65808">
        <w:tab/>
        <w:t>Ciper je 14. oktobra 2025 vložil vlogo za uporabo sklada po požarih v naravi julija 2025.</w:t>
      </w:r>
      <w:r w:rsidRPr="00C65808">
        <w:cr/>
      </w:r>
    </w:p>
    <w:p w14:paraId="6A80A54B" w14:textId="612A00CF" w:rsidR="00D65E6B" w:rsidRPr="00C65808" w:rsidRDefault="00D65E6B" w:rsidP="00D65E6B">
      <w:pPr>
        <w:pStyle w:val="NormalHanging12a"/>
      </w:pPr>
      <w:r w:rsidRPr="00C65808">
        <w:t>(5)</w:t>
      </w:r>
      <w:r w:rsidRPr="00C65808">
        <w:tab/>
        <w:t>Španija je 30. oktobra 2025 vložila vlogo za uporabo sklada po požarih v naravi avgusta 2025.</w:t>
      </w:r>
    </w:p>
    <w:p w14:paraId="645219B1" w14:textId="77777777" w:rsidR="00D65E6B" w:rsidRPr="00C65808" w:rsidRDefault="00D65E6B" w:rsidP="00D65E6B">
      <w:pPr>
        <w:pStyle w:val="NormalHanging12a"/>
      </w:pPr>
      <w:r w:rsidRPr="00C65808">
        <w:lastRenderedPageBreak/>
        <w:t>(6)</w:t>
      </w:r>
      <w:r w:rsidRPr="00C65808">
        <w:tab/>
        <w:t>Navedene vloge izpolnjujejo pogoje za zagotovitev finančnega prispevka iz sklada, kot je določeno v členu 4 Uredbe (ES) št. 2012/2002.</w:t>
      </w:r>
    </w:p>
    <w:p w14:paraId="3CB08746" w14:textId="77777777" w:rsidR="00D65E6B" w:rsidRPr="00C65808" w:rsidRDefault="00D65E6B" w:rsidP="00D65E6B">
      <w:pPr>
        <w:pStyle w:val="NormalHanging12a"/>
      </w:pPr>
      <w:r w:rsidRPr="00C65808">
        <w:t>(7)</w:t>
      </w:r>
      <w:r w:rsidRPr="00C65808">
        <w:tab/>
        <w:t>Zato bi bilo treba uporabiti sklad za zagotovitev finančnega prispevka Romuniji, Cipru in Španiji.</w:t>
      </w:r>
    </w:p>
    <w:p w14:paraId="5B425874" w14:textId="77777777" w:rsidR="00D65E6B" w:rsidRPr="00C65808" w:rsidRDefault="00D65E6B" w:rsidP="00D65E6B">
      <w:pPr>
        <w:pStyle w:val="NormalHanging12a"/>
      </w:pPr>
      <w:r w:rsidRPr="00C65808">
        <w:t>(8)</w:t>
      </w:r>
      <w:r w:rsidRPr="00C65808">
        <w:tab/>
        <w:t xml:space="preserve">Da bi se lahko finančna pomoč Unije čim prej dala na voljo prizadetim državam članicam in da bi se izognili zamudam pri uporabi Solidarnostnega sklada Evropske unije, bi moral ta sklep nujno začeti veljati na dan objave v </w:t>
      </w:r>
      <w:r w:rsidRPr="00C65808">
        <w:rPr>
          <w:i/>
        </w:rPr>
        <w:t>Uradnem listu Evropske unije</w:t>
      </w:r>
      <w:r w:rsidRPr="00C65808">
        <w:t xml:space="preserve"> in bi ga bilo treba uporabljati od datuma sprejetja –</w:t>
      </w:r>
    </w:p>
    <w:p w14:paraId="1B4833AF" w14:textId="77777777" w:rsidR="00D65E6B" w:rsidRPr="00C65808" w:rsidRDefault="00D65E6B" w:rsidP="00D65E6B">
      <w:pPr>
        <w:pStyle w:val="NormalHanging12a"/>
      </w:pPr>
      <w:r w:rsidRPr="00C65808">
        <w:t>SPREJELA NASLEDNJI SKLEP:</w:t>
      </w:r>
    </w:p>
    <w:p w14:paraId="3BF37660" w14:textId="77777777" w:rsidR="00D65E6B" w:rsidRPr="00C65808" w:rsidRDefault="00D65E6B" w:rsidP="00D65E6B">
      <w:pPr>
        <w:pStyle w:val="NormalHanging12a"/>
        <w:jc w:val="center"/>
        <w:rPr>
          <w:i/>
        </w:rPr>
      </w:pPr>
      <w:r w:rsidRPr="00C65808">
        <w:rPr>
          <w:i/>
        </w:rPr>
        <w:t>Člen 1</w:t>
      </w:r>
    </w:p>
    <w:p w14:paraId="06110464" w14:textId="77777777" w:rsidR="00D65E6B" w:rsidRPr="00C65808" w:rsidRDefault="00D65E6B" w:rsidP="00D65E6B">
      <w:pPr>
        <w:pStyle w:val="NormalHanging12a"/>
        <w:ind w:left="0" w:firstLine="0"/>
      </w:pPr>
      <w:r w:rsidRPr="00C65808">
        <w:t>V okviru splošnega proračuna Unije za proračunsko leto 2026 se v zvezi z naravnimi nesrečami uporabijo naslednja sredstva Solidarnostnega sklada Evropske unije v odobritvah za prevzem obveznosti in odobritvah plačil:</w:t>
      </w:r>
    </w:p>
    <w:p w14:paraId="55E216B1" w14:textId="77777777" w:rsidR="00D65E6B" w:rsidRPr="00C65808" w:rsidRDefault="00D65E6B" w:rsidP="00D65E6B">
      <w:pPr>
        <w:pStyle w:val="NormalHanging12a"/>
      </w:pPr>
      <w:r w:rsidRPr="00C65808">
        <w:t>(a)</w:t>
      </w:r>
      <w:r w:rsidRPr="00C65808">
        <w:tab/>
        <w:t>znesek v višini 14 339 675 EUR se zagotovi Romuniji v zvezi s poplavami konec maja in v začetku junija 2025;</w:t>
      </w:r>
    </w:p>
    <w:p w14:paraId="5D8D5E23" w14:textId="77777777" w:rsidR="00D65E6B" w:rsidRPr="00C65808" w:rsidRDefault="00D65E6B" w:rsidP="00D65E6B">
      <w:pPr>
        <w:pStyle w:val="NormalHanging12a"/>
      </w:pPr>
      <w:r w:rsidRPr="00C65808">
        <w:t>(b)</w:t>
      </w:r>
      <w:r w:rsidRPr="00C65808">
        <w:tab/>
        <w:t>znesek v višini 9 209 223 EUR se zagotovi Cipru v zvezi s požari v naravi julija 2025;</w:t>
      </w:r>
    </w:p>
    <w:p w14:paraId="13615CC1" w14:textId="77777777" w:rsidR="00D65E6B" w:rsidRPr="00C65808" w:rsidRDefault="00D65E6B" w:rsidP="00D65E6B">
      <w:pPr>
        <w:pStyle w:val="NormalHanging12a"/>
      </w:pPr>
      <w:r w:rsidRPr="00C65808">
        <w:t>(c)</w:t>
      </w:r>
      <w:r w:rsidRPr="00C65808">
        <w:tab/>
        <w:t>znesek v višini 120 550 858 EUR se zagotovi Španiji v zvezi s požari v naravi avgusta 2025.</w:t>
      </w:r>
    </w:p>
    <w:p w14:paraId="19300B24" w14:textId="77777777" w:rsidR="00D65E6B" w:rsidRPr="00C65808" w:rsidRDefault="00D65E6B" w:rsidP="00D65E6B">
      <w:pPr>
        <w:pStyle w:val="NormalHanging12a"/>
        <w:jc w:val="center"/>
        <w:rPr>
          <w:i/>
        </w:rPr>
      </w:pPr>
      <w:r w:rsidRPr="00C65808">
        <w:rPr>
          <w:i/>
        </w:rPr>
        <w:t>Člen 2</w:t>
      </w:r>
    </w:p>
    <w:p w14:paraId="6328324D" w14:textId="77777777" w:rsidR="00D65E6B" w:rsidRPr="00C65808" w:rsidRDefault="00D65E6B" w:rsidP="00D65E6B">
      <w:pPr>
        <w:pStyle w:val="NormalHanging12a"/>
        <w:ind w:left="0" w:firstLine="0"/>
      </w:pPr>
      <w:r w:rsidRPr="00C65808">
        <w:t xml:space="preserve">Ta sklep začne veljati na dan objave v </w:t>
      </w:r>
      <w:r w:rsidRPr="00C65808">
        <w:rPr>
          <w:i/>
        </w:rPr>
        <w:t>Uradnem listu Evropske unije.</w:t>
      </w:r>
    </w:p>
    <w:p w14:paraId="181EA617" w14:textId="77777777" w:rsidR="00D65E6B" w:rsidRPr="00C65808" w:rsidRDefault="00D65E6B" w:rsidP="00D65E6B">
      <w:pPr>
        <w:pStyle w:val="NormalHanging12a"/>
        <w:rPr>
          <w:i/>
        </w:rPr>
      </w:pPr>
      <w:r w:rsidRPr="00C65808">
        <w:t>Uporablja se od [</w:t>
      </w:r>
      <w:r w:rsidRPr="00C65808">
        <w:rPr>
          <w:i/>
        </w:rPr>
        <w:t>datum sprejetja</w:t>
      </w:r>
      <w:r w:rsidRPr="00C65808">
        <w:t>]</w:t>
      </w:r>
      <w:r w:rsidRPr="00C65808">
        <w:rPr>
          <w:vertAlign w:val="superscript"/>
        </w:rPr>
        <w:footnoteReference w:customMarkFollows="1" w:id="16"/>
        <w:t>*</w:t>
      </w:r>
      <w:r w:rsidRPr="00C65808">
        <w:rPr>
          <w:i/>
        </w:rPr>
        <w:t>.</w:t>
      </w:r>
    </w:p>
    <w:p w14:paraId="6AD68C55" w14:textId="77777777" w:rsidR="00D65E6B" w:rsidRPr="00C65808" w:rsidRDefault="00D65E6B" w:rsidP="00D65E6B">
      <w:pPr>
        <w:pStyle w:val="NormalHanging12a"/>
        <w:rPr>
          <w:i/>
        </w:rPr>
      </w:pPr>
    </w:p>
    <w:p w14:paraId="43D279C3" w14:textId="4BF525F9" w:rsidR="00D65E6B" w:rsidRPr="00C65808" w:rsidRDefault="00D65E6B" w:rsidP="00D65E6B">
      <w:pPr>
        <w:jc w:val="both"/>
      </w:pPr>
      <w:r w:rsidRPr="00C65808">
        <w:t xml:space="preserve">V </w:t>
      </w:r>
      <w:r w:rsidR="007976DD" w:rsidRPr="00C65808">
        <w:t>…</w:t>
      </w:r>
      <w:r w:rsidRPr="00C65808">
        <w:t>,</w:t>
      </w:r>
    </w:p>
    <w:p w14:paraId="7C96026E" w14:textId="77777777" w:rsidR="00D65E6B" w:rsidRPr="00C65808" w:rsidRDefault="00D65E6B" w:rsidP="00D65E6B">
      <w:pPr>
        <w:jc w:val="both"/>
      </w:pPr>
    </w:p>
    <w:p w14:paraId="21E838F0" w14:textId="77777777" w:rsidR="00D65E6B" w:rsidRPr="00C65808" w:rsidRDefault="00D65E6B" w:rsidP="00D65E6B">
      <w:pPr>
        <w:jc w:val="both"/>
        <w:rPr>
          <w:i/>
          <w:iCs/>
        </w:rPr>
      </w:pPr>
      <w:r w:rsidRPr="00C65808">
        <w:rPr>
          <w:i/>
          <w:iCs/>
        </w:rPr>
        <w:t>Za Evropski parlament</w:t>
      </w:r>
      <w:r w:rsidRPr="00C65808">
        <w:rPr>
          <w:i/>
          <w:iCs/>
        </w:rPr>
        <w:tab/>
      </w:r>
      <w:r w:rsidRPr="00C65808">
        <w:rPr>
          <w:i/>
          <w:iCs/>
        </w:rPr>
        <w:tab/>
      </w:r>
      <w:r w:rsidRPr="00C65808">
        <w:rPr>
          <w:i/>
          <w:iCs/>
        </w:rPr>
        <w:tab/>
      </w:r>
      <w:r w:rsidRPr="00C65808">
        <w:rPr>
          <w:i/>
          <w:iCs/>
        </w:rPr>
        <w:tab/>
        <w:t>Za Svet</w:t>
      </w:r>
    </w:p>
    <w:p w14:paraId="129B7B2D" w14:textId="5CB4615A" w:rsidR="00E365E1" w:rsidRPr="00C65808" w:rsidRDefault="00D65E6B" w:rsidP="00200575">
      <w:pPr>
        <w:jc w:val="both"/>
        <w:rPr>
          <w:i/>
          <w:iCs/>
        </w:rPr>
      </w:pPr>
      <w:r w:rsidRPr="00C65808">
        <w:rPr>
          <w:i/>
          <w:iCs/>
        </w:rPr>
        <w:t>predsednik/predsednica</w:t>
      </w:r>
      <w:r w:rsidRPr="00C65808">
        <w:rPr>
          <w:i/>
          <w:iCs/>
        </w:rPr>
        <w:tab/>
      </w:r>
      <w:r w:rsidRPr="00C65808">
        <w:rPr>
          <w:i/>
          <w:iCs/>
        </w:rPr>
        <w:tab/>
      </w:r>
      <w:r w:rsidRPr="00C65808">
        <w:rPr>
          <w:i/>
          <w:iCs/>
        </w:rPr>
        <w:tab/>
      </w:r>
      <w:r w:rsidRPr="00C65808">
        <w:rPr>
          <w:i/>
          <w:iCs/>
        </w:rPr>
        <w:tab/>
        <w:t>predsednik/predsednica</w:t>
      </w:r>
    </w:p>
    <w:sectPr w:rsidR="00E365E1" w:rsidRPr="00C65808" w:rsidSect="00052FB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C1D28" w14:textId="77777777" w:rsidR="00FB2999" w:rsidRPr="00052FB2" w:rsidRDefault="00FB2999">
      <w:r w:rsidRPr="00052FB2">
        <w:separator/>
      </w:r>
    </w:p>
  </w:endnote>
  <w:endnote w:type="continuationSeparator" w:id="0">
    <w:p w14:paraId="23D78960" w14:textId="77777777" w:rsidR="00FB2999" w:rsidRPr="00052FB2" w:rsidRDefault="00FB2999">
      <w:r w:rsidRPr="00052F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8C6A" w14:textId="77777777" w:rsidR="00D65E6B" w:rsidRPr="00052FB2" w:rsidRDefault="00D65E6B" w:rsidP="00862C2C">
    <w:pPr>
      <w:pStyle w:val="EPFooter"/>
    </w:pPr>
    <w:r w:rsidRPr="00052FB2">
      <w:t>PE</w:t>
    </w:r>
    <w:r w:rsidRPr="00052FB2">
      <w:rPr>
        <w:rStyle w:val="HideTWBExt"/>
      </w:rPr>
      <w:t>&lt;</w:t>
    </w:r>
    <w:proofErr w:type="spellStart"/>
    <w:r w:rsidRPr="00052FB2">
      <w:rPr>
        <w:rStyle w:val="HideTWBExt"/>
      </w:rPr>
      <w:t>NoPE</w:t>
    </w:r>
    <w:proofErr w:type="spellEnd"/>
    <w:r w:rsidRPr="00052FB2">
      <w:rPr>
        <w:rStyle w:val="HideTWBExt"/>
      </w:rPr>
      <w:t>&gt;</w:t>
    </w:r>
    <w:r w:rsidRPr="00052FB2">
      <w:t>789.090</w:t>
    </w:r>
    <w:r w:rsidRPr="00052FB2">
      <w:rPr>
        <w:rStyle w:val="HideTWBExt"/>
      </w:rPr>
      <w:t>&lt;/</w:t>
    </w:r>
    <w:proofErr w:type="spellStart"/>
    <w:r w:rsidRPr="00052FB2">
      <w:rPr>
        <w:rStyle w:val="HideTWBExt"/>
      </w:rPr>
      <w:t>NoPE</w:t>
    </w:r>
    <w:proofErr w:type="spellEnd"/>
    <w:r w:rsidRPr="00052FB2">
      <w:rPr>
        <w:rStyle w:val="HideTWBExt"/>
      </w:rPr>
      <w:t>&gt;&lt;Version&gt;</w:t>
    </w:r>
    <w:r w:rsidRPr="00052FB2">
      <w:t>v02-00</w:t>
    </w:r>
    <w:r w:rsidRPr="00052FB2">
      <w:rPr>
        <w:rStyle w:val="HideTWBExt"/>
      </w:rPr>
      <w:t>&lt;/</w:t>
    </w:r>
    <w:proofErr w:type="spellStart"/>
    <w:r w:rsidRPr="00052FB2">
      <w:rPr>
        <w:rStyle w:val="HideTWBExt"/>
      </w:rPr>
      <w:t>Version</w:t>
    </w:r>
    <w:proofErr w:type="spellEnd"/>
    <w:r w:rsidRPr="00052FB2">
      <w:rPr>
        <w:rStyle w:val="HideTWBExt"/>
      </w:rPr>
      <w:t>&gt;</w:t>
    </w:r>
    <w:r w:rsidRPr="00052FB2">
      <w:tab/>
    </w:r>
    <w:r w:rsidRPr="00052FB2">
      <w:fldChar w:fldCharType="begin"/>
    </w:r>
    <w:r w:rsidRPr="00052FB2">
      <w:instrText xml:space="preserve"> PAGE  \* MERGEFORMAT </w:instrText>
    </w:r>
    <w:r w:rsidRPr="00052FB2">
      <w:fldChar w:fldCharType="separate"/>
    </w:r>
    <w:r w:rsidRPr="00052FB2">
      <w:rPr>
        <w:noProof/>
      </w:rPr>
      <w:t>2</w:t>
    </w:r>
    <w:r w:rsidRPr="00052FB2">
      <w:fldChar w:fldCharType="end"/>
    </w:r>
    <w:r w:rsidRPr="00052FB2">
      <w:t>/</w:t>
    </w:r>
    <w:fldSimple w:instr=" NUMPAGES  \* MERGEFORMAT ">
      <w:r w:rsidRPr="00052FB2">
        <w:rPr>
          <w:noProof/>
        </w:rPr>
        <w:t>4</w:t>
      </w:r>
    </w:fldSimple>
    <w:r w:rsidRPr="00052FB2">
      <w:tab/>
    </w:r>
    <w:r w:rsidRPr="00052FB2">
      <w:rPr>
        <w:rStyle w:val="HideTWBExt"/>
      </w:rPr>
      <w:t>&lt;PathFdR&gt;</w:t>
    </w:r>
    <w:r w:rsidRPr="00052FB2">
      <w:t>RR\1346601SL.docx</w:t>
    </w:r>
    <w:r w:rsidRPr="00052FB2">
      <w:rPr>
        <w:rStyle w:val="HideTWBExt"/>
      </w:rPr>
      <w:t>&lt;/</w:t>
    </w:r>
    <w:proofErr w:type="spellStart"/>
    <w:r w:rsidRPr="00052FB2">
      <w:rPr>
        <w:rStyle w:val="HideTWBExt"/>
      </w:rPr>
      <w:t>PathFdR</w:t>
    </w:r>
    <w:proofErr w:type="spellEnd"/>
    <w:r w:rsidRPr="00052FB2">
      <w:rPr>
        <w:rStyle w:val="HideTWBExt"/>
      </w:rPr>
      <w:t>&gt;</w:t>
    </w:r>
  </w:p>
  <w:p w14:paraId="36E69640" w14:textId="77777777" w:rsidR="00D65E6B" w:rsidRPr="00052FB2" w:rsidRDefault="00D65E6B" w:rsidP="00862C2C">
    <w:pPr>
      <w:pStyle w:val="EPFooter2"/>
    </w:pPr>
    <w:r w:rsidRPr="00052FB2">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4285" w14:textId="77777777" w:rsidR="00785946" w:rsidRDefault="007859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A3C1" w14:textId="77777777" w:rsidR="00D65E6B" w:rsidRPr="00052FB2" w:rsidRDefault="00D65E6B" w:rsidP="00862C2C">
    <w:pPr>
      <w:pStyle w:val="EPFooter"/>
    </w:pPr>
    <w:r w:rsidRPr="00052FB2">
      <w:rPr>
        <w:rStyle w:val="HideTWBExt"/>
      </w:rPr>
      <w:t>&lt;PathFdR&gt;</w:t>
    </w:r>
    <w:r w:rsidRPr="00052FB2">
      <w:t>RR\1346601SL.docx</w:t>
    </w:r>
    <w:r w:rsidRPr="00052FB2">
      <w:rPr>
        <w:rStyle w:val="HideTWBExt"/>
      </w:rPr>
      <w:t>&lt;/</w:t>
    </w:r>
    <w:proofErr w:type="spellStart"/>
    <w:r w:rsidRPr="00052FB2">
      <w:rPr>
        <w:rStyle w:val="HideTWBExt"/>
      </w:rPr>
      <w:t>PathFdR</w:t>
    </w:r>
    <w:proofErr w:type="spellEnd"/>
    <w:r w:rsidRPr="00052FB2">
      <w:rPr>
        <w:rStyle w:val="HideTWBExt"/>
      </w:rPr>
      <w:t>&gt;</w:t>
    </w:r>
    <w:r w:rsidRPr="00052FB2">
      <w:tab/>
    </w:r>
    <w:r w:rsidRPr="00052FB2">
      <w:tab/>
      <w:t>PE</w:t>
    </w:r>
    <w:r w:rsidRPr="00052FB2">
      <w:rPr>
        <w:rStyle w:val="HideTWBExt"/>
      </w:rPr>
      <w:t>&lt;</w:t>
    </w:r>
    <w:proofErr w:type="spellStart"/>
    <w:r w:rsidRPr="00052FB2">
      <w:rPr>
        <w:rStyle w:val="HideTWBExt"/>
      </w:rPr>
      <w:t>NoPE</w:t>
    </w:r>
    <w:proofErr w:type="spellEnd"/>
    <w:r w:rsidRPr="00052FB2">
      <w:rPr>
        <w:rStyle w:val="HideTWBExt"/>
      </w:rPr>
      <w:t>&gt;</w:t>
    </w:r>
    <w:r w:rsidRPr="00052FB2">
      <w:t>789.090</w:t>
    </w:r>
    <w:r w:rsidRPr="00052FB2">
      <w:rPr>
        <w:rStyle w:val="HideTWBExt"/>
      </w:rPr>
      <w:t>&lt;/</w:t>
    </w:r>
    <w:proofErr w:type="spellStart"/>
    <w:r w:rsidRPr="00052FB2">
      <w:rPr>
        <w:rStyle w:val="HideTWBExt"/>
      </w:rPr>
      <w:t>NoPE</w:t>
    </w:r>
    <w:proofErr w:type="spellEnd"/>
    <w:r w:rsidRPr="00052FB2">
      <w:rPr>
        <w:rStyle w:val="HideTWBExt"/>
      </w:rPr>
      <w:t>&gt;&lt;Version&gt;</w:t>
    </w:r>
    <w:r w:rsidRPr="00052FB2">
      <w:t>v02-00</w:t>
    </w:r>
    <w:r w:rsidRPr="00052FB2">
      <w:rPr>
        <w:rStyle w:val="HideTWBExt"/>
      </w:rPr>
      <w:t>&lt;/</w:t>
    </w:r>
    <w:proofErr w:type="spellStart"/>
    <w:r w:rsidRPr="00052FB2">
      <w:rPr>
        <w:rStyle w:val="HideTWBExt"/>
      </w:rPr>
      <w:t>Version</w:t>
    </w:r>
    <w:proofErr w:type="spellEnd"/>
    <w:r w:rsidRPr="00052FB2">
      <w:rPr>
        <w:rStyle w:val="HideTWBExt"/>
      </w:rPr>
      <w:t>&gt;</w:t>
    </w:r>
  </w:p>
  <w:p w14:paraId="1CAFDA44" w14:textId="77777777" w:rsidR="00D65E6B" w:rsidRPr="00052FB2" w:rsidRDefault="00D65E6B" w:rsidP="00862C2C">
    <w:pPr>
      <w:pStyle w:val="EPFooter2"/>
    </w:pPr>
    <w:r w:rsidRPr="00052FB2">
      <w:t>SL</w:t>
    </w:r>
    <w:r w:rsidRPr="00052FB2">
      <w:tab/>
    </w:r>
    <w:r w:rsidRPr="00052FB2">
      <w:rPr>
        <w:b w:val="0"/>
        <w:i/>
        <w:color w:val="C0C0C0"/>
        <w:sz w:val="22"/>
      </w:rPr>
      <w:t>Združena v raznolikosti</w:t>
    </w:r>
    <w:r w:rsidRPr="00052FB2">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95A03" w14:textId="77777777" w:rsidR="00064002" w:rsidRPr="00052FB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4E16" w14:textId="77777777" w:rsidR="00064002" w:rsidRPr="00052FB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621B6" w14:textId="77777777" w:rsidR="00064002" w:rsidRPr="00052F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55373" w14:textId="77777777" w:rsidR="00FB2999" w:rsidRPr="00052FB2" w:rsidRDefault="00FB2999">
      <w:r w:rsidRPr="00052FB2">
        <w:separator/>
      </w:r>
    </w:p>
  </w:footnote>
  <w:footnote w:type="continuationSeparator" w:id="0">
    <w:p w14:paraId="130DF517" w14:textId="77777777" w:rsidR="00FB2999" w:rsidRPr="00052FB2" w:rsidRDefault="00FB2999">
      <w:r w:rsidRPr="00052FB2">
        <w:continuationSeparator/>
      </w:r>
    </w:p>
  </w:footnote>
  <w:footnote w:id="1">
    <w:p w14:paraId="7C328DA3" w14:textId="398A8E6D"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UL L 311, 14.11.2002, str. 3, ELI: </w:t>
      </w:r>
      <w:hyperlink r:id="rId1" w:tooltip="http://data.europa.eu/eli/reg/2002/2012/oj" w:history="1">
        <w:r w:rsidRPr="00052FB2">
          <w:rPr>
            <w:rStyle w:val="Hyperlink"/>
            <w:sz w:val="24"/>
            <w:lang w:val="sl-SI"/>
          </w:rPr>
          <w:t>http://data.europa.eu/eli/reg/2002/2012/oj</w:t>
        </w:r>
      </w:hyperlink>
      <w:r w:rsidRPr="00052FB2">
        <w:rPr>
          <w:sz w:val="24"/>
          <w:lang w:val="sl-SI"/>
        </w:rPr>
        <w:t>.</w:t>
      </w:r>
    </w:p>
  </w:footnote>
  <w:footnote w:id="2">
    <w:p w14:paraId="3A709D6D" w14:textId="348AA8C6"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UL L 433 I, 22.12.2020, str. 11, ELI: </w:t>
      </w:r>
      <w:hyperlink r:id="rId2" w:tooltip="http://data.europa.eu/eli/reg/2020/2093/oj" w:history="1">
        <w:r w:rsidRPr="00052FB2">
          <w:rPr>
            <w:rStyle w:val="Hyperlink"/>
            <w:sz w:val="24"/>
            <w:lang w:val="sl-SI"/>
          </w:rPr>
          <w:t>http://data.europa.eu/eli/reg/2020/2093/oj</w:t>
        </w:r>
      </w:hyperlink>
      <w:r w:rsidRPr="00052FB2">
        <w:rPr>
          <w:sz w:val="24"/>
          <w:lang w:val="sl-SI"/>
        </w:rPr>
        <w:t>.</w:t>
      </w:r>
    </w:p>
  </w:footnote>
  <w:footnote w:id="3">
    <w:p w14:paraId="0D5443AE" w14:textId="396E8D28"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UL L 433 I, 22.12.2020, str. 28, ELI: </w:t>
      </w:r>
      <w:hyperlink r:id="rId3" w:history="1">
        <w:r w:rsidRPr="00442CD8">
          <w:rPr>
            <w:rStyle w:val="Hyperlink"/>
            <w:sz w:val="24"/>
            <w:lang w:val="sl-SI"/>
          </w:rPr>
          <w:t>http://data.europa.eu/eli/agree_interinstit/2020/1222/oj</w:t>
        </w:r>
      </w:hyperlink>
      <w:r w:rsidRPr="00052FB2">
        <w:rPr>
          <w:sz w:val="24"/>
          <w:lang w:val="sl-SI"/>
        </w:rPr>
        <w:t>.</w:t>
      </w:r>
    </w:p>
  </w:footnote>
  <w:footnote w:id="4">
    <w:p w14:paraId="74B51EF5" w14:textId="5769657A"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UL L 231, 30.6.2021, str. 60, ELI: </w:t>
      </w:r>
      <w:hyperlink r:id="rId4" w:history="1">
        <w:r w:rsidR="00442CD8" w:rsidRPr="00442CD8">
          <w:rPr>
            <w:rStyle w:val="Hyperlink"/>
            <w:sz w:val="24"/>
            <w:lang w:val="sl-SI"/>
          </w:rPr>
          <w:t>http://data.europa.eu/eli/reg/2021/1058/oj</w:t>
        </w:r>
      </w:hyperlink>
      <w:r w:rsidRPr="00052FB2">
        <w:rPr>
          <w:sz w:val="24"/>
          <w:lang w:val="sl-SI"/>
        </w:rPr>
        <w:t>.</w:t>
      </w:r>
    </w:p>
  </w:footnote>
  <w:footnote w:id="5">
    <w:p w14:paraId="63719869" w14:textId="1025720F"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UL L 231, 30.6.2021, str. 21, ELI: </w:t>
      </w:r>
      <w:hyperlink r:id="rId5" w:history="1">
        <w:r w:rsidRPr="00052FB2">
          <w:rPr>
            <w:sz w:val="24"/>
            <w:lang w:val="sl-SI"/>
          </w:rPr>
          <w:t>http://data.europa.eu/eli/reg/2021/1057/oj</w:t>
        </w:r>
      </w:hyperlink>
      <w:r w:rsidRPr="00052FB2">
        <w:rPr>
          <w:sz w:val="24"/>
          <w:lang w:val="sl-SI"/>
        </w:rPr>
        <w:t>.</w:t>
      </w:r>
    </w:p>
  </w:footnote>
  <w:footnote w:id="6">
    <w:p w14:paraId="17F0D448" w14:textId="092335E0"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UL L 435, 6.12.2021, str. 1, ELI: </w:t>
      </w:r>
      <w:hyperlink r:id="rId6" w:tgtFrame="_blank" w:tooltip="http://data.europa.eu/eli/reg/2021/2115/oj" w:history="1">
        <w:r w:rsidRPr="00052FB2">
          <w:rPr>
            <w:rStyle w:val="Hyperlink"/>
            <w:sz w:val="24"/>
            <w:lang w:val="sl-SI"/>
          </w:rPr>
          <w:t>http://data.europa.eu/eli/reg/2021/2115/oj</w:t>
        </w:r>
      </w:hyperlink>
      <w:r w:rsidRPr="00052FB2">
        <w:rPr>
          <w:sz w:val="24"/>
          <w:lang w:val="sl-SI"/>
        </w:rPr>
        <w:t>.</w:t>
      </w:r>
    </w:p>
  </w:footnote>
  <w:footnote w:id="7">
    <w:p w14:paraId="0D0C835C" w14:textId="0F7506E3"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Sprejeta besedila, P10_TA(2024)0059.</w:t>
      </w:r>
    </w:p>
  </w:footnote>
  <w:footnote w:id="8">
    <w:p w14:paraId="3418128D" w14:textId="0FCAAA97"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hyperlink r:id="rId7" w:history="1">
        <w:r w:rsidRPr="007976DD">
          <w:rPr>
            <w:rStyle w:val="Hyperlink"/>
            <w:sz w:val="24"/>
            <w:lang w:val="sl-SI"/>
          </w:rPr>
          <w:t>https://www.eea.europa.eu/en/analysis/publications/european-climate-risk-assessment</w:t>
        </w:r>
      </w:hyperlink>
      <w:r w:rsidR="007976DD">
        <w:rPr>
          <w:sz w:val="24"/>
          <w:lang w:val="sl-SI"/>
        </w:rPr>
        <w:t>.</w:t>
      </w:r>
    </w:p>
  </w:footnote>
  <w:footnote w:id="9">
    <w:p w14:paraId="1A8C728F" w14:textId="760014D8"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UL L, 2024/3236, 23.12.2024, ELI: </w:t>
      </w:r>
      <w:hyperlink r:id="rId8" w:tgtFrame="_blank" w:tooltip="http://data.europa.eu/eli/reg/2024/3236/oj" w:history="1">
        <w:r w:rsidRPr="00052FB2">
          <w:rPr>
            <w:rStyle w:val="Hyperlink"/>
            <w:sz w:val="24"/>
            <w:lang w:val="sl-SI"/>
          </w:rPr>
          <w:t>http://data.europa.eu/eli/reg/2024/3236/oj</w:t>
        </w:r>
      </w:hyperlink>
      <w:r w:rsidRPr="00052FB2">
        <w:rPr>
          <w:sz w:val="24"/>
          <w:lang w:val="sl-SI"/>
        </w:rPr>
        <w:t>.</w:t>
      </w:r>
    </w:p>
  </w:footnote>
  <w:footnote w:id="10">
    <w:p w14:paraId="1913886E" w14:textId="576C5207"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UL L, 2024/3242, 23.12.2024, ELI: </w:t>
      </w:r>
      <w:hyperlink r:id="rId9" w:tgtFrame="_blank" w:tooltip="http://data.europa.eu/eli/reg/2024/3242/oj" w:history="1">
        <w:r w:rsidRPr="00052FB2">
          <w:rPr>
            <w:rStyle w:val="Hyperlink"/>
            <w:sz w:val="24"/>
            <w:lang w:val="sl-SI"/>
          </w:rPr>
          <w:t>http://data.europa.eu/eli/reg/2024/3242/oj</w:t>
        </w:r>
      </w:hyperlink>
      <w:r w:rsidRPr="00052FB2">
        <w:rPr>
          <w:sz w:val="24"/>
          <w:lang w:val="sl-SI"/>
        </w:rPr>
        <w:t>.</w:t>
      </w:r>
    </w:p>
  </w:footnote>
  <w:footnote w:id="11">
    <w:p w14:paraId="1D65AB72" w14:textId="6EE65A0D"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Uredba (EU) 2021/241 Evropskega parlamenta in Sveta z dne 12. februarja 2021 o vzpostavitvi Mehanizma za okrevanje in odpornost (UL L 57, 18.2.2021, str. 17, ELI: </w:t>
      </w:r>
      <w:hyperlink r:id="rId10" w:history="1">
        <w:r w:rsidRPr="007976DD">
          <w:rPr>
            <w:rStyle w:val="Hyperlink"/>
            <w:sz w:val="24"/>
            <w:lang w:val="sl-SI"/>
          </w:rPr>
          <w:t>http://data.europa.eu/eli/reg/2021/241/oj</w:t>
        </w:r>
      </w:hyperlink>
      <w:r w:rsidRPr="00052FB2">
        <w:rPr>
          <w:sz w:val="24"/>
          <w:lang w:val="sl-SI"/>
        </w:rPr>
        <w:t>).</w:t>
      </w:r>
    </w:p>
  </w:footnote>
  <w:footnote w:id="12">
    <w:p w14:paraId="606EF2D4" w14:textId="22C53117"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shd w:val="clear" w:color="auto" w:fill="FFFFFF"/>
          <w:lang w:val="sl-SI"/>
        </w:rPr>
        <w:t xml:space="preserve"> </w:t>
      </w:r>
      <w:r w:rsidR="00052FB2" w:rsidRPr="00052FB2">
        <w:rPr>
          <w:sz w:val="24"/>
          <w:shd w:val="clear" w:color="auto" w:fill="FFFFFF"/>
          <w:lang w:val="sl-SI"/>
        </w:rPr>
        <w:tab/>
      </w:r>
      <w:r w:rsidRPr="00052FB2">
        <w:rPr>
          <w:sz w:val="24"/>
          <w:shd w:val="clear" w:color="auto" w:fill="FFFFFF"/>
          <w:lang w:val="sl-SI"/>
        </w:rPr>
        <w:t xml:space="preserve">UL L 311, 14.11.2002, str. 3, ELI: </w:t>
      </w:r>
      <w:hyperlink r:id="rId11" w:history="1">
        <w:r w:rsidRPr="00052FB2">
          <w:rPr>
            <w:rStyle w:val="Hyperlink"/>
            <w:sz w:val="24"/>
            <w:shd w:val="clear" w:color="auto" w:fill="FFFFFF"/>
            <w:lang w:val="sl-SI"/>
          </w:rPr>
          <w:t>http://data.europa.eu/eli/reg/2002/2012/oj</w:t>
        </w:r>
      </w:hyperlink>
      <w:r w:rsidRPr="00052FB2">
        <w:rPr>
          <w:sz w:val="24"/>
          <w:shd w:val="clear" w:color="auto" w:fill="FFFFFF"/>
          <w:lang w:val="sl-SI"/>
        </w:rPr>
        <w:t>.</w:t>
      </w:r>
    </w:p>
  </w:footnote>
  <w:footnote w:id="13">
    <w:p w14:paraId="1B66949F" w14:textId="4BDB29C0"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UL L 433 I, 22.12.2020, str. 11, ELI: </w:t>
      </w:r>
      <w:hyperlink r:id="rId12" w:history="1">
        <w:r w:rsidRPr="00052FB2">
          <w:rPr>
            <w:rStyle w:val="Hyperlink"/>
            <w:sz w:val="24"/>
            <w:lang w:val="sl-SI"/>
          </w:rPr>
          <w:t>http://data.europa.eu/eli/reg/2020/2093/oj</w:t>
        </w:r>
      </w:hyperlink>
      <w:r w:rsidRPr="00052FB2">
        <w:rPr>
          <w:sz w:val="24"/>
          <w:lang w:val="sl-SI"/>
        </w:rPr>
        <w:t>.</w:t>
      </w:r>
    </w:p>
  </w:footnote>
  <w:footnote w:id="14">
    <w:p w14:paraId="496056ED" w14:textId="6B2FC9B5"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UL L 433</w:t>
      </w:r>
      <w:r w:rsidR="00442CD8">
        <w:rPr>
          <w:sz w:val="24"/>
          <w:lang w:val="sl-SI"/>
        </w:rPr>
        <w:t> </w:t>
      </w:r>
      <w:r w:rsidRPr="00052FB2">
        <w:rPr>
          <w:sz w:val="24"/>
          <w:lang w:val="sl-SI"/>
        </w:rPr>
        <w:t xml:space="preserve">I, 22.12.2020, str. 28, ELI: </w:t>
      </w:r>
      <w:hyperlink r:id="rId13" w:history="1">
        <w:r w:rsidRPr="00052FB2">
          <w:rPr>
            <w:rStyle w:val="Hyperlink"/>
            <w:sz w:val="24"/>
            <w:lang w:val="sl-SI"/>
          </w:rPr>
          <w:t>http://data.europa.eu/eli/agree_interinstit/2020/1222/oj</w:t>
        </w:r>
      </w:hyperlink>
      <w:r w:rsidRPr="00052FB2">
        <w:rPr>
          <w:sz w:val="24"/>
          <w:lang w:val="sl-SI"/>
        </w:rPr>
        <w:t>.</w:t>
      </w:r>
    </w:p>
  </w:footnote>
  <w:footnote w:id="15">
    <w:p w14:paraId="0FF3A0A9" w14:textId="70B80E48" w:rsidR="00D65E6B" w:rsidRPr="00052FB2" w:rsidRDefault="00D65E6B" w:rsidP="00052FB2">
      <w:pPr>
        <w:pStyle w:val="FootnoteText"/>
        <w:ind w:left="567" w:hanging="567"/>
        <w:rPr>
          <w:sz w:val="24"/>
          <w:lang w:val="sl-SI"/>
        </w:rPr>
      </w:pPr>
      <w:r w:rsidRPr="00052FB2">
        <w:rPr>
          <w:rStyle w:val="FootnoteReference"/>
          <w:sz w:val="24"/>
          <w:lang w:val="sl-SI"/>
        </w:rPr>
        <w:footnoteRef/>
      </w:r>
      <w:r w:rsidR="00052FB2" w:rsidRPr="00052FB2">
        <w:rPr>
          <w:sz w:val="24"/>
          <w:lang w:val="sl-SI"/>
        </w:rPr>
        <w:t xml:space="preserve"> </w:t>
      </w:r>
      <w:r w:rsidR="00052FB2" w:rsidRPr="00052FB2">
        <w:rPr>
          <w:sz w:val="24"/>
          <w:lang w:val="sl-SI"/>
        </w:rPr>
        <w:tab/>
      </w:r>
      <w:r w:rsidRPr="00052FB2">
        <w:rPr>
          <w:sz w:val="24"/>
          <w:lang w:val="sl-SI"/>
        </w:rPr>
        <w:t xml:space="preserve">Uredba Sveta (EU, Euratom) 2024/765 z dne 29. februarja 2024 o spremembi Uredbe (EU, Euratom) 2020/2093 o določitvi večletnega finančnega okvira za obdobje 2021–2027 (UL L, 2024/765, 29.2.2024, ELI: </w:t>
      </w:r>
      <w:hyperlink r:id="rId14" w:history="1">
        <w:r w:rsidRPr="00052FB2">
          <w:rPr>
            <w:rStyle w:val="Hyperlink"/>
            <w:sz w:val="24"/>
            <w:lang w:val="sl-SI"/>
          </w:rPr>
          <w:t>http://data.europa.eu/eli/reg/2024/765/oj</w:t>
        </w:r>
      </w:hyperlink>
      <w:r w:rsidRPr="00052FB2">
        <w:rPr>
          <w:sz w:val="24"/>
          <w:lang w:val="sl-SI"/>
        </w:rPr>
        <w:t>).</w:t>
      </w:r>
    </w:p>
  </w:footnote>
  <w:footnote w:id="16">
    <w:p w14:paraId="10672FB7" w14:textId="4CC6E9A0" w:rsidR="00D65E6B" w:rsidRPr="00052FB2" w:rsidRDefault="00D65E6B" w:rsidP="00052FB2">
      <w:pPr>
        <w:pStyle w:val="FootnoteText"/>
        <w:ind w:left="567" w:hanging="567"/>
        <w:rPr>
          <w:sz w:val="24"/>
          <w:lang w:val="sl-SI"/>
        </w:rPr>
      </w:pPr>
      <w:r w:rsidRPr="00052FB2">
        <w:rPr>
          <w:rStyle w:val="FootnoteReference"/>
          <w:sz w:val="24"/>
          <w:lang w:val="sl-SI"/>
        </w:rPr>
        <w:t>*</w:t>
      </w:r>
      <w:r w:rsidR="00052FB2" w:rsidRPr="00052FB2">
        <w:rPr>
          <w:sz w:val="24"/>
          <w:lang w:val="sl-SI"/>
        </w:rPr>
        <w:tab/>
      </w:r>
      <w:r w:rsidRPr="00052FB2">
        <w:rPr>
          <w:i/>
          <w:iCs/>
          <w:sz w:val="24"/>
          <w:lang w:val="sl-SI"/>
        </w:rPr>
        <w:t>Datum vstavi Parlament pred objavo v Uradnem listu</w:t>
      </w:r>
      <w:r w:rsidRPr="00052FB2">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49C4" w14:textId="77777777" w:rsidR="00785946" w:rsidRDefault="00785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7AB30" w14:textId="77777777" w:rsidR="00785946" w:rsidRDefault="007859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743E1" w14:textId="77777777" w:rsidR="00785946" w:rsidRDefault="007859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BD4B" w14:textId="77777777" w:rsidR="00064002" w:rsidRPr="00052FB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86B7" w14:textId="77777777" w:rsidR="00064002" w:rsidRPr="00052FB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0B5AE" w14:textId="77777777" w:rsidR="00064002" w:rsidRPr="00052F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6194737">
    <w:abstractNumId w:val="9"/>
  </w:num>
  <w:num w:numId="2" w16cid:durableId="1803884318">
    <w:abstractNumId w:val="9"/>
  </w:num>
  <w:num w:numId="3" w16cid:durableId="162280794">
    <w:abstractNumId w:val="7"/>
  </w:num>
  <w:num w:numId="4" w16cid:durableId="842166955">
    <w:abstractNumId w:val="7"/>
  </w:num>
  <w:num w:numId="5" w16cid:durableId="1095174707">
    <w:abstractNumId w:val="6"/>
  </w:num>
  <w:num w:numId="6" w16cid:durableId="865679359">
    <w:abstractNumId w:val="6"/>
  </w:num>
  <w:num w:numId="7" w16cid:durableId="1618293072">
    <w:abstractNumId w:val="5"/>
  </w:num>
  <w:num w:numId="8" w16cid:durableId="815998332">
    <w:abstractNumId w:val="5"/>
  </w:num>
  <w:num w:numId="9" w16cid:durableId="2706577">
    <w:abstractNumId w:val="4"/>
  </w:num>
  <w:num w:numId="10" w16cid:durableId="262152144">
    <w:abstractNumId w:val="4"/>
  </w:num>
  <w:num w:numId="11" w16cid:durableId="2073887550">
    <w:abstractNumId w:val="8"/>
  </w:num>
  <w:num w:numId="12" w16cid:durableId="1032388713">
    <w:abstractNumId w:val="8"/>
  </w:num>
  <w:num w:numId="13" w16cid:durableId="851409763">
    <w:abstractNumId w:val="3"/>
  </w:num>
  <w:num w:numId="14" w16cid:durableId="587546316">
    <w:abstractNumId w:val="3"/>
  </w:num>
  <w:num w:numId="15" w16cid:durableId="430667012">
    <w:abstractNumId w:val="2"/>
  </w:num>
  <w:num w:numId="16" w16cid:durableId="573316438">
    <w:abstractNumId w:val="2"/>
  </w:num>
  <w:num w:numId="17" w16cid:durableId="44304033">
    <w:abstractNumId w:val="1"/>
  </w:num>
  <w:num w:numId="18" w16cid:durableId="855847312">
    <w:abstractNumId w:val="1"/>
  </w:num>
  <w:num w:numId="19" w16cid:durableId="1469283393">
    <w:abstractNumId w:val="0"/>
  </w:num>
  <w:num w:numId="20" w16cid:durableId="1003514147">
    <w:abstractNumId w:val="0"/>
  </w:num>
  <w:num w:numId="21" w16cid:durableId="1388459480">
    <w:abstractNumId w:val="9"/>
  </w:num>
  <w:num w:numId="22" w16cid:durableId="113377536">
    <w:abstractNumId w:val="7"/>
  </w:num>
  <w:num w:numId="23" w16cid:durableId="2080663311">
    <w:abstractNumId w:val="6"/>
  </w:num>
  <w:num w:numId="24" w16cid:durableId="998926683">
    <w:abstractNumId w:val="5"/>
  </w:num>
  <w:num w:numId="25" w16cid:durableId="1915554339">
    <w:abstractNumId w:val="4"/>
  </w:num>
  <w:num w:numId="26" w16cid:durableId="270674530">
    <w:abstractNumId w:val="8"/>
  </w:num>
  <w:num w:numId="27" w16cid:durableId="1241479829">
    <w:abstractNumId w:val="3"/>
  </w:num>
  <w:num w:numId="28" w16cid:durableId="1022322868">
    <w:abstractNumId w:val="2"/>
  </w:num>
  <w:num w:numId="29" w16cid:durableId="371272125">
    <w:abstractNumId w:val="1"/>
  </w:num>
  <w:num w:numId="30" w16cid:durableId="1926649227">
    <w:abstractNumId w:val="0"/>
  </w:num>
  <w:num w:numId="31" w16cid:durableId="1216820538">
    <w:abstractNumId w:val="9"/>
  </w:num>
  <w:num w:numId="32" w16cid:durableId="1253781991">
    <w:abstractNumId w:val="7"/>
  </w:num>
  <w:num w:numId="33" w16cid:durableId="1428692976">
    <w:abstractNumId w:val="6"/>
  </w:num>
  <w:num w:numId="34" w16cid:durableId="2133670764">
    <w:abstractNumId w:val="5"/>
  </w:num>
  <w:num w:numId="35" w16cid:durableId="1607542523">
    <w:abstractNumId w:val="4"/>
  </w:num>
  <w:num w:numId="36" w16cid:durableId="866942452">
    <w:abstractNumId w:val="8"/>
  </w:num>
  <w:num w:numId="37" w16cid:durableId="2044935253">
    <w:abstractNumId w:val="3"/>
  </w:num>
  <w:num w:numId="38" w16cid:durableId="97677446">
    <w:abstractNumId w:val="2"/>
  </w:num>
  <w:num w:numId="39" w16cid:durableId="743530496">
    <w:abstractNumId w:val="1"/>
  </w:num>
  <w:num w:numId="40" w16cid:durableId="1064375617">
    <w:abstractNumId w:val="0"/>
  </w:num>
  <w:num w:numId="41" w16cid:durableId="1642080547">
    <w:abstractNumId w:val="10"/>
  </w:num>
  <w:num w:numId="42" w16cid:durableId="769012085">
    <w:abstractNumId w:val="10"/>
  </w:num>
  <w:num w:numId="43" w16cid:durableId="1906837730">
    <w:abstractNumId w:val="10"/>
  </w:num>
  <w:num w:numId="44" w16cid:durableId="3609790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SL"/>
    <w:docVar w:name="dvnumam" w:val="0"/>
    <w:docVar w:name="dvpe" w:val="789.090"/>
    <w:docVar w:name="dvrapporteur" w:val="Poročevalec: "/>
    <w:docVar w:name="dvtitre" w:val="Resolucija Evropskega parlamenta z dne xx. julija 2026 o predlogu sklepa Evropskega parlamenta in Sveta o uporabi Solidarnostnega sklada Evropske unije za zagotovitev pomoči Romuniji v zvezi s poplavami konec maja 2025, Cipru po požarih v naravi julija 2025 in Španiji po požarih v naravi avgusta 2025(COM(2026)1002 – C10-0119/2026 – 2026/0120(BUD))"/>
  </w:docVars>
  <w:rsids>
    <w:rsidRoot w:val="00FB2999"/>
    <w:rsid w:val="00002272"/>
    <w:rsid w:val="00052FB2"/>
    <w:rsid w:val="00064002"/>
    <w:rsid w:val="000677B9"/>
    <w:rsid w:val="000831BA"/>
    <w:rsid w:val="000A0522"/>
    <w:rsid w:val="000A42CC"/>
    <w:rsid w:val="000E7DD9"/>
    <w:rsid w:val="0010095E"/>
    <w:rsid w:val="00125B37"/>
    <w:rsid w:val="00142967"/>
    <w:rsid w:val="00187494"/>
    <w:rsid w:val="001F32AE"/>
    <w:rsid w:val="00200575"/>
    <w:rsid w:val="00272419"/>
    <w:rsid w:val="002767FF"/>
    <w:rsid w:val="00287463"/>
    <w:rsid w:val="002B18FE"/>
    <w:rsid w:val="002B5493"/>
    <w:rsid w:val="002F2FCB"/>
    <w:rsid w:val="00343214"/>
    <w:rsid w:val="00361C00"/>
    <w:rsid w:val="00395FA1"/>
    <w:rsid w:val="003E15D4"/>
    <w:rsid w:val="003F1863"/>
    <w:rsid w:val="00411CCE"/>
    <w:rsid w:val="0041666E"/>
    <w:rsid w:val="00421060"/>
    <w:rsid w:val="00430961"/>
    <w:rsid w:val="00442CD8"/>
    <w:rsid w:val="00471C19"/>
    <w:rsid w:val="004729CD"/>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5946"/>
    <w:rsid w:val="00786EC0"/>
    <w:rsid w:val="007976DD"/>
    <w:rsid w:val="007C767D"/>
    <w:rsid w:val="007D1690"/>
    <w:rsid w:val="007E22AD"/>
    <w:rsid w:val="008054DE"/>
    <w:rsid w:val="00817416"/>
    <w:rsid w:val="00842779"/>
    <w:rsid w:val="00865F67"/>
    <w:rsid w:val="00881A7B"/>
    <w:rsid w:val="008840E5"/>
    <w:rsid w:val="00887B3E"/>
    <w:rsid w:val="008C2AC6"/>
    <w:rsid w:val="00930C23"/>
    <w:rsid w:val="0093193B"/>
    <w:rsid w:val="009366AF"/>
    <w:rsid w:val="009509D8"/>
    <w:rsid w:val="00950B64"/>
    <w:rsid w:val="00981893"/>
    <w:rsid w:val="00A1687D"/>
    <w:rsid w:val="00A373F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808"/>
    <w:rsid w:val="00C82735"/>
    <w:rsid w:val="00C941CB"/>
    <w:rsid w:val="00CC2357"/>
    <w:rsid w:val="00CF071A"/>
    <w:rsid w:val="00D058B8"/>
    <w:rsid w:val="00D56C11"/>
    <w:rsid w:val="00D65E6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D77"/>
    <w:rsid w:val="00F74202"/>
    <w:rsid w:val="00F87713"/>
    <w:rsid w:val="00F931E3"/>
    <w:rsid w:val="00FB299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16891"/>
  <w15:chartTrackingRefBased/>
  <w15:docId w15:val="{B8F5E424-A8CF-4BBD-A406-AB093336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65E6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65E6B"/>
    <w:pPr>
      <w:keepNext/>
      <w:spacing w:after="480"/>
      <w:jc w:val="center"/>
    </w:pPr>
    <w:rPr>
      <w:rFonts w:ascii="Arial" w:hAnsi="Arial" w:cs="Arial"/>
      <w:b/>
    </w:rPr>
  </w:style>
  <w:style w:type="paragraph" w:customStyle="1" w:styleId="NormalHanging12a">
    <w:name w:val="NormalHanging12a"/>
    <w:basedOn w:val="Normal"/>
    <w:rsid w:val="00D65E6B"/>
    <w:pPr>
      <w:spacing w:after="240"/>
      <w:ind w:left="567" w:hanging="567"/>
    </w:pPr>
  </w:style>
  <w:style w:type="paragraph" w:styleId="Header">
    <w:name w:val="header"/>
    <w:basedOn w:val="Normal"/>
    <w:link w:val="HeaderChar"/>
    <w:rsid w:val="00D65E6B"/>
    <w:pPr>
      <w:tabs>
        <w:tab w:val="center" w:pos="4513"/>
        <w:tab w:val="right" w:pos="9026"/>
      </w:tabs>
    </w:pPr>
  </w:style>
  <w:style w:type="character" w:customStyle="1" w:styleId="HeaderChar">
    <w:name w:val="Header Char"/>
    <w:basedOn w:val="DefaultParagraphFont"/>
    <w:link w:val="Header"/>
    <w:rsid w:val="00D65E6B"/>
    <w:rPr>
      <w:sz w:val="24"/>
      <w:lang w:val="sl-SI"/>
    </w:rPr>
  </w:style>
  <w:style w:type="paragraph" w:customStyle="1" w:styleId="EPFooter">
    <w:name w:val="EPFooter"/>
    <w:basedOn w:val="Normal"/>
    <w:rsid w:val="00D65E6B"/>
    <w:pPr>
      <w:tabs>
        <w:tab w:val="center" w:pos="4535"/>
        <w:tab w:val="right" w:pos="9071"/>
      </w:tabs>
      <w:spacing w:before="240" w:after="240"/>
    </w:pPr>
    <w:rPr>
      <w:color w:val="010000"/>
      <w:sz w:val="22"/>
    </w:rPr>
  </w:style>
  <w:style w:type="paragraph" w:customStyle="1" w:styleId="EPComma">
    <w:name w:val="EPComma"/>
    <w:basedOn w:val="Normal"/>
    <w:rsid w:val="00D65E6B"/>
    <w:pPr>
      <w:spacing w:before="480" w:after="240"/>
    </w:pPr>
  </w:style>
  <w:style w:type="character" w:styleId="Hyperlink">
    <w:name w:val="Hyperlink"/>
    <w:basedOn w:val="DefaultParagraphFont"/>
    <w:uiPriority w:val="99"/>
    <w:rsid w:val="00D65E6B"/>
    <w:rPr>
      <w:color w:val="0563C1" w:themeColor="hyperlink"/>
      <w:u w:val="single"/>
    </w:rPr>
  </w:style>
  <w:style w:type="paragraph" w:styleId="ListParagraph">
    <w:name w:val="List Paragraph"/>
    <w:basedOn w:val="Normal"/>
    <w:uiPriority w:val="1"/>
    <w:qFormat/>
    <w:rsid w:val="00D65E6B"/>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rsid w:val="007976DD"/>
    <w:pPr>
      <w:tabs>
        <w:tab w:val="center" w:pos="4513"/>
        <w:tab w:val="right" w:pos="9026"/>
      </w:tabs>
    </w:pPr>
  </w:style>
  <w:style w:type="character" w:customStyle="1" w:styleId="FooterChar">
    <w:name w:val="Footer Char"/>
    <w:basedOn w:val="DefaultParagraphFont"/>
    <w:link w:val="Footer"/>
    <w:rsid w:val="007976DD"/>
    <w:rPr>
      <w:sz w:val="24"/>
      <w:lang w:val="sl-SI"/>
    </w:rPr>
  </w:style>
  <w:style w:type="paragraph" w:styleId="Revision">
    <w:name w:val="Revision"/>
    <w:hidden/>
    <w:uiPriority w:val="99"/>
    <w:semiHidden/>
    <w:rsid w:val="007976DD"/>
    <w:rPr>
      <w:sz w:val="24"/>
      <w:lang w:val="sl-SI"/>
    </w:rPr>
  </w:style>
  <w:style w:type="character" w:styleId="UnresolvedMention">
    <w:name w:val="Unresolved Mention"/>
    <w:basedOn w:val="DefaultParagraphFont"/>
    <w:uiPriority w:val="99"/>
    <w:semiHidden/>
    <w:unhideWhenUsed/>
    <w:rsid w:val="007976DD"/>
    <w:rPr>
      <w:color w:val="605E5C"/>
      <w:shd w:val="clear" w:color="auto" w:fill="E1DFDD"/>
    </w:rPr>
  </w:style>
  <w:style w:type="character" w:styleId="CommentReference">
    <w:name w:val="annotation reference"/>
    <w:basedOn w:val="DefaultParagraphFont"/>
    <w:rsid w:val="00A373F5"/>
    <w:rPr>
      <w:sz w:val="16"/>
      <w:szCs w:val="16"/>
    </w:rPr>
  </w:style>
  <w:style w:type="paragraph" w:styleId="CommentText">
    <w:name w:val="annotation text"/>
    <w:basedOn w:val="Normal"/>
    <w:link w:val="CommentTextChar"/>
    <w:rsid w:val="00A373F5"/>
    <w:rPr>
      <w:sz w:val="20"/>
    </w:rPr>
  </w:style>
  <w:style w:type="character" w:customStyle="1" w:styleId="CommentTextChar">
    <w:name w:val="Comment Text Char"/>
    <w:basedOn w:val="DefaultParagraphFont"/>
    <w:link w:val="CommentText"/>
    <w:rsid w:val="00A373F5"/>
    <w:rPr>
      <w:lang w:val="sl-SI"/>
    </w:rPr>
  </w:style>
  <w:style w:type="paragraph" w:styleId="CommentSubject">
    <w:name w:val="annotation subject"/>
    <w:basedOn w:val="CommentText"/>
    <w:next w:val="CommentText"/>
    <w:link w:val="CommentSubjectChar"/>
    <w:rsid w:val="00A373F5"/>
    <w:rPr>
      <w:b/>
      <w:bCs/>
    </w:rPr>
  </w:style>
  <w:style w:type="character" w:customStyle="1" w:styleId="CommentSubjectChar">
    <w:name w:val="Comment Subject Char"/>
    <w:basedOn w:val="CommentTextChar"/>
    <w:link w:val="CommentSubject"/>
    <w:rsid w:val="00A373F5"/>
    <w:rPr>
      <w:b/>
      <w:bCs/>
      <w:lang w:val="sl-SI"/>
    </w:rPr>
  </w:style>
  <w:style w:type="character" w:styleId="FollowedHyperlink">
    <w:name w:val="FollowedHyperlink"/>
    <w:basedOn w:val="DefaultParagraphFont"/>
    <w:rsid w:val="00A373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36/oj" TargetMode="External"/><Relationship Id="rId13" Type="http://schemas.openxmlformats.org/officeDocument/2006/relationships/hyperlink" Target="http://data.europa.eu/eli/agree_interinstit/2020/122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02/201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 Id="rId1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2156</Words>
  <Characters>12737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2026-07-07T12:51:00Z</dcterms:created>
  <dcterms:modified xsi:type="dcterms:W3CDTF">2026-07-07T12:51:00Z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A10-0178/2026</vt:lpwstr>
  </property>
  <property fmtid="{D5CDD505-2E9C-101B-9397-08002B2CF9AE}" pid="4" name="&lt;Type&gt;">
    <vt:lpwstr>RR</vt:lpwstr>
  </property>
</Properties>
</file>