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4CA9" w14:paraId="7639D4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7DA29C" w14:textId="25D8B182" w:rsidR="00751A4A" w:rsidRPr="00954CA9" w:rsidRDefault="00367204" w:rsidP="0010095E">
            <w:pPr>
              <w:pStyle w:val="EPName"/>
            </w:pPr>
            <w:r w:rsidRPr="00954CA9">
              <w:t>Европейски</w:t>
            </w:r>
            <w:r w:rsidR="00D877CF" w:rsidRPr="00954CA9">
              <w:t xml:space="preserve"> парламент</w:t>
            </w:r>
          </w:p>
          <w:p w14:paraId="6CD3EE5F" w14:textId="19353D37" w:rsidR="00751A4A" w:rsidRPr="00954C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4CA9">
              <w:t>2024</w:t>
            </w:r>
            <w:r w:rsidR="00367204">
              <w:t> – </w:t>
            </w:r>
            <w:r w:rsidR="00817416" w:rsidRPr="00954CA9">
              <w:t>202</w:t>
            </w:r>
            <w:r w:rsidRPr="00954CA9">
              <w:t>9</w:t>
            </w:r>
          </w:p>
        </w:tc>
        <w:tc>
          <w:tcPr>
            <w:tcW w:w="2268" w:type="dxa"/>
            <w:shd w:val="clear" w:color="auto" w:fill="auto"/>
          </w:tcPr>
          <w:p w14:paraId="196C9917" w14:textId="77777777" w:rsidR="00751A4A" w:rsidRPr="00954CA9" w:rsidRDefault="00187494" w:rsidP="0010095E">
            <w:pPr>
              <w:pStyle w:val="EPLogo"/>
            </w:pPr>
            <w:r w:rsidRPr="00954CA9">
              <w:rPr>
                <w:noProof/>
                <w:lang w:eastAsia="ja-JP"/>
              </w:rPr>
              <w:drawing>
                <wp:inline distT="0" distB="0" distL="0" distR="0" wp14:anchorId="6BFF3F1B" wp14:editId="3A24D5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9862D3" w14:textId="77777777" w:rsidR="00D058B8" w:rsidRPr="00954CA9" w:rsidRDefault="00D058B8" w:rsidP="004C5D52">
      <w:pPr>
        <w:pStyle w:val="LineTop"/>
      </w:pPr>
    </w:p>
    <w:p w14:paraId="2813F5B8" w14:textId="77777777" w:rsidR="00680577" w:rsidRPr="00954CA9" w:rsidRDefault="00D877CF" w:rsidP="00680577">
      <w:pPr>
        <w:pStyle w:val="EPBodyTA1"/>
      </w:pPr>
      <w:r w:rsidRPr="00954CA9">
        <w:t>ПРИЕТИ ТЕКСТОВЕ</w:t>
      </w:r>
    </w:p>
    <w:p w14:paraId="20C66F1C" w14:textId="77777777" w:rsidR="00D058B8" w:rsidRPr="00954CA9" w:rsidRDefault="00D058B8" w:rsidP="00D058B8">
      <w:pPr>
        <w:pStyle w:val="LineBottom"/>
      </w:pPr>
    </w:p>
    <w:p w14:paraId="77A141C9" w14:textId="5074518E" w:rsidR="00D877CF" w:rsidRPr="00954CA9" w:rsidRDefault="00D877CF" w:rsidP="00D877CF">
      <w:pPr>
        <w:pStyle w:val="ATHeading1"/>
      </w:pPr>
      <w:bookmarkStart w:id="0" w:name="TANumber"/>
      <w:r w:rsidRPr="00954CA9">
        <w:t>P10_TA(2026)0</w:t>
      </w:r>
      <w:r w:rsidR="00A454F4">
        <w:t>245</w:t>
      </w:r>
      <w:bookmarkEnd w:id="0"/>
    </w:p>
    <w:p w14:paraId="0065BA34" w14:textId="77777777" w:rsidR="00D877CF" w:rsidRPr="00954CA9" w:rsidRDefault="00D877CF" w:rsidP="00D877CF">
      <w:pPr>
        <w:pStyle w:val="ATHeading2"/>
      </w:pPr>
      <w:bookmarkStart w:id="1" w:name="title"/>
      <w:r w:rsidRPr="00954CA9">
        <w:t xml:space="preserve">Финансови дейности на групата на Европейската инвестиционна банка – годишен доклад за 2025 г. </w:t>
      </w:r>
      <w:bookmarkEnd w:id="1"/>
    </w:p>
    <w:p w14:paraId="59A50BDF" w14:textId="77777777" w:rsidR="00D877CF" w:rsidRPr="00954CA9" w:rsidRDefault="00D877CF" w:rsidP="00D877CF">
      <w:pPr>
        <w:rPr>
          <w:i/>
          <w:vanish/>
        </w:rPr>
      </w:pPr>
      <w:r w:rsidRPr="00954CA9">
        <w:rPr>
          <w:i/>
        </w:rPr>
        <w:fldChar w:fldCharType="begin"/>
      </w:r>
      <w:r w:rsidRPr="00954CA9">
        <w:rPr>
          <w:i/>
        </w:rPr>
        <w:instrText xml:space="preserve"> TC"(</w:instrText>
      </w:r>
      <w:bookmarkStart w:id="2" w:name="DocNumber"/>
      <w:r w:rsidRPr="00954CA9">
        <w:rPr>
          <w:i/>
        </w:rPr>
        <w:instrText>A10-0170/2026</w:instrText>
      </w:r>
      <w:bookmarkEnd w:id="2"/>
      <w:r w:rsidRPr="00954CA9">
        <w:rPr>
          <w:i/>
        </w:rPr>
        <w:instrText xml:space="preserve"> - Докладчик: Йоахим </w:instrText>
      </w:r>
      <w:proofErr w:type="spellStart"/>
      <w:r w:rsidRPr="00954CA9">
        <w:rPr>
          <w:i/>
        </w:rPr>
        <w:instrText>Щрайт</w:instrText>
      </w:r>
      <w:proofErr w:type="spellEnd"/>
      <w:r w:rsidRPr="00954CA9">
        <w:rPr>
          <w:i/>
        </w:rPr>
        <w:instrText xml:space="preserve">)"\l3 \n&gt; \* MERGEFORMAT </w:instrText>
      </w:r>
      <w:r w:rsidRPr="00954CA9">
        <w:rPr>
          <w:i/>
        </w:rPr>
        <w:fldChar w:fldCharType="end"/>
      </w:r>
    </w:p>
    <w:p w14:paraId="2BC53F95" w14:textId="77777777" w:rsidR="00D877CF" w:rsidRPr="00954CA9" w:rsidRDefault="00D877CF" w:rsidP="00D877CF">
      <w:pPr>
        <w:rPr>
          <w:vanish/>
        </w:rPr>
      </w:pPr>
      <w:bookmarkStart w:id="3" w:name="Commission"/>
      <w:r w:rsidRPr="00954CA9">
        <w:rPr>
          <w:vanish/>
        </w:rPr>
        <w:t>Комисия по бюджети</w:t>
      </w:r>
      <w:bookmarkEnd w:id="3"/>
    </w:p>
    <w:p w14:paraId="492509A0" w14:textId="77777777" w:rsidR="00D877CF" w:rsidRPr="00954CA9" w:rsidRDefault="00D877CF" w:rsidP="00D877CF">
      <w:pPr>
        <w:rPr>
          <w:vanish/>
        </w:rPr>
      </w:pPr>
      <w:bookmarkStart w:id="4" w:name="PE"/>
      <w:r w:rsidRPr="00954CA9">
        <w:rPr>
          <w:vanish/>
        </w:rPr>
        <w:t>PE784.507</w:t>
      </w:r>
      <w:bookmarkEnd w:id="4"/>
    </w:p>
    <w:p w14:paraId="2CEF1871" w14:textId="25090DBC" w:rsidR="00D877CF" w:rsidRPr="00954CA9" w:rsidRDefault="00D877CF" w:rsidP="00367204">
      <w:pPr>
        <w:pStyle w:val="ATHeading3"/>
        <w:spacing w:after="480"/>
      </w:pPr>
      <w:bookmarkStart w:id="5" w:name="Sujet"/>
      <w:r w:rsidRPr="00954CA9">
        <w:t xml:space="preserve">Резолюция на Европейския парламент от </w:t>
      </w:r>
      <w:r w:rsidR="00367204">
        <w:t>7 юли</w:t>
      </w:r>
      <w:r w:rsidRPr="00954CA9">
        <w:t xml:space="preserve"> 2026 г. относно финансовите дейности на групата на Европейската инвестиционна банка – годишен доклад за 2025 г.</w:t>
      </w:r>
      <w:bookmarkEnd w:id="5"/>
      <w:r w:rsidRPr="00954CA9">
        <w:t xml:space="preserve"> </w:t>
      </w:r>
      <w:bookmarkStart w:id="6" w:name="References"/>
      <w:r w:rsidRPr="00954CA9">
        <w:t>(2025/2213(INI))</w:t>
      </w:r>
      <w:bookmarkEnd w:id="6"/>
    </w:p>
    <w:p w14:paraId="36394550" w14:textId="77777777" w:rsidR="003862DD" w:rsidRPr="00367204" w:rsidRDefault="003862DD" w:rsidP="003862DD">
      <w:pPr>
        <w:pStyle w:val="Normal12"/>
        <w:rPr>
          <w:i/>
          <w:iCs/>
        </w:rPr>
      </w:pPr>
      <w:r w:rsidRPr="00367204">
        <w:rPr>
          <w:i/>
          <w:iCs/>
        </w:rPr>
        <w:t>Европейският парламент,</w:t>
      </w:r>
    </w:p>
    <w:p w14:paraId="4E24E5E1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членове 2 и 3 от Договора за Европейския съюз,</w:t>
      </w:r>
    </w:p>
    <w:p w14:paraId="7893BE14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членове 15, 126, 174, 175, 177, 208, 209, 271, 308 и 309 от Договора за функционирането на Европейския съюз и Протокол № 5 към Договорите за устава на Европейската инвестиционна банка (ЕИБ),</w:t>
      </w:r>
    </w:p>
    <w:p w14:paraId="56F00132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членове 41 – 43 от Договора за създаване на Европейската общност за атомна енергия,</w:t>
      </w:r>
    </w:p>
    <w:p w14:paraId="506AC5C9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устава на ЕИБ,</w:t>
      </w:r>
    </w:p>
    <w:p w14:paraId="2B329C11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оперативния план на групата на ЕИБ за периода 2026 – 2028 г., публикуван на 29 януари 2026 г., и оперативния план на групата на ЕИБ за периода 2025 – 2027 г. от 30 януари 2025 г.,</w:t>
      </w:r>
    </w:p>
    <w:p w14:paraId="4F9A0F2B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доклада за дейността на групата на ЕИБ за 2025 г., озаглавен „</w:t>
      </w:r>
      <w:proofErr w:type="spellStart"/>
      <w:r w:rsidRPr="00954CA9">
        <w:t>Powering</w:t>
      </w:r>
      <w:proofErr w:type="spellEnd"/>
      <w:r w:rsidRPr="00954CA9">
        <w:t xml:space="preserve"> </w:t>
      </w:r>
      <w:proofErr w:type="spellStart"/>
      <w:r w:rsidRPr="00954CA9">
        <w:t>Europe</w:t>
      </w:r>
      <w:proofErr w:type="spellEnd"/>
      <w:r w:rsidRPr="00954CA9">
        <w:t>“ (Енергия за Европа), публикуван на 29 януари 2026 г.,</w:t>
      </w:r>
    </w:p>
    <w:p w14:paraId="6444BA0A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процедурите на ЕИБ за надлежна проверка в областта на околната среда, климата и социалната сфера, публикувани на 20 октомври 2025 г.,</w:t>
      </w:r>
    </w:p>
    <w:p w14:paraId="3BA1EE2B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Стратегическата ориентация на ЕИБ Глобал, публикувана на 15 октомври 2025 г.,</w:t>
      </w:r>
    </w:p>
    <w:p w14:paraId="4E3ACDF9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проучването на ЕИБ относно инвестициите за 2025 г., озаглавено „</w:t>
      </w:r>
      <w:proofErr w:type="spellStart"/>
      <w:r w:rsidRPr="00954CA9">
        <w:t>European</w:t>
      </w:r>
      <w:proofErr w:type="spellEnd"/>
      <w:r w:rsidRPr="00954CA9">
        <w:t xml:space="preserve"> </w:t>
      </w:r>
      <w:proofErr w:type="spellStart"/>
      <w:r w:rsidRPr="00954CA9">
        <w:t>Union</w:t>
      </w:r>
      <w:proofErr w:type="spellEnd"/>
      <w:r w:rsidRPr="00954CA9">
        <w:t xml:space="preserve"> – </w:t>
      </w:r>
      <w:proofErr w:type="spellStart"/>
      <w:r w:rsidRPr="00954CA9">
        <w:t>Overview</w:t>
      </w:r>
      <w:proofErr w:type="spellEnd"/>
      <w:r w:rsidRPr="00954CA9">
        <w:t>“ (Преглед на Европейския съюз), публикувано на 14 октомври 2025 г.,</w:t>
      </w:r>
    </w:p>
    <w:p w14:paraId="40FCA7F1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публикацията на ЕИБ, озаглавена „</w:t>
      </w:r>
      <w:proofErr w:type="spellStart"/>
      <w:r w:rsidRPr="00954CA9">
        <w:t>Unlocking</w:t>
      </w:r>
      <w:proofErr w:type="spellEnd"/>
      <w:r w:rsidRPr="00954CA9">
        <w:t xml:space="preserve"> </w:t>
      </w:r>
      <w:proofErr w:type="spellStart"/>
      <w:r w:rsidRPr="00954CA9">
        <w:t>innovation</w:t>
      </w:r>
      <w:proofErr w:type="spellEnd"/>
      <w:r w:rsidRPr="00954CA9">
        <w:t xml:space="preserve">: </w:t>
      </w:r>
      <w:proofErr w:type="spellStart"/>
      <w:r w:rsidRPr="00954CA9">
        <w:lastRenderedPageBreak/>
        <w:t>Addressing</w:t>
      </w:r>
      <w:proofErr w:type="spellEnd"/>
      <w:r w:rsidRPr="00954CA9">
        <w:t xml:space="preserve"> </w:t>
      </w:r>
      <w:proofErr w:type="spellStart"/>
      <w:r w:rsidRPr="00954CA9">
        <w:t>the</w:t>
      </w:r>
      <w:proofErr w:type="spellEnd"/>
      <w:r w:rsidRPr="00954CA9">
        <w:t xml:space="preserve"> </w:t>
      </w:r>
      <w:proofErr w:type="spellStart"/>
      <w:r w:rsidRPr="00954CA9">
        <w:t>funding</w:t>
      </w:r>
      <w:proofErr w:type="spellEnd"/>
      <w:r w:rsidRPr="00954CA9">
        <w:t xml:space="preserve"> </w:t>
      </w:r>
      <w:proofErr w:type="spellStart"/>
      <w:r w:rsidRPr="00954CA9">
        <w:t>needs</w:t>
      </w:r>
      <w:proofErr w:type="spellEnd"/>
      <w:r w:rsidRPr="00954CA9">
        <w:t xml:space="preserve"> </w:t>
      </w:r>
      <w:proofErr w:type="spellStart"/>
      <w:r w:rsidRPr="00954CA9">
        <w:t>of</w:t>
      </w:r>
      <w:proofErr w:type="spellEnd"/>
      <w:r w:rsidRPr="00954CA9">
        <w:t xml:space="preserve"> EU </w:t>
      </w:r>
      <w:proofErr w:type="spellStart"/>
      <w:r w:rsidRPr="00954CA9">
        <w:t>technology</w:t>
      </w:r>
      <w:proofErr w:type="spellEnd"/>
      <w:r w:rsidRPr="00954CA9">
        <w:t xml:space="preserve"> </w:t>
      </w:r>
      <w:proofErr w:type="spellStart"/>
      <w:r w:rsidRPr="00954CA9">
        <w:t>infrastructures</w:t>
      </w:r>
      <w:proofErr w:type="spellEnd"/>
      <w:r w:rsidRPr="00954CA9">
        <w:t>“ (Отключване на иновациите: Посрещане на нуждите от финансиране на технологичните инфраструктури на ЕС) и публикувана на 15 септември 2025 г.,</w:t>
      </w:r>
    </w:p>
    <w:p w14:paraId="37C3A444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доклада за дейността на ЕИБ за оценка за 2022 г. и работната програма за периода 2023 – 2025 г., публикувани на 3 март 2023 г.,</w:t>
      </w:r>
    </w:p>
    <w:p w14:paraId="678184C4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политиката за механизма за подаване на жалби на групата на ЕИБ, публикувана на 13 ноември 2018 г.,</w:t>
      </w:r>
    </w:p>
    <w:p w14:paraId="6ECF38A7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 xml:space="preserve">като взе предвид публикацията на ЕИБ, озаглавена „EIB </w:t>
      </w:r>
      <w:proofErr w:type="spellStart"/>
      <w:r w:rsidRPr="00954CA9">
        <w:t>energy</w:t>
      </w:r>
      <w:proofErr w:type="spellEnd"/>
      <w:r w:rsidRPr="00954CA9">
        <w:t xml:space="preserve"> </w:t>
      </w:r>
      <w:proofErr w:type="spellStart"/>
      <w:r w:rsidRPr="00954CA9">
        <w:t>lending</w:t>
      </w:r>
      <w:proofErr w:type="spellEnd"/>
      <w:r w:rsidRPr="00954CA9">
        <w:t xml:space="preserve"> </w:t>
      </w:r>
      <w:proofErr w:type="spellStart"/>
      <w:r w:rsidRPr="00954CA9">
        <w:t>policy</w:t>
      </w:r>
      <w:proofErr w:type="spellEnd"/>
      <w:r w:rsidRPr="00954CA9">
        <w:t>“ (Политиката на ЕИБ за отпускане на заеми в областта на енергетиката) и публикувана на 8 май 2023 г.,</w:t>
      </w:r>
    </w:p>
    <w:p w14:paraId="1EBD5CA0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Пътната карта на групата на ЕИБ за банка за климата за периода 2021 – 2025 г., приета от Съвета на директорите на ЕИБ на 11 ноември 2020 г., етап 2 от Пътната карта за банка за климата, публикувана на 3 октомври 2025 г., и стратегията на ЕИБ за климата, публикувана на 15 ноември 2020 г.,</w:t>
      </w:r>
    </w:p>
    <w:p w14:paraId="619726A3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екологичните и социалните стандарти на ЕИБ от 2 февруари 2022 г.,</w:t>
      </w:r>
    </w:p>
    <w:p w14:paraId="7EB2241C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плана за действие на групата на ЕИБ за устойчиви жилища на достъпни цени,</w:t>
      </w:r>
    </w:p>
    <w:p w14:paraId="132051C4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 xml:space="preserve">като взе предвид публикацията на ЕИБ, озаглавена „EIB </w:t>
      </w:r>
      <w:proofErr w:type="spellStart"/>
      <w:r w:rsidRPr="00954CA9">
        <w:t>Global</w:t>
      </w:r>
      <w:proofErr w:type="spellEnd"/>
      <w:r w:rsidRPr="00954CA9">
        <w:t xml:space="preserve"> – </w:t>
      </w:r>
      <w:proofErr w:type="spellStart"/>
      <w:r w:rsidRPr="00954CA9">
        <w:t>Partnerships</w:t>
      </w:r>
      <w:proofErr w:type="spellEnd"/>
      <w:r w:rsidRPr="00954CA9">
        <w:t xml:space="preserve">, </w:t>
      </w:r>
      <w:proofErr w:type="spellStart"/>
      <w:r w:rsidRPr="00954CA9">
        <w:t>People</w:t>
      </w:r>
      <w:proofErr w:type="spellEnd"/>
      <w:r w:rsidRPr="00954CA9">
        <w:t xml:space="preserve">, </w:t>
      </w:r>
      <w:proofErr w:type="spellStart"/>
      <w:r w:rsidRPr="00954CA9">
        <w:t>Impact</w:t>
      </w:r>
      <w:proofErr w:type="spellEnd"/>
      <w:r w:rsidRPr="00954CA9">
        <w:t>“ (ЕИБ Глобал – партньорство, хора, въздействие) и публикувана на 10 февруари 2023 г.,</w:t>
      </w:r>
    </w:p>
    <w:p w14:paraId="59ED8EF7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стратегията на групата на ЕИБ относно равенството между половете и икономическото овластяване на жените, публикувана на 6 януари 2017 г., и Третия план за действие на групата на ЕИБ относно равенството между половете (2026 – 2030 г.), публикуван на 3 март 2026 г.,</w:t>
      </w:r>
    </w:p>
    <w:p w14:paraId="09926D81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кодекса за поведение на служителите на групата на ЕИБ, публикуван на 3 февруари 2023 г.,</w:t>
      </w:r>
    </w:p>
    <w:p w14:paraId="517FA430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пакета за солидарност на ЕИБ за Украйна, одобрен от Съвета на директорите на ЕИБ на 4 март 2022 г.,</w:t>
      </w:r>
    </w:p>
    <w:p w14:paraId="28CA935D" w14:textId="2F1163F0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съобщението на Комисията от 29 януари 2025 г., озаглавено „Компас за конкурентоспособността на ЕС“ (</w:t>
      </w:r>
      <w:r w:rsidR="00367204" w:rsidRPr="00A454F4">
        <w:t>COM(2025)0030</w:t>
      </w:r>
      <w:r w:rsidRPr="00954CA9">
        <w:t>),</w:t>
      </w:r>
    </w:p>
    <w:p w14:paraId="7E842D06" w14:textId="4933B73E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 xml:space="preserve">като взе предвид съобщението на Комисията от 26 февруари 2025 г., озаглавено „Пактът за чиста промишленост: Съвместна пътна карта за конкурентоспособност и </w:t>
      </w:r>
      <w:proofErr w:type="spellStart"/>
      <w:r w:rsidRPr="00954CA9">
        <w:t>декарбонизация</w:t>
      </w:r>
      <w:proofErr w:type="spellEnd"/>
      <w:r w:rsidRPr="00954CA9">
        <w:t>“ (</w:t>
      </w:r>
      <w:r w:rsidR="00367204" w:rsidRPr="00A454F4">
        <w:t>COM(2025)0085</w:t>
      </w:r>
      <w:r w:rsidRPr="00954CA9">
        <w:t>),</w:t>
      </w:r>
    </w:p>
    <w:p w14:paraId="2FC04201" w14:textId="6009A32F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съобщението на Комисията от 26 февруари 2025 г., озаглавено „План за действие за енергия на достъпни цени – Отключване на истинската стойност на нашия енергиен съюз за осигуряване на финансово достъпна, ефективно произвеждана и чиста енергия за всички европейци“ (</w:t>
      </w:r>
      <w:r w:rsidR="00367204" w:rsidRPr="00A454F4">
        <w:t>COM(2025)0079</w:t>
      </w:r>
      <w:r w:rsidRPr="00954CA9">
        <w:t>),</w:t>
      </w:r>
    </w:p>
    <w:p w14:paraId="7DB0FFE5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доклада на Марио Драги от 9 септември 2024 г., озаглавен „</w:t>
      </w:r>
      <w:proofErr w:type="spellStart"/>
      <w:r w:rsidRPr="00954CA9">
        <w:t>The</w:t>
      </w:r>
      <w:proofErr w:type="spellEnd"/>
      <w:r w:rsidRPr="00954CA9">
        <w:t xml:space="preserve"> </w:t>
      </w:r>
      <w:proofErr w:type="spellStart"/>
      <w:r w:rsidRPr="00954CA9">
        <w:lastRenderedPageBreak/>
        <w:t>future</w:t>
      </w:r>
      <w:proofErr w:type="spellEnd"/>
      <w:r w:rsidRPr="00954CA9">
        <w:t xml:space="preserve"> </w:t>
      </w:r>
      <w:proofErr w:type="spellStart"/>
      <w:r w:rsidRPr="00954CA9">
        <w:t>of</w:t>
      </w:r>
      <w:proofErr w:type="spellEnd"/>
      <w:r w:rsidRPr="00954CA9">
        <w:t xml:space="preserve"> </w:t>
      </w:r>
      <w:proofErr w:type="spellStart"/>
      <w:r w:rsidRPr="00954CA9">
        <w:t>European</w:t>
      </w:r>
      <w:proofErr w:type="spellEnd"/>
      <w:r w:rsidRPr="00954CA9">
        <w:t xml:space="preserve"> </w:t>
      </w:r>
      <w:proofErr w:type="spellStart"/>
      <w:r w:rsidRPr="00954CA9">
        <w:t>competitiveness</w:t>
      </w:r>
      <w:proofErr w:type="spellEnd"/>
      <w:r w:rsidRPr="00954CA9">
        <w:t>“ (Бъдещето на европейската конкурентоспособност),</w:t>
      </w:r>
    </w:p>
    <w:p w14:paraId="0A55E4BD" w14:textId="6CC61DDC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предложението на Комисията от 16 юли 2025 г. за регламент на Европейския парламент и на Съвета за създаване на Европейски фонд за конкурентоспособност (ЕФК), включващ специфична програма за научноизследователски и иновационни дейности в областта на отбраната, за отмяна на регламенти (ЕС) 2021/522, (ЕС) 2021/694, (ЕС) 2021/697 и (ЕС) 2021/783 и за изменение на регламенти (ЕС) 2021/696, (ЕС) 2023/588 и (ЕС) [ПЕОП] (</w:t>
      </w:r>
      <w:r w:rsidR="00367204" w:rsidRPr="00A454F4">
        <w:t>COM(2025)0555</w:t>
      </w:r>
      <w:r w:rsidRPr="00954CA9">
        <w:t>),</w:t>
      </w:r>
    </w:p>
    <w:p w14:paraId="1C34D38B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тристранното споразумение между Комисията, Европейската сметна палата и Европейската инвестиционна банка, което влезе в сила през ноември 2021 г.,</w:t>
      </w:r>
    </w:p>
    <w:p w14:paraId="31A44DC5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член 55 от своя Правилник за дейността,</w:t>
      </w:r>
    </w:p>
    <w:p w14:paraId="074842FB" w14:textId="77777777" w:rsidR="003862DD" w:rsidRPr="00954CA9" w:rsidRDefault="003862DD" w:rsidP="003862DD">
      <w:pPr>
        <w:pStyle w:val="NormalHanging"/>
      </w:pPr>
      <w:r w:rsidRPr="00954CA9">
        <w:t>–</w:t>
      </w:r>
      <w:r w:rsidRPr="00954CA9">
        <w:tab/>
        <w:t>като взе предвид доклада на комисията по бюджети (A10-0170/2026),</w:t>
      </w:r>
    </w:p>
    <w:p w14:paraId="7A3E4470" w14:textId="77777777" w:rsidR="003862DD" w:rsidRPr="00954CA9" w:rsidRDefault="003862DD" w:rsidP="003862DD">
      <w:pPr>
        <w:pStyle w:val="NormalHanging"/>
      </w:pPr>
      <w:r w:rsidRPr="00954CA9">
        <w:t>A.</w:t>
      </w:r>
      <w:r w:rsidRPr="00954CA9">
        <w:tab/>
        <w:t>като има предвид, че ЕИБ заявява, че общите ѝ инвестиции са достигнали рекордно равнище от 100 милиарда евро през 2025 г. в сравнение с 89 милиарда евро през 2024 г.; като има предвид, че коефициентът на ливъридж на ЕИБ се е повишил до 290%, което предоставя на ЕИБ допълнителни възможности за инвестиции и подкрепа на общите приоритети на ЕС;</w:t>
      </w:r>
    </w:p>
    <w:p w14:paraId="41D471CD" w14:textId="77777777" w:rsidR="003862DD" w:rsidRPr="00954CA9" w:rsidRDefault="003862DD" w:rsidP="003862DD">
      <w:pPr>
        <w:pStyle w:val="NormalHanging"/>
      </w:pPr>
      <w:r w:rsidRPr="00954CA9">
        <w:t>Б.</w:t>
      </w:r>
      <w:r w:rsidRPr="00954CA9">
        <w:tab/>
        <w:t>като има предвид, че ЕИБ допринася за преодоляването на неефективността на пазара и недостига на инвестиции в качеството си на катализатор за частен капитал, като същевременно функционира като пазарна финансова институция, основана на принципите на добро банкиране;</w:t>
      </w:r>
    </w:p>
    <w:p w14:paraId="0E1E9BB8" w14:textId="77777777" w:rsidR="003862DD" w:rsidRPr="00954CA9" w:rsidRDefault="003862DD" w:rsidP="003862DD">
      <w:pPr>
        <w:pStyle w:val="NormalHanging"/>
      </w:pPr>
      <w:r w:rsidRPr="00954CA9">
        <w:t>В.</w:t>
      </w:r>
      <w:r w:rsidRPr="00954CA9">
        <w:tab/>
        <w:t>като има предвид, че ЕИБ, която е изцяло собственост на държавите членки, има за задача да допринася за постигането на целите на Съюза, по-специално развитието на вътрешния пазар и укрепването на потенциала на Съюза по отношение на създаването на работни места, икономическия растеж и конкурентоспособността, както и двойния преход; като има предвид, че този мандат също така включва насърчаването на политиките на Съюза в трети държави;</w:t>
      </w:r>
    </w:p>
    <w:p w14:paraId="474897F1" w14:textId="77777777" w:rsidR="003862DD" w:rsidRPr="00954CA9" w:rsidRDefault="003862DD" w:rsidP="003862DD">
      <w:pPr>
        <w:pStyle w:val="Normal12a"/>
      </w:pPr>
      <w:r w:rsidRPr="00954CA9">
        <w:rPr>
          <w:b/>
          <w:i/>
        </w:rPr>
        <w:t>Общи положения</w:t>
      </w:r>
    </w:p>
    <w:p w14:paraId="46F9D7EF" w14:textId="77777777" w:rsidR="003862DD" w:rsidRPr="00954CA9" w:rsidRDefault="003862DD" w:rsidP="003862DD">
      <w:pPr>
        <w:pStyle w:val="NormalHanging12a"/>
      </w:pPr>
      <w:r w:rsidRPr="00954CA9">
        <w:t>1.</w:t>
      </w:r>
      <w:r w:rsidRPr="00954CA9">
        <w:tab/>
        <w:t>приветства стратегическата пътна карта на ЕИБ за периода 2024 – 2027 г., насочена към подкрепа на политическите приоритети на ЕС, включително мобилизиране на инвестиции за укрепване на икономическата и промишлената база на Европа, за подкрепа на иновациите, конкурентоспособността, критичните технологии, сигурността и отбраната, за стимулиране на устойчивия растеж, екологичния и цифровия преход, регионалното развитие, модерната и критичната инфраструктура, включително социалните инфраструктури като жилищното настаняване, образованието и здравеопазването, и устойчив и иновативен селскостопански сектор, и за съсредоточаване върху европейските МСП и стартиращи предприятия, като същевременно се насърчават международните партньорства и завършването на съюза на спестяванията и инвестициите;</w:t>
      </w:r>
    </w:p>
    <w:p w14:paraId="79DDCE6D" w14:textId="77777777" w:rsidR="003862DD" w:rsidRPr="00954CA9" w:rsidRDefault="003862DD" w:rsidP="003862DD">
      <w:pPr>
        <w:pStyle w:val="NormalHanging12a"/>
      </w:pPr>
      <w:r w:rsidRPr="00954CA9">
        <w:lastRenderedPageBreak/>
        <w:t>2.</w:t>
      </w:r>
      <w:r w:rsidRPr="00954CA9">
        <w:tab/>
        <w:t>подчертава, че през годините ЕИБ е постигнала тясно съответствие с европейските приоритети; горещо приветства засиленото приоритизиране на инвестициите за укрепване на конкурентоспособността, промишлената устойчивост и сигурността на Европа и призовава за тяхното бързо и ефективно изпълнение; подкрепя ролята на ЕИБ като банка за климата, като отбелязва, че действията в областта на климата са определени като стратегически приоритет номер едно на групата на ЕИБ за периода 2024 – 2027 г., при което доста над 50% от годишните инвестиции се разпределят за екологичния преход; призовава за по-високи равнища на инвестиции за приоритети, свързани с конкурентоспособността, по-специално за МСП и стартиращите предприятия, и за разрастване на иновативните европейски дружества с оглед на тяхната решаваща роля за преодоляване на разликата в конкурентоспособността на Европа; подчертава необходимостта ЕИБ да поддържа балансиран портфейл, включително в областта на сигурността и отбраната, климата, конкурентоспособността, сближаването, иновациите, сътрудничеството и развитието;</w:t>
      </w:r>
    </w:p>
    <w:p w14:paraId="4D452D4C" w14:textId="77777777" w:rsidR="003862DD" w:rsidRPr="00954CA9" w:rsidRDefault="003862DD" w:rsidP="003862DD">
      <w:pPr>
        <w:pStyle w:val="NormalHanging12a"/>
      </w:pPr>
      <w:r w:rsidRPr="00954CA9">
        <w:t>3.</w:t>
      </w:r>
      <w:r w:rsidRPr="00954CA9">
        <w:tab/>
        <w:t>подчертава, че ЕИБ е надежден участник на международните финансови пазари, както е видно от кредитния ѝ рейтинг ААА; подчертава, че запазването на този рейтинг е от съществено значение, за да може банката да набира средства при благоприятни условия, и че всяко негово влошаване би увеличило значително разходите за финансиране; призовава ЕИБ да следи отблизо въздействието на разширените си дейности в областта на отбраната върху кредитния си рейтинг ААА;</w:t>
      </w:r>
    </w:p>
    <w:p w14:paraId="71E7A6A1" w14:textId="77777777" w:rsidR="003862DD" w:rsidRPr="00954CA9" w:rsidRDefault="003862DD" w:rsidP="003862DD">
      <w:pPr>
        <w:pStyle w:val="NormalHanging12a"/>
      </w:pPr>
      <w:r w:rsidRPr="00954CA9">
        <w:t>4.</w:t>
      </w:r>
      <w:r w:rsidRPr="00954CA9">
        <w:tab/>
        <w:t>подчертава ключовата роля на ЕИБ за мобилизирането на публично и частно финансиране за преодоляване на недостига на инвестиции и за укрепване на икономическата устойчивост на Съюза в една трудна глобална среда; припомня, че трансграничната координация, интеграцията на капиталовите пазари и доброто функциониране на единния пазар са от съществено значение; призовава Комисията и ЕИБ да използват изцяло потенциала на ЕИБ и да мобилизират финансирането, необходимо за екологичния, цифровия и социалния преход;</w:t>
      </w:r>
    </w:p>
    <w:p w14:paraId="5EF06F83" w14:textId="77777777" w:rsidR="003862DD" w:rsidRPr="00954CA9" w:rsidRDefault="003862DD" w:rsidP="003862DD">
      <w:pPr>
        <w:pStyle w:val="NormalHanging12a"/>
      </w:pPr>
      <w:r w:rsidRPr="00954CA9">
        <w:t>5.</w:t>
      </w:r>
      <w:r w:rsidRPr="00954CA9">
        <w:tab/>
        <w:t>подчертава, че действията на равнището на ЕС следва да допълват, а не да изместват инвестициите на държавите членки; поради това призовава за адекватна гъвкавост в рамката на ЕИБ за допустимост и оценка, за да се отговори на националните и регионалните нужди от инвестиции; припомня, че публичните банки за развитие и институции следва да намаляват риска за жизнеспособните проекти, когато съществуват пазарни пропуски, без да заместват частния капитал; освен това подчертава, че ЕИБ следва да играе ключова роля за това да се осигури възможност както за търговските, така и за публичните банки да инвестират в европейския сектор на отбраната; отбелязва, че рамката на ЕС за устойчиво финансиране не налага всеобхватни ограничения върху инвестициите в отбраната;</w:t>
      </w:r>
    </w:p>
    <w:p w14:paraId="48F2ECB3" w14:textId="77777777" w:rsidR="003862DD" w:rsidRPr="00954CA9" w:rsidRDefault="003862DD" w:rsidP="003862DD">
      <w:pPr>
        <w:pStyle w:val="NormalHanging12a"/>
      </w:pPr>
      <w:r w:rsidRPr="00954CA9">
        <w:t>6.</w:t>
      </w:r>
      <w:r w:rsidRPr="00954CA9">
        <w:tab/>
        <w:t xml:space="preserve">приветства призива за подсилване на ЕИБ в следващата многогодишна финансова рамка, за да ѝ се даде възможност да предоставя финансова подкрепа за общите приоритети на ЕС, по-специално в рамките на </w:t>
      </w:r>
      <w:proofErr w:type="spellStart"/>
      <w:r w:rsidRPr="00954CA9">
        <w:t>InvestEU</w:t>
      </w:r>
      <w:proofErr w:type="spellEnd"/>
      <w:r w:rsidRPr="00954CA9">
        <w:t xml:space="preserve"> на ЕФК и фонда „Глобална Европа“, както и чрез финансови инструменти и бюджетни гаранции, които са се доказали като високоефективни за постигането на напредък по ключови цели на политиката на ЕС; подчертава, че ЕИБ следва да мобилизира достатъчно финансиране, да влее ликвидност и да повиши амбицията за подкрепа на частните и публичните инвестиции чрез </w:t>
      </w:r>
      <w:proofErr w:type="spellStart"/>
      <w:r w:rsidRPr="00954CA9">
        <w:t>InvestEU</w:t>
      </w:r>
      <w:proofErr w:type="spellEnd"/>
      <w:r w:rsidRPr="00954CA9">
        <w:t xml:space="preserve">; призовава, в съответствие с междинния си доклад относно многогодишната финансова рамка за периода 2028 </w:t>
      </w:r>
      <w:r w:rsidRPr="00954CA9">
        <w:lastRenderedPageBreak/>
        <w:t xml:space="preserve">– 2034 г., за подсилване на успешните програми на Съюза, като например </w:t>
      </w:r>
      <w:proofErr w:type="spellStart"/>
      <w:r w:rsidRPr="00954CA9">
        <w:t>InvestEU</w:t>
      </w:r>
      <w:proofErr w:type="spellEnd"/>
      <w:r w:rsidRPr="00954CA9">
        <w:t>, и за засилено инвестиционно партньорство с групата на ЕИБ, за да се гарантира, че всяко евро, изразходвано на равнището на Съюза, се използва по най-ефективния и въздействащ начин;</w:t>
      </w:r>
    </w:p>
    <w:p w14:paraId="2A6F6F63" w14:textId="77777777" w:rsidR="003862DD" w:rsidRPr="00954CA9" w:rsidRDefault="003862DD" w:rsidP="003862DD">
      <w:pPr>
        <w:pStyle w:val="NormalHanging12a"/>
      </w:pPr>
      <w:r w:rsidRPr="00954CA9">
        <w:t>7.</w:t>
      </w:r>
      <w:r w:rsidRPr="00954CA9">
        <w:tab/>
        <w:t>подчертава значението на засиленото взаимно допълване и полезните взаимодействия между финансирането от ЕИБ и други инструменти на ЕС, за да се увеличи максимално въздействието и да се гарантират съгласувани териториални инвестиционни стратегии; призовава ЕИБ и Комисията да разработят ясни рамки за координация, които улесняват съвместното използване на тези инструменти на равнище проект;</w:t>
      </w:r>
    </w:p>
    <w:p w14:paraId="1010F312" w14:textId="77777777" w:rsidR="003862DD" w:rsidRPr="00954CA9" w:rsidRDefault="003862DD" w:rsidP="003862DD">
      <w:pPr>
        <w:pStyle w:val="NormalHanging12a"/>
      </w:pPr>
      <w:r w:rsidRPr="00954CA9">
        <w:t>8.</w:t>
      </w:r>
      <w:r w:rsidRPr="00954CA9">
        <w:tab/>
        <w:t>призовава ЕИБ да играе активна роля в подкрепа на непрекъснатостта и приключването на проектите, започнати в рамките на Механизма за възстановяване и устойчивост (МВУ), гарантирайки постигането на целите дори след крайната дата; подчертава, че финансирането и техническата помощ от ЕИБ могат да осигурят критичен мост, за да се гарантира, че финансираните от МВУ проекти постигат предвиденото икономическо и социално въздействие;</w:t>
      </w:r>
    </w:p>
    <w:p w14:paraId="7549C5AA" w14:textId="77777777" w:rsidR="003862DD" w:rsidRPr="00954CA9" w:rsidRDefault="003862DD" w:rsidP="003862DD">
      <w:pPr>
        <w:pStyle w:val="NormalHanging12a"/>
      </w:pPr>
      <w:r w:rsidRPr="00954CA9">
        <w:t>9.</w:t>
      </w:r>
      <w:r w:rsidRPr="00954CA9">
        <w:tab/>
        <w:t>насърчава ЕИБ да продължи да разработва иновативни финансови инструменти за мобилизиране на значителни частни спестявания в Европа за продуктивни инвестиции, особено чрез сътрудничество с институционални инвеститори с цел подкрепа на рисковия капитал, така че да допринесе за постигането на напредък по отношение на съюза на спестяванията и инвестициите; подчертава, че подкрепяните от ЕИБ инвестиции следва да включват оценки на въздействието върху конкурентоспособността, за да се гарантира, че средствата на Съюза стимулират ефективно иновациите, производителността и разрастването на пазара в ключови промишлени сектори;</w:t>
      </w:r>
    </w:p>
    <w:p w14:paraId="2A30F994" w14:textId="1791DE0C" w:rsidR="003862DD" w:rsidRPr="00954CA9" w:rsidRDefault="003862DD" w:rsidP="003862DD">
      <w:pPr>
        <w:pStyle w:val="NormalHanging12a"/>
      </w:pPr>
      <w:r w:rsidRPr="00954CA9">
        <w:t>10.</w:t>
      </w:r>
      <w:r w:rsidRPr="00954CA9">
        <w:tab/>
        <w:t>припомня, че ЕИБ беше първият емитент на „зелена“ облигация в света и понастоящем е най-големият емитент на „зелени“ облигации в различни валути; приветства факта, че на 2 април 2025 г. ЕИБ осъществи първата си облигационна емисия за повишаване информираността относно климата, съобразена с Регламента на ЕС относно стандарта за зелени облигации</w:t>
      </w:r>
      <w:r w:rsidR="00367204">
        <w:rPr>
          <w:rStyle w:val="FootnoteReference"/>
        </w:rPr>
        <w:footnoteReference w:id="1"/>
      </w:r>
      <w:r w:rsidRPr="00954CA9">
        <w:t>; подчертава ключовата роля на ЕИБ в развитието на пазара на зелени облигации и предоставянето на решения за финансиране на устойчиви компании;</w:t>
      </w:r>
    </w:p>
    <w:p w14:paraId="33E36F1E" w14:textId="77777777" w:rsidR="003862DD" w:rsidRPr="00954CA9" w:rsidRDefault="003862DD" w:rsidP="003862DD">
      <w:pPr>
        <w:pStyle w:val="Normal12a"/>
      </w:pPr>
      <w:r w:rsidRPr="00954CA9">
        <w:rPr>
          <w:b/>
          <w:i/>
        </w:rPr>
        <w:t xml:space="preserve">Стимулиране на иновациите за технологично лидерство </w:t>
      </w:r>
    </w:p>
    <w:p w14:paraId="372AAF43" w14:textId="77777777" w:rsidR="003862DD" w:rsidRPr="00954CA9" w:rsidRDefault="003862DD" w:rsidP="003862DD">
      <w:pPr>
        <w:pStyle w:val="NormalHanging12a"/>
      </w:pPr>
      <w:r w:rsidRPr="00954CA9">
        <w:t>11.</w:t>
      </w:r>
      <w:r w:rsidRPr="00954CA9">
        <w:tab/>
        <w:t xml:space="preserve">изразява загриженост, че ЕС рискува да загуби капитал, таланти и капацитет за иновации в полза на по-бързо развиващите се световни конкуренти и че ЕС продължава да изостава в разработването на главни базови технологии; приветства стартирането на програмата </w:t>
      </w:r>
      <w:proofErr w:type="spellStart"/>
      <w:r w:rsidRPr="00954CA9">
        <w:t>TechEU</w:t>
      </w:r>
      <w:proofErr w:type="spellEnd"/>
      <w:r w:rsidRPr="00954CA9">
        <w:t xml:space="preserve"> въз основа на успешната инициатива „Европейски технологични шампиони“, която мобилизира инвестиции в размер до 250 милиарда евро; призовава в тази програма да се даде приоритет на инвестициите, които са в състояние да се конкурират в световен </w:t>
      </w:r>
      <w:r w:rsidRPr="00954CA9">
        <w:lastRenderedPageBreak/>
        <w:t xml:space="preserve">мащаб и да допринасят за дългосрочен устойчив растеж, както и да се укрепят европейските вериги на доставки и да се намалят стратегическите зависимости; подчертава необходимостта от увеличаване на инвестициите в европейски технологии и сектори, които са от критично значение за дългосрочната устойчивост, включително полупроводниците, веригите за създаване на стойност в сектора на акумулаторните батерии, цифровия суверенитет и производството в областта на чистите технологии; насърчава ЕИБ да увеличи дела на предвиденото за 2027 г. финансиране; призовава за балансирано и комплексно разпределение на ресурсите по програмата </w:t>
      </w:r>
      <w:proofErr w:type="spellStart"/>
      <w:r w:rsidRPr="00954CA9">
        <w:t>TechEU</w:t>
      </w:r>
      <w:proofErr w:type="spellEnd"/>
      <w:r w:rsidRPr="00954CA9">
        <w:t xml:space="preserve"> за МСП, стартиращите и разрастващите се предприятия, за да се гарантира подходяща подкрепа за конкурентоспособността наред с други основни цели; подчертава необходимостта от ускоряване на внедряването на такива програми с цел да се съобрази с темпото на иновациите и стартиращите предприятия; призовава за увеличаване на бюджета на Европейския инвестиционен фонд, предназначен за екосистемата на рисковия капитал в ЕС;</w:t>
      </w:r>
    </w:p>
    <w:p w14:paraId="7B925D40" w14:textId="5C19720D" w:rsidR="003862DD" w:rsidRPr="00954CA9" w:rsidRDefault="003862DD" w:rsidP="003862DD">
      <w:pPr>
        <w:pStyle w:val="NormalHanging12a"/>
      </w:pPr>
      <w:r w:rsidRPr="00954CA9">
        <w:t>12.</w:t>
      </w:r>
      <w:r w:rsidRPr="00954CA9">
        <w:tab/>
        <w:t xml:space="preserve">отбелязва, че почти 60% от финансирането на ЕИБ през 2025 г. е било насочено за прехода към нисковъглеродна икономика; призовава ЕИБ да засили конкурентоспособността и икономическата сигурност, като осигури възможност за предвидим, приобщаващ, справедлив и финансово достъпен преход, без да се създава ненужна тежест за промишлеността и домакинствата; подчертава, че инвестициите в областта на климата и околната среда могат да допринесат за укрепване на промишлената база, производителността и конкурентоспособността на Европа в световен мащаб; подкрепя инвестициите в промишлените вериги за създаване на стойност, включително нисковъглеродните технологии, за да се осигури възможност за икономически устойчиви пътища към </w:t>
      </w:r>
      <w:proofErr w:type="spellStart"/>
      <w:r w:rsidRPr="00954CA9">
        <w:t>декарбонизация</w:t>
      </w:r>
      <w:proofErr w:type="spellEnd"/>
      <w:r w:rsidRPr="00954CA9">
        <w:t>, когато тези инвестиции се ръководят от иновации и имат ясен потенциал за повишаване на пазарната конкурентоспособност и европейската стратегическа автономност;</w:t>
      </w:r>
      <w:r w:rsidR="00A454F4">
        <w:t xml:space="preserve"> </w:t>
      </w:r>
      <w:r w:rsidR="00A454F4" w:rsidRPr="00A454F4">
        <w:t>призовава ЕИБ да прилага технологично неутрални критерии за оценка, като например въглеродния интензитет през целия жизнен цикъл и стабилността на мрежата, когато финансира нисковъглеродни енергийни проекти, включително в областта на ядрената енергетика, като същевременно напълно зачита суверенното право на всяка държава членка да определя собствения си енергиен микс;</w:t>
      </w:r>
    </w:p>
    <w:p w14:paraId="39105E21" w14:textId="77777777" w:rsidR="003862DD" w:rsidRPr="00954CA9" w:rsidRDefault="003862DD" w:rsidP="003862DD">
      <w:pPr>
        <w:pStyle w:val="NormalHanging12a"/>
      </w:pPr>
      <w:r w:rsidRPr="00954CA9">
        <w:t>13.</w:t>
      </w:r>
      <w:r w:rsidRPr="00954CA9">
        <w:tab/>
        <w:t>припомня, че чистите технологии могат да допринесат за укрепването на суверенитета и конкурентоспособността на ЕС; приветства привеждането на ЕИБ в съответствие с рамката на ЕС за устойчиво финансиране, включително интегрирането на критериите от таксономията на ЕС; призовава за продължаване на инвестициите с ясно и измеримо въздействие върху намаляването на емисиите; подчертава необходимостта от инвестиции в адаптирането към изменението на климата и устойчивостта спрямо изменението на климата; насърчава инвестициите в научноизследователска и развойна дейност, както и в иновативни технологии за подготвеност в областта на климата; приветства споразумението между ЕИБ и ЕАОС за задълбочаване на тяхното сътрудничество в областта на биологичното разнообразие и действията в областта на климата; очаква ЕИБ да използва своята техническа помощ и консултантски услуги, по-специално в подкрепа на проекти, осигуряващи финансово приемлив достъп до енергия от възобновяеми източници, с акцент върху намаляването на цените на енергията и гарантирането на сигурността на енергийните доставки, включително за уязвимите домакинства;</w:t>
      </w:r>
    </w:p>
    <w:p w14:paraId="43F7F7D2" w14:textId="77777777" w:rsidR="003862DD" w:rsidRPr="00954CA9" w:rsidRDefault="003862DD" w:rsidP="003862DD">
      <w:pPr>
        <w:pStyle w:val="NormalHanging12a"/>
      </w:pPr>
      <w:r w:rsidRPr="00954CA9">
        <w:lastRenderedPageBreak/>
        <w:t>14.</w:t>
      </w:r>
      <w:r w:rsidRPr="00954CA9">
        <w:tab/>
        <w:t>отбелязва, че през 2025 г. ЕИБ е предоставила финансиране в размер на 16 милиарда евро за малките и стартиращите предприятия; подчертава, че подобряването на достъпа до финансиране, по-специално до рисков капитал, частно дялово финансиране и финансиране за разрастване, е от решаващо значение за подпомагането на растежа и интернационализацията на конкурентоспособните европейски предприятия; призовава за увеличаване на усилията за преодоляване на недостига на финансиране за дружествата с висок растеж и за насърчаване на по-динамичен и интегриран европейски капиталов пазар; счита, че усилията за мобилизиране на допълнителни ресурси за МСП и разрастващите се предприятия следва да бъдат засилени, за да се гарантира, че те могат да се конкурират в световен мащаб; призовава ЕИБ да увеличи финансирането си за МСП в целия Съюз; насърчава ЕИФ да стартира повече инициативи в подкрепа на стартиращите и разрастващите се предприятия;</w:t>
      </w:r>
    </w:p>
    <w:p w14:paraId="1AEB1958" w14:textId="59B5E4D8" w:rsidR="003862DD" w:rsidRPr="00954CA9" w:rsidRDefault="003862DD" w:rsidP="003862DD">
      <w:pPr>
        <w:pStyle w:val="NormalHanging12a"/>
      </w:pPr>
      <w:r w:rsidRPr="00954CA9">
        <w:t>15.</w:t>
      </w:r>
      <w:r w:rsidRPr="00954CA9">
        <w:tab/>
        <w:t xml:space="preserve">призовава ЕИБ още повече да опрости и ускори процедурите за кандидатстване и одобрение, да намали административната тежест и да засили подкрепата за малките </w:t>
      </w:r>
      <w:proofErr w:type="spellStart"/>
      <w:r w:rsidRPr="00954CA9">
        <w:t>бенефициери</w:t>
      </w:r>
      <w:proofErr w:type="spellEnd"/>
      <w:r w:rsidRPr="00954CA9">
        <w:t xml:space="preserve">, включително местните и регионалните органи, общините, МСП и стартиращите предприятия, като гарантира, че предварителните условия и изискванията за докладване са пропорционални на стойността на разпределените средства и/или размера на </w:t>
      </w:r>
      <w:proofErr w:type="spellStart"/>
      <w:r w:rsidRPr="00954CA9">
        <w:t>бенефициера</w:t>
      </w:r>
      <w:proofErr w:type="spellEnd"/>
      <w:r w:rsidRPr="00954CA9">
        <w:t xml:space="preserve">, без да се излагат на риск финансовите стандарти, и да разпределя финансирането въз основа на ефективността, икономическата жизнеспособност и измеримото въздействие; призовава по-специално за подобряване на достъпа до финансиране за МСП и стартиращите предприятия, включително чрез опростени критерии и процедури за допустимост в рамките на </w:t>
      </w:r>
      <w:proofErr w:type="spellStart"/>
      <w:r w:rsidRPr="00954CA9">
        <w:t>InvestEU</w:t>
      </w:r>
      <w:proofErr w:type="spellEnd"/>
      <w:r w:rsidRPr="00954CA9">
        <w:t xml:space="preserve"> и ЕИФ, особено в по-слабо развитите и селските райони, което да бъде допълнено от засилена техническа помощ; освен това призовава финансирането да се разпределя въз основа на ефективността, икономическата жизнеспособност и измеримото въздействие, както и за пропорционални последващи оценки, за да се гарантира ефективното използване на ресурсите и привличането на частни инвестиции;</w:t>
      </w:r>
      <w:r w:rsidR="00A454F4">
        <w:t xml:space="preserve"> </w:t>
      </w:r>
      <w:r w:rsidR="00A454F4" w:rsidRPr="00A454F4">
        <w:t xml:space="preserve">изразява загриженост, че наложените на </w:t>
      </w:r>
      <w:proofErr w:type="spellStart"/>
      <w:r w:rsidR="00A454F4" w:rsidRPr="00A454F4">
        <w:t>бенефициерите</w:t>
      </w:r>
      <w:proofErr w:type="spellEnd"/>
      <w:r w:rsidR="00A454F4" w:rsidRPr="00A454F4">
        <w:t xml:space="preserve"> непропорционални изисквания за докладване относно факторите от екологичен, социален и управленски характер възпират икономически жизнеспособни проекти и поставят европейските предприятия в неблагоприятно конкурентно положение, и призовава ЕИБ да преразгледа тези изисквания с цел гарантиране на пропорционалност;</w:t>
      </w:r>
    </w:p>
    <w:p w14:paraId="48380794" w14:textId="77777777" w:rsidR="003862DD" w:rsidRPr="00954CA9" w:rsidRDefault="003862DD" w:rsidP="003862DD">
      <w:pPr>
        <w:pStyle w:val="Normal12a"/>
      </w:pPr>
      <w:r w:rsidRPr="00954CA9">
        <w:rPr>
          <w:b/>
          <w:i/>
        </w:rPr>
        <w:t>Финансиране на енергийната сигурност и сигурните доставки на суровини от критично значение за конкурентоспособността на промишлеността</w:t>
      </w:r>
    </w:p>
    <w:p w14:paraId="2887A4F7" w14:textId="77777777" w:rsidR="003862DD" w:rsidRPr="00954CA9" w:rsidRDefault="003862DD" w:rsidP="003862DD">
      <w:pPr>
        <w:pStyle w:val="NormalHanging12a"/>
      </w:pPr>
      <w:r w:rsidRPr="00954CA9">
        <w:t>16.</w:t>
      </w:r>
      <w:r w:rsidRPr="00954CA9">
        <w:tab/>
        <w:t>подчертава, че конкурентоспособността на промишлеността се основава на предвидими и финансово достъпни цени на енергията; припомня, че променливостта на цените на енергията продължава да бъде структурен риск за икономиката на ЕС поради геополитическите предизвикателства и ограниченията на доставките; отбелязва акцента, който ЕИБ поставя през 2026 г. върху укрепването на конкурентоспособността и сигурността; призовава ЕИБ да подкрепя проекти за енергийна инфраструктура, включително проектите, финансирани по линия на Механизма за свързване на Европа, за да се намалят цените на енергията за домакинствата и предприятията и да се подобрят енергийните доставки;</w:t>
      </w:r>
    </w:p>
    <w:p w14:paraId="76D0564B" w14:textId="77777777" w:rsidR="003862DD" w:rsidRPr="00954CA9" w:rsidRDefault="003862DD" w:rsidP="003862DD">
      <w:pPr>
        <w:pStyle w:val="NormalHanging12a"/>
      </w:pPr>
      <w:r w:rsidRPr="00954CA9">
        <w:t>17.</w:t>
      </w:r>
      <w:r w:rsidRPr="00954CA9">
        <w:tab/>
        <w:t xml:space="preserve">отбелязва със задоволство, че през 2025 г. ЕИБ е регистрирала финансиране в размер на 33 милиарда евро за енергийната сигурност на Европа, като е </w:t>
      </w:r>
      <w:r w:rsidRPr="00954CA9">
        <w:lastRenderedPageBreak/>
        <w:t xml:space="preserve">подкрепила общи инвестиции в размер на 108 милиарда евро, включително 11 милиарда евро за възобновяеми енергийни източници през 2025 г.; призовава политиките в областта на климата и енергетиката да се прилагат по прагматичен начин, като се осигури финансирането на </w:t>
      </w:r>
      <w:proofErr w:type="spellStart"/>
      <w:r w:rsidRPr="00954CA9">
        <w:t>разходноефективни</w:t>
      </w:r>
      <w:proofErr w:type="spellEnd"/>
      <w:r w:rsidRPr="00954CA9">
        <w:t xml:space="preserve"> решения в съответствие с таксономията на ЕС и ръководени от измерими икономически въздействия, които гарантират финансово достъпна енергия, стратегическа независимост, надеждност на системата и развитие на инфраструктурата; припомня, че справедливият преход е един от стълбовете на Пътната карта на ЕИБ за климата, и приветства усилията на ЕИБ да гарантира, че преходът към нисковъглеродна икономика е социално справедлив и устойчив, без да се пренебрегва никой;</w:t>
      </w:r>
    </w:p>
    <w:p w14:paraId="318B6EC9" w14:textId="01591A9E" w:rsidR="003862DD" w:rsidRPr="00954CA9" w:rsidRDefault="003862DD" w:rsidP="003862DD">
      <w:pPr>
        <w:pStyle w:val="NormalHanging12a"/>
      </w:pPr>
      <w:r w:rsidRPr="00954CA9">
        <w:t>18.</w:t>
      </w:r>
      <w:r w:rsidRPr="00954CA9">
        <w:tab/>
        <w:t>подчертава, че сигурността на доставките на суровини от критично значение е решаващ фактор за екологичния и цифровия преход, за сектора на отбраната и за промишлената база на ЕС като цяло; припомня ролята на ЕИБ в Европейския алианс за суровините и целта на Съюза да стане по-автономен по отношение на доставките на суровини от критично значение; подчертава значението на подход на кръгова икономика към суровините от критично значение, основаващ се на рециклиране и повторна употреба, за да се намали зависимостта на ЕС от трети държави и да се засили стратегическата му автономност; поради това призовава ЕИБ да инвестира повече в сектора на суровините от критично значение, за да се повиши устойчивостта по отношение на суровините със специален акцент върху постигането на целите на Акта за суровините от критично значение</w:t>
      </w:r>
      <w:r w:rsidR="00367204">
        <w:rPr>
          <w:rStyle w:val="FootnoteReference"/>
        </w:rPr>
        <w:footnoteReference w:id="2"/>
      </w:r>
      <w:r w:rsidRPr="00954CA9">
        <w:t>, а именно добива, рециклирането и преработката на вторични суровини;</w:t>
      </w:r>
    </w:p>
    <w:p w14:paraId="4D25F274" w14:textId="77777777" w:rsidR="003862DD" w:rsidRPr="00954CA9" w:rsidRDefault="003862DD" w:rsidP="003862DD">
      <w:pPr>
        <w:pStyle w:val="NormalHanging12a"/>
      </w:pPr>
      <w:r w:rsidRPr="00954CA9">
        <w:t>19.</w:t>
      </w:r>
      <w:r w:rsidRPr="00954CA9">
        <w:tab/>
        <w:t>призовава за по-силна координация на равнището на ЕС по отношение на суровините от критично значение, включително по-тясно сътрудничество между ЕИБ, агенциите за експортно кредитиране и други публични финансови институции; отбелязва, че ЕС изостава от конкуренти като Канада, Съединените щати и Австралия, които прилагат по-координирани подходи за финансиране, обхващащи всички нива на управление; подчертава, че всички подкрепяни проекти, свързани със суровините от критично значение, трябва да отговарят на високи екологични и социални стандарти; призовава ЕИБ да подобри прозрачността при подбора и финансирането на проекти, които обхващат всички етапи на суровините от критично значение, както са определени в Акта за суровините от критично значение;</w:t>
      </w:r>
    </w:p>
    <w:p w14:paraId="43D33963" w14:textId="77777777" w:rsidR="003862DD" w:rsidRPr="00954CA9" w:rsidRDefault="003862DD" w:rsidP="003862DD">
      <w:pPr>
        <w:pStyle w:val="Normal12a"/>
      </w:pPr>
      <w:r w:rsidRPr="00954CA9">
        <w:rPr>
          <w:b/>
          <w:i/>
        </w:rPr>
        <w:t>Отбрана и външна дейност</w:t>
      </w:r>
    </w:p>
    <w:p w14:paraId="194D5E5D" w14:textId="77777777" w:rsidR="003862DD" w:rsidRPr="00954CA9" w:rsidRDefault="003862DD" w:rsidP="003862DD">
      <w:pPr>
        <w:pStyle w:val="NormalHanging12a"/>
      </w:pPr>
      <w:r w:rsidRPr="00954CA9">
        <w:t>20.</w:t>
      </w:r>
      <w:r w:rsidRPr="00954CA9">
        <w:tab/>
        <w:t xml:space="preserve">подкрепя плана за действие на ЕИБ от март 2025 г. за укрепване на способностите на Европа в областта на сигурността и отбраната; приветства допълнителните 4 милиарда евро ново финансиране, което представлява близо 5% от общите инвестиции на ЕИБ в ЕС; припомня промяната в краткосрочните и средносрочните приоритети на ЕС, която оказа значителен натиск върху националните бюджети по отношение на инвестициите в отбраната и сигурността; подчертава, че предвид мандата на ЕИБ за подкрепа на целите на Съюза, ЕИБ </w:t>
      </w:r>
      <w:r w:rsidRPr="00954CA9">
        <w:lastRenderedPageBreak/>
        <w:t>следва още повече да засили ангажимента си в тези стратегически сектори, като същевременно запази своя рейтинг ААА; отбелязва, че финансовата подкрепа на ЕИБ за военната мобилност, стратегическата инфраструктура и авангардните технологии е един от ключовите фактори за стимулирането на пазарната интеграция и укрепването на общите европейски интереси; приветства актуализираните критерии за допустимост, които засилват подкрепата за малките и средните предприятия и стартиращите предприятия чрез адаптирани финансови инструменти, като например рисков дълг, капиталови инвестиции и специални кредитни линии; отбелязва, че разходите за отбрана следва да гарантират стратегическа съгласуваност и балансиран подход и не следва да подкопават разходите за социални и екологични цели или дългогодишните политики на Съюза;</w:t>
      </w:r>
    </w:p>
    <w:p w14:paraId="4829CFA1" w14:textId="77777777" w:rsidR="003862DD" w:rsidRPr="00954CA9" w:rsidRDefault="003862DD" w:rsidP="003862DD">
      <w:pPr>
        <w:pStyle w:val="NormalHanging12a"/>
      </w:pPr>
      <w:r w:rsidRPr="00954CA9">
        <w:t>21.</w:t>
      </w:r>
      <w:r w:rsidRPr="00954CA9">
        <w:tab/>
        <w:t>припомня, че някои стратегически сектори в сектора на отбраната и сигурността продължават да се сблъскват с ограничения на финансирането от ЕИБ; отбелязва, че въпреки решението на ЕИБ от 21 март 2025 г. за разширяване на допустимостта, все още съществуват остатъчни пречки, които възпрепятстват пълното мобилизиране на частен капитал в подкрепа на европейската сигурност; призовава Съвета на гуверньорите на ЕИБ да продължи да адаптира практиките на ЕИБ по отношение на кредитирането на отбранителната промишленост, както е посочено в заключенията на Европейския съвет от 6 март 2025 г.;</w:t>
      </w:r>
    </w:p>
    <w:p w14:paraId="070F3606" w14:textId="77777777" w:rsidR="003862DD" w:rsidRPr="00954CA9" w:rsidRDefault="003862DD" w:rsidP="003862DD">
      <w:pPr>
        <w:pStyle w:val="NormalHanging12a"/>
      </w:pPr>
      <w:r w:rsidRPr="00954CA9">
        <w:t>22.</w:t>
      </w:r>
      <w:r w:rsidRPr="00954CA9">
        <w:tab/>
        <w:t xml:space="preserve">подчертава важната роля на ЕС и ЕИБ за изграждането на взаимноизгодни икономически партньорства с държави извън ЕС, които са от решаващо значение за глобалната позиция на ЕС за насърчаване на основаната на правила многостранна система, устойчивото развитие, демокрацията, правата на човека и принципите на правовата държава и за укрепването на устойчиви вериги на доставки и устойчива инфраструктура; подчертава необходимостта ЕИБ систематично да включва гражданското общество и местните общности на всички етапи от проектирането, изпълнението и оценката на проектите, за да се гарантира, че проектите по линия на </w:t>
      </w:r>
      <w:proofErr w:type="spellStart"/>
      <w:r w:rsidRPr="00954CA9">
        <w:t>Global</w:t>
      </w:r>
      <w:proofErr w:type="spellEnd"/>
      <w:r w:rsidRPr="00954CA9">
        <w:t xml:space="preserve"> </w:t>
      </w:r>
      <w:proofErr w:type="spellStart"/>
      <w:r w:rsidRPr="00954CA9">
        <w:t>Gateway</w:t>
      </w:r>
      <w:proofErr w:type="spellEnd"/>
      <w:r w:rsidRPr="00954CA9">
        <w:t xml:space="preserve"> отговарят на местните нужди и генерират значими резултати в областта на развитието; отбелязва решаващата роля на ЕИБ Глобал за мобилизирането на инвестиции в устойчивото развитие в рамките на инициативата </w:t>
      </w:r>
      <w:proofErr w:type="spellStart"/>
      <w:r w:rsidRPr="00954CA9">
        <w:t>Global</w:t>
      </w:r>
      <w:proofErr w:type="spellEnd"/>
      <w:r w:rsidRPr="00954CA9">
        <w:t xml:space="preserve"> </w:t>
      </w:r>
      <w:proofErr w:type="spellStart"/>
      <w:r w:rsidRPr="00954CA9">
        <w:t>Gateway</w:t>
      </w:r>
      <w:proofErr w:type="spellEnd"/>
      <w:r w:rsidRPr="00954CA9">
        <w:t xml:space="preserve"> и че тя е надхвърлила целта си от 100 милиарда евро през 2025 г., като по този начин е укрепила икономическите интереси и пазарния достъп на Европа в една конкурентна глобална среда;</w:t>
      </w:r>
    </w:p>
    <w:p w14:paraId="6D98322F" w14:textId="77777777" w:rsidR="003862DD" w:rsidRPr="00954CA9" w:rsidRDefault="003862DD" w:rsidP="003862DD">
      <w:pPr>
        <w:pStyle w:val="NormalHanging12a"/>
      </w:pPr>
      <w:r w:rsidRPr="00954CA9">
        <w:t>23.</w:t>
      </w:r>
      <w:r w:rsidRPr="00954CA9">
        <w:tab/>
        <w:t xml:space="preserve">горещо приветства продължаващата подкрепа на ЕИБ за осъществяване и укрепване на операциите на публичния и частния сектор в Украйна и за подкрепа на </w:t>
      </w:r>
      <w:proofErr w:type="spellStart"/>
      <w:r w:rsidRPr="00954CA9">
        <w:t>панафриканската</w:t>
      </w:r>
      <w:proofErr w:type="spellEnd"/>
      <w:r w:rsidRPr="00954CA9">
        <w:t xml:space="preserve"> търговия, инфраструктура и регионална интеграция с цел укрепване на връзките с Европа; подчертава, че сама по себе си подкрепата на ЕИБ и ЕС не е достатъчна за посрещане на потребностите от финансиране на Украйна;</w:t>
      </w:r>
    </w:p>
    <w:p w14:paraId="02CA2326" w14:textId="77777777" w:rsidR="003862DD" w:rsidRPr="00954CA9" w:rsidRDefault="003862DD" w:rsidP="003862DD">
      <w:pPr>
        <w:pStyle w:val="NormalHanging12a"/>
      </w:pPr>
      <w:r w:rsidRPr="00954CA9">
        <w:t>24.</w:t>
      </w:r>
      <w:r w:rsidRPr="00954CA9">
        <w:tab/>
        <w:t>изразява загриженост относно бързо нарастващите нива на задлъжнялост и по-високите разходи по заеми на нововъзникващите пазари и развиващите се икономики в момент, когато глобалните сътресения станаха по-чести и държавният дълг на тези държави се увеличи до най-високата си стойност за последните 55 години; подчертава важната роля на ЕИБ за предоставянето на финансиране; приветства ролята на други многостранни институции за подпомагане на намаляването на неустойчивата задлъжнялост;</w:t>
      </w:r>
    </w:p>
    <w:p w14:paraId="1FB315D7" w14:textId="77777777" w:rsidR="003862DD" w:rsidRDefault="003862DD" w:rsidP="003862DD">
      <w:pPr>
        <w:pStyle w:val="NormalHanging12a"/>
      </w:pPr>
      <w:r w:rsidRPr="00954CA9">
        <w:lastRenderedPageBreak/>
        <w:t>25.</w:t>
      </w:r>
      <w:r w:rsidRPr="00954CA9">
        <w:tab/>
        <w:t>отново призовава ЕИБ Глобал да ограничи операциите за смесено финансиране до области, в които те могат да добавят стойност към местната икономика, като същевременно избягва изместването на частния капитал, и да гарантира, че смесеното финансиране не се използва за основни обществени услуги, в частност здравеопазване, образование и социална закрила; припомня, че целите на политиката на ЕС за развитие, и по-специално целта за подобряване на всеобщия и финансово приемлив достъп до здравеопазване, следва да направляват инвестициите на ЕИБ в тази област, за да се гарантират по-добри здравни резултати за всички;</w:t>
      </w:r>
    </w:p>
    <w:p w14:paraId="40948ABB" w14:textId="5E9B95C8" w:rsidR="00A454F4" w:rsidRDefault="00A454F4" w:rsidP="003862DD">
      <w:pPr>
        <w:pStyle w:val="NormalHanging12a"/>
      </w:pPr>
      <w:r w:rsidRPr="00A454F4">
        <w:t>2</w:t>
      </w:r>
      <w:r w:rsidR="005F7821">
        <w:t>6</w:t>
      </w:r>
      <w:r w:rsidRPr="00A454F4">
        <w:t>.</w:t>
      </w:r>
      <w:r w:rsidRPr="00A454F4">
        <w:tab/>
        <w:t>призовава държавите членки да изменят списъка на ЕИБ за изключване, така че да се допуска финансиране на оръжия и боеприпаси отвъд обикновените технологии с двойна употреба, като по този начин се допринесе за развитието на европейската отбранителна промишленост;</w:t>
      </w:r>
    </w:p>
    <w:p w14:paraId="1430BECC" w14:textId="04264A8F" w:rsidR="00A454F4" w:rsidRPr="00954CA9" w:rsidRDefault="00A454F4" w:rsidP="003862DD">
      <w:pPr>
        <w:pStyle w:val="NormalHanging12a"/>
      </w:pPr>
      <w:r w:rsidRPr="00A454F4">
        <w:t>2</w:t>
      </w:r>
      <w:r w:rsidR="005F7821">
        <w:t>7</w:t>
      </w:r>
      <w:r w:rsidRPr="00A454F4">
        <w:t>.</w:t>
      </w:r>
      <w:r w:rsidRPr="00A454F4">
        <w:tab/>
        <w:t>подчертава, че кредитирането от страна на ЕИБ в държави извън ЕС следва да подсилва външните приоритети на ЕС; призовава ЕИБ да включи ефективното сътрудничество от страна на държавите партньори в областта на управлението на миграцията, включително обратното приемане и връщането на мигранти, които нямат законно право да останат в ЕС, като относим критерий в рамката си за външно кредитиране за държави извън ЕС;</w:t>
      </w:r>
    </w:p>
    <w:p w14:paraId="345992F4" w14:textId="77777777" w:rsidR="003862DD" w:rsidRPr="00954CA9" w:rsidRDefault="003862DD" w:rsidP="003862DD">
      <w:pPr>
        <w:pStyle w:val="Normal12a"/>
      </w:pPr>
      <w:r w:rsidRPr="00954CA9">
        <w:rPr>
          <w:b/>
          <w:i/>
        </w:rPr>
        <w:t>Подкрепа за сближаването, селското стопанство и жилищното настаняване</w:t>
      </w:r>
    </w:p>
    <w:p w14:paraId="6B676DCF" w14:textId="506A51BA" w:rsidR="003862DD" w:rsidRPr="00954CA9" w:rsidRDefault="00C637EC" w:rsidP="003862DD">
      <w:pPr>
        <w:pStyle w:val="NormalHanging12a"/>
      </w:pPr>
      <w:r>
        <w:t>28</w:t>
      </w:r>
      <w:r w:rsidR="003862DD" w:rsidRPr="00954CA9">
        <w:t>.</w:t>
      </w:r>
      <w:r w:rsidR="003862DD" w:rsidRPr="00954CA9">
        <w:tab/>
        <w:t>отбелязва, че през 2025 г. приблизително половината от финансирането от ЕИБ е било предназначено за подкрепа на инвестиции в по-слабо развитите региони на ЕС, а 3 милиарда евро са били разпределени за селското стопанство и биоикономиката; насърчава ЕИБ да задълбочи сътрудничеството с националните насърчителни банки и регионалните финансови институции, за да се увеличи максимално териториалното въздействие на финансирането от Съюза и да се намалят регионалните инвестиционни различия; призовава за използването на смесено финансиране чрез съчетаване на кохезионните фондове на ЕС с инструментите на ЕИБ; подчертава, че осигуряването на достъп до пряко финансиране във всички региони е от съществено значение за насърчаването на икономическата конвергенция и подпомагането на икономическото и териториалното сближаване и че заедно с укрепването на продоволствената сигурност това е от решаващо значение за стратегическата автономност на ЕС; призовава ЕИБ да мобилизира предвидимо и достатъчно финансиране за младите земеделски стопани;</w:t>
      </w:r>
    </w:p>
    <w:p w14:paraId="79EC8FDD" w14:textId="19CE38FF" w:rsidR="003862DD" w:rsidRPr="00954CA9" w:rsidRDefault="00C637EC" w:rsidP="003862DD">
      <w:pPr>
        <w:pStyle w:val="NormalHanging12a"/>
      </w:pPr>
      <w:r>
        <w:t>29</w:t>
      </w:r>
      <w:r w:rsidR="003862DD" w:rsidRPr="00954CA9">
        <w:t>.</w:t>
      </w:r>
      <w:r w:rsidR="003862DD" w:rsidRPr="00954CA9">
        <w:tab/>
        <w:t xml:space="preserve">призовава за запазване на подкрепата на групата на ЕИБ за селското стопанство и политиката на сближаване, включително по-широкото използване на финансови инструменти за мобилизиране на безвъзмездни средства от ЕС и привличане на частни инвестиции; подчертава добавената стойност на адекватното финансиране за съвместната техническа помощ от ЕИБ и Комисията за изпълнителните органи, за да се спомогне за гарантиране на навременното изпълнение и </w:t>
      </w:r>
      <w:proofErr w:type="spellStart"/>
      <w:r w:rsidR="003862DD" w:rsidRPr="00954CA9">
        <w:t>допълняемостта</w:t>
      </w:r>
      <w:proofErr w:type="spellEnd"/>
      <w:r w:rsidR="003862DD" w:rsidRPr="00954CA9">
        <w:t xml:space="preserve"> на инвестициите, по-специално чрез изграждане на административен капацитет и разработване на инвестиционни механизми; призовава за разширено използване на смесено финансиране, насочено към регионите с недостатъчно обслужване и регионите, обхванати от политиката на сближаване, чрез съчетаване на структурните и инвестиционните фондове на ЕС с други инструменти;</w:t>
      </w:r>
    </w:p>
    <w:p w14:paraId="03580042" w14:textId="176D3BBF" w:rsidR="003862DD" w:rsidRPr="00954CA9" w:rsidRDefault="00C637EC" w:rsidP="003862DD">
      <w:pPr>
        <w:pStyle w:val="NormalHanging12a"/>
      </w:pPr>
      <w:r>
        <w:lastRenderedPageBreak/>
        <w:t>30</w:t>
      </w:r>
      <w:r w:rsidR="003862DD" w:rsidRPr="00954CA9">
        <w:t>.</w:t>
      </w:r>
      <w:r w:rsidR="003862DD" w:rsidRPr="00954CA9">
        <w:tab/>
        <w:t>приветства усилията на групата на ЕИБ за финансиране на проекти за социални жилища в целия Съюз; призовава банката да засили дейностите си за подобряване на достъпа до жилища на достъпни цени с оглед на нарастващата жилищна криза в Европа; насърчава ЕИБ да си сътрудничи с други европейски публични инвестиционни банки, местни публични финансови институции, органи на местното самоуправление, кооперативни дружества, дружества за социално жилищно настаняване и общини с цел финансиране на решения за жилищно настаняване и предоставяне на дългосрочни решения на кризата, свързана с разходите за живот;</w:t>
      </w:r>
    </w:p>
    <w:p w14:paraId="620E97E6" w14:textId="5499CF33" w:rsidR="003862DD" w:rsidRPr="00954CA9" w:rsidRDefault="00C637EC" w:rsidP="003862DD">
      <w:pPr>
        <w:pStyle w:val="NormalHanging12a"/>
      </w:pPr>
      <w:r>
        <w:t>31</w:t>
      </w:r>
      <w:r w:rsidR="003862DD" w:rsidRPr="00954CA9">
        <w:t>.</w:t>
      </w:r>
      <w:r w:rsidR="003862DD" w:rsidRPr="00954CA9">
        <w:tab/>
        <w:t>приветства усилията на ЕИБ да подкрепя проекти, които допринасят за прилагането на Европейския стълб на социалните права и целите на ООН за устойчиво развитие; приканва ЕИБ да увеличи коефициента на социалните ползи при оценяването на проектите, за да осигури дългосрочни решения на достъпни цени;</w:t>
      </w:r>
    </w:p>
    <w:p w14:paraId="64E64E09" w14:textId="77777777" w:rsidR="003862DD" w:rsidRPr="00954CA9" w:rsidRDefault="003862DD" w:rsidP="003862DD">
      <w:pPr>
        <w:pStyle w:val="Normal12a"/>
      </w:pPr>
      <w:r w:rsidRPr="00954CA9">
        <w:rPr>
          <w:b/>
          <w:i/>
        </w:rPr>
        <w:t>Прозрачност и отчетност</w:t>
      </w:r>
    </w:p>
    <w:p w14:paraId="724C964B" w14:textId="2BAEB5F0" w:rsidR="003862DD" w:rsidRPr="00954CA9" w:rsidRDefault="00C637EC" w:rsidP="003862DD">
      <w:pPr>
        <w:pStyle w:val="NormalHanging12a"/>
      </w:pPr>
      <w:r>
        <w:t>32</w:t>
      </w:r>
      <w:r w:rsidR="003862DD" w:rsidRPr="00954CA9">
        <w:t>.</w:t>
      </w:r>
      <w:r w:rsidR="003862DD" w:rsidRPr="00954CA9">
        <w:tab/>
        <w:t>припомня, че средствата на ЕИБ са публични средства и следва винаги да подлежат на обществен контрол и отчетност, особено когато са подкрепени с гаранции на ЕС или бюджетни средства на ЕС; отново призовава за структурирана междуинституционална рамка, която да гарантира засилен парламентарен контрол, подобрен достъп до информация и възможността Парламентът да предоставя информация във връзка със стратегическите насоки на ЕИБ; отбелязва напредъка в индекса за прозрачност на преките чуждестранни инвестиции за 2025 г., но призовава за допълнителни подобрения; подчертава необходимостта от фискална отговорност и ефективно използване на средствата, за да се защитят парите на данъкоплатците; отбелязва, че засилените механизми за докладване са от съществено значение за ефективния парламентарен контрол;</w:t>
      </w:r>
    </w:p>
    <w:p w14:paraId="7F2EB214" w14:textId="68868CEE" w:rsidR="003862DD" w:rsidRPr="00954CA9" w:rsidRDefault="00C637EC" w:rsidP="003862DD">
      <w:pPr>
        <w:pStyle w:val="NormalHanging12a"/>
      </w:pPr>
      <w:r>
        <w:t>33</w:t>
      </w:r>
      <w:r w:rsidR="003862DD" w:rsidRPr="00954CA9">
        <w:t>.</w:t>
      </w:r>
      <w:r w:rsidR="003862DD" w:rsidRPr="00954CA9">
        <w:tab/>
        <w:t xml:space="preserve">подчертава, че е важно ЕИБ да гарантира проследимостта на финансираните проекти; подчертава, че ЕИБ следва да публикува своевременно по-подробна информация за проектите си, включително тяхната обосновка и контекст, обяснение за това по какъв начин те са в съответствие с общите приоритети на ЕС и информация относно действителните икономически оператори </w:t>
      </w:r>
      <w:proofErr w:type="spellStart"/>
      <w:r w:rsidR="003862DD" w:rsidRPr="00954CA9">
        <w:t>бенефициери</w:t>
      </w:r>
      <w:proofErr w:type="spellEnd"/>
      <w:r w:rsidR="003862DD" w:rsidRPr="00954CA9">
        <w:t>, подчертавайки ясно кои проекти се подкрепят от бюджета на ЕС; приветства решението на ЕИБ, след проверка на Омбудсмана, да започне проактивно да публикува своите екологични и социални оценки на проекти, намиращи се извън ЕС, които има вероятност да окажат значително въздействие в тези области;</w:t>
      </w:r>
    </w:p>
    <w:p w14:paraId="3D72ACC4" w14:textId="0CD97103" w:rsidR="003862DD" w:rsidRPr="00954CA9" w:rsidRDefault="00C637EC" w:rsidP="003862DD">
      <w:pPr>
        <w:pStyle w:val="NormalHanging12a"/>
      </w:pPr>
      <w:r>
        <w:t>34</w:t>
      </w:r>
      <w:r w:rsidR="003862DD" w:rsidRPr="00954CA9">
        <w:t>.</w:t>
      </w:r>
      <w:r w:rsidR="003862DD" w:rsidRPr="00954CA9">
        <w:tab/>
        <w:t xml:space="preserve">подчертава, че когато е целесъобразно, следва да се използват внимателно разработени временни гаранции, а не безвъзмездни средства, при което се ограничава прякото отражение върху бюджета и се благоприятства привличането на частен капитал; припомня, че гаранциите представляват реален фискален риск и следва да подлежат на същата дисциплина като преките разходи; подчертава факта, че използването на гаранции трябва да бъде придружено от висока степен на прозрачност, демократичен контрол и подходящи механизми за оценка на риска; подчертава, че частните инвеститори следва да запазят основната експозиция на търговски риск, докато намесата на ЕИБ следва да остане ограничена, ясно определена и временна, като се съсредоточи върху рисковете, които не могат да бъдат поети от частните участници на пазара, и върху гарантирането на смекчаване на специфичния за проекта риск; призовава ЕИБ да </w:t>
      </w:r>
      <w:r w:rsidR="003862DD" w:rsidRPr="00954CA9">
        <w:lastRenderedPageBreak/>
        <w:t>ограничи операциите за смесено финансиране до области, в които те могат да добавят стойност към местната икономика, като същевременно избягва изместването на частния капитал;</w:t>
      </w:r>
    </w:p>
    <w:p w14:paraId="735AACA6" w14:textId="0CD13ECF" w:rsidR="003862DD" w:rsidRPr="00954CA9" w:rsidRDefault="00C637EC" w:rsidP="003862DD">
      <w:pPr>
        <w:pStyle w:val="NormalHanging12a"/>
      </w:pPr>
      <w:r>
        <w:t>35</w:t>
      </w:r>
      <w:r w:rsidR="003862DD" w:rsidRPr="00954CA9">
        <w:t>.</w:t>
      </w:r>
      <w:r w:rsidR="003862DD" w:rsidRPr="00954CA9">
        <w:tab/>
        <w:t>подчертава високите общи оперативни разходи на ЕИБ; поради това призовава за определянето на подходящи мерки за смекчаване с оглед на повишаването на разходната ефективност, като същевременно се запази оперативната ефективност на банката;</w:t>
      </w:r>
    </w:p>
    <w:p w14:paraId="789E4726" w14:textId="52633FF3" w:rsidR="003862DD" w:rsidRDefault="00C637EC" w:rsidP="003862DD">
      <w:pPr>
        <w:pStyle w:val="NormalHanging12a"/>
      </w:pPr>
      <w:r>
        <w:t>36</w:t>
      </w:r>
      <w:r w:rsidR="003862DD" w:rsidRPr="00954CA9">
        <w:t>.</w:t>
      </w:r>
      <w:r w:rsidR="003862DD" w:rsidRPr="00954CA9">
        <w:tab/>
        <w:t>отбелязва, че групата на ЕИБ работи при двоен режим, при който подкрепяните от бюджета на ЕС операции се контролират непряко от Комисията и ЕСП, както и от Парламента в неговото решение за освобождаване от отговорност във връзка с изпълнението на бюджета на ЕС, докато операциите, финансирани от собствените ресурси на ЕИБ с произход от държавите членки – повече от три четвърти от операциите на ЕИБ – попадат до голяма степен извън систематичния външен одит и контрол от страна на националните парламенти и Европейския парламент; отбелязва, че ЕИБ разполага с добре развита архитектура за вътрешна отчетност и че външен одитор осъществява надзор върху операциите и счетоводната система на ЕИБ; изразява съгласие, че тази архитектура е до голяма степен в съответствие с международните практики; отбелязва, че докладването пред Европейския парламент е спорадично, че сътрудничеството с Европейския омбудсман се е променило и че ролята на ЕСП е ограничена от настоящите правила и договорености за изпълнение; подчертава необходимостта от осезаеми действия от страна на ЕИБ за справяне с това положение, в съответствие с предишните призиви, включени в резолюциите на Парламента, и готовността за диалог и сътрудничество, изразена от европейския бюджетен орган и орган по освобождаване от отговорност; призовава ЕИБ да включва активно националните върховни одитни институции в този процес, за да се осигури отчетност за операциите, които понастоящем не са обхванати от ЕСП, и за да се гарантира стабилна отчетност и надзор;</w:t>
      </w:r>
    </w:p>
    <w:p w14:paraId="5403BADD" w14:textId="334A40C7" w:rsidR="00A454F4" w:rsidRPr="00954CA9" w:rsidRDefault="00C637EC" w:rsidP="003862DD">
      <w:pPr>
        <w:pStyle w:val="NormalHanging12a"/>
      </w:pPr>
      <w:r>
        <w:t>37</w:t>
      </w:r>
      <w:r w:rsidR="00A454F4" w:rsidRPr="00A454F4">
        <w:t>.</w:t>
      </w:r>
      <w:r w:rsidR="00A454F4" w:rsidRPr="00A454F4">
        <w:tab/>
        <w:t xml:space="preserve">отбелязва ролята на Одитния комитет на ЕИБ в областта на вътрешния надзор; посочва, че не се извършва външен </w:t>
      </w:r>
      <w:proofErr w:type="spellStart"/>
      <w:r w:rsidR="00A454F4" w:rsidRPr="00A454F4">
        <w:t>пруденциален</w:t>
      </w:r>
      <w:proofErr w:type="spellEnd"/>
      <w:r w:rsidR="00A454F4" w:rsidRPr="00A454F4">
        <w:t xml:space="preserve"> надзор в съответствие с международно приетите стандарти за надзор, освен в областта на управлението на ликвидността; насърчава Съвета на гуверньорите на ЕИБ, предвид размера, сложността и особеностите на бизнес модела на банката, да установи подходящи механизми за спазване на най-високите стандарти за външен </w:t>
      </w:r>
      <w:proofErr w:type="spellStart"/>
      <w:r w:rsidR="00A454F4" w:rsidRPr="00A454F4">
        <w:t>пруденциален</w:t>
      </w:r>
      <w:proofErr w:type="spellEnd"/>
      <w:r w:rsidR="00A454F4" w:rsidRPr="00A454F4">
        <w:t xml:space="preserve"> надзор, като същевременно взема предвид необходимите корекции, произтичащи от уникалния бизнес модел на ЕИБ;</w:t>
      </w:r>
    </w:p>
    <w:p w14:paraId="6B1C7DE7" w14:textId="44992252" w:rsidR="003862DD" w:rsidRPr="00954CA9" w:rsidRDefault="00C637EC" w:rsidP="003862DD">
      <w:pPr>
        <w:pStyle w:val="NormalHanging12a"/>
      </w:pPr>
      <w:r>
        <w:t>38</w:t>
      </w:r>
      <w:r w:rsidR="003862DD" w:rsidRPr="00954CA9">
        <w:t>.</w:t>
      </w:r>
      <w:r w:rsidR="003862DD" w:rsidRPr="00954CA9">
        <w:tab/>
        <w:t>изразява загриженост от продължаващото разследване за корупция срещу бивш председател на ЕИБ; очаква Европейската прокуратура и Европейската служба за борба с измамите да разследват задълбочено случая и очаква пълна яснота по въпроса; припомня, че всяко нарушение и злоупотреба с публични средства следва да се наказва строго;</w:t>
      </w:r>
    </w:p>
    <w:p w14:paraId="3F1705EC" w14:textId="41C683D9" w:rsidR="003862DD" w:rsidRPr="00954CA9" w:rsidRDefault="00C637EC" w:rsidP="003862DD">
      <w:pPr>
        <w:pStyle w:val="NormalHanging12a"/>
      </w:pPr>
      <w:r>
        <w:t>39</w:t>
      </w:r>
      <w:r w:rsidR="003862DD" w:rsidRPr="00954CA9">
        <w:t>.</w:t>
      </w:r>
      <w:r w:rsidR="003862DD" w:rsidRPr="00954CA9">
        <w:tab/>
        <w:t xml:space="preserve">призовава за укрепване на политиките на ЕИБ в областта на правата на човека; подчертава, че оценките на въздействието върху околната и социалната среда следва да се извършват от независими експерти и че следва да се въведат независими механизми за проверка, за да се извършва надзор над самонаблюдението и </w:t>
      </w:r>
      <w:proofErr w:type="spellStart"/>
      <w:r w:rsidR="003862DD" w:rsidRPr="00954CA9">
        <w:t>самоотчитането</w:t>
      </w:r>
      <w:proofErr w:type="spellEnd"/>
      <w:r w:rsidR="003862DD" w:rsidRPr="00954CA9">
        <w:t>, извършвани от клиентите на ЕИБ;</w:t>
      </w:r>
    </w:p>
    <w:p w14:paraId="714B0413" w14:textId="77BCF06C" w:rsidR="003862DD" w:rsidRPr="00954CA9" w:rsidRDefault="00C637EC" w:rsidP="003862DD">
      <w:pPr>
        <w:pStyle w:val="NormalHanging12a"/>
      </w:pPr>
      <w:r>
        <w:lastRenderedPageBreak/>
        <w:t>40</w:t>
      </w:r>
      <w:r w:rsidR="003862DD" w:rsidRPr="00954CA9">
        <w:t>.</w:t>
      </w:r>
      <w:r w:rsidR="003862DD" w:rsidRPr="00954CA9">
        <w:tab/>
        <w:t>признава усилията на ЕИБ за подобряване на управленските практики след вътрешното проучване на ЕИБ от 2023 г.; призовава за продължаване на прилагането на принципите на ЕИБ по отношение на многообразието, справедливостта и приобщаването, включително целта да се гарантира, че най-малко 40% от ръководните длъжности се заемат от жени до края на 2026 г.;</w:t>
      </w:r>
    </w:p>
    <w:p w14:paraId="65E848D5" w14:textId="26606236" w:rsidR="003862DD" w:rsidRPr="00954CA9" w:rsidRDefault="00C637EC" w:rsidP="003862DD">
      <w:pPr>
        <w:pStyle w:val="NormalHanging12a"/>
      </w:pPr>
      <w:r>
        <w:t>41</w:t>
      </w:r>
      <w:r w:rsidR="003862DD" w:rsidRPr="00954CA9">
        <w:t>.</w:t>
      </w:r>
      <w:r w:rsidR="003862DD" w:rsidRPr="00954CA9">
        <w:tab/>
        <w:t>отново призовава ЕИБ спешно да преразгледа разделението на труда в рамките на Управителния комитет, и по-специално да гарантира, че заместник-председателите на ЕИБ не ръководят проекти от своите държави на произход, дори при условие че Управителният комитет поема колективна отговорност за решенията си, с оглед на очевидния риск от конфликти на интереси; подчертава, че има множество препоръки по този въпрос от страна на институциите на ЕС;</w:t>
      </w:r>
    </w:p>
    <w:p w14:paraId="1B3EFE01" w14:textId="5AA47893" w:rsidR="003862DD" w:rsidRPr="00954CA9" w:rsidRDefault="00C637EC" w:rsidP="003862DD">
      <w:pPr>
        <w:pStyle w:val="NormalHanging12a"/>
      </w:pPr>
      <w:r>
        <w:t>42</w:t>
      </w:r>
      <w:r w:rsidR="003862DD" w:rsidRPr="00954CA9">
        <w:t>.</w:t>
      </w:r>
      <w:r w:rsidR="003862DD" w:rsidRPr="00954CA9">
        <w:tab/>
        <w:t>приветства факта, че през 2025 г., след многократни призиви от страна на Парламента, ЕИБ заяви, че е на разположение за започване на преговори с оглед на сключването на „споразумение“ за засилено сътрудничество между Парламента и ЕИБ; освен това приветства общото разбиране, че преговорите следва да бъдат приключени своевременно; подчертава, че подобно „споразумение“ ще придаде официален характер на взаимодействията между Парламента и ЕИБ и ще ги засили, отразявайки по този начин взаимния ангажимент за по-тясно сътрудничество; отбелязва, че добавената стойност на такива споразумения се доказва от прилагането на сравними споразумения, сключени между Парламента и други институции и органи на Съюза или междуправителствени организации;</w:t>
      </w:r>
    </w:p>
    <w:p w14:paraId="5AA3320C" w14:textId="77777777" w:rsidR="003862DD" w:rsidRPr="00954CA9" w:rsidRDefault="003862DD" w:rsidP="003862DD">
      <w:pPr>
        <w:pStyle w:val="NormalCenter12a"/>
      </w:pPr>
      <w:r w:rsidRPr="00954CA9">
        <w:t>°</w:t>
      </w:r>
    </w:p>
    <w:p w14:paraId="41C3CD5A" w14:textId="77777777" w:rsidR="003862DD" w:rsidRPr="00954CA9" w:rsidRDefault="003862DD" w:rsidP="003862DD">
      <w:pPr>
        <w:pStyle w:val="NormalCenter12a"/>
      </w:pPr>
      <w:r w:rsidRPr="00954CA9">
        <w:t>°</w:t>
      </w:r>
      <w:r w:rsidRPr="00954CA9">
        <w:tab/>
        <w:t>°</w:t>
      </w:r>
    </w:p>
    <w:p w14:paraId="0FA9CB1E" w14:textId="72B279C3" w:rsidR="00954CA9" w:rsidRPr="00954CA9" w:rsidRDefault="00C637EC" w:rsidP="00954CA9">
      <w:pPr>
        <w:pStyle w:val="NormalHanging12a"/>
      </w:pPr>
      <w:r>
        <w:t>43</w:t>
      </w:r>
      <w:r w:rsidR="003862DD" w:rsidRPr="00954CA9">
        <w:t>.</w:t>
      </w:r>
      <w:r w:rsidR="003862DD" w:rsidRPr="00954CA9">
        <w:tab/>
        <w:t>възлага на своя председател да предаде настоящата резолюция съответно на Съвета и на Комисията.</w:t>
      </w:r>
    </w:p>
    <w:p w14:paraId="12D87F28" w14:textId="10683198" w:rsidR="00E365E1" w:rsidRPr="00954CA9" w:rsidRDefault="00E365E1" w:rsidP="003862DD"/>
    <w:sectPr w:rsidR="00E365E1" w:rsidRPr="00954CA9" w:rsidSect="00954CA9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DDA5D" w14:textId="77777777" w:rsidR="00D877CF" w:rsidRPr="00954CA9" w:rsidRDefault="00D877CF">
      <w:r w:rsidRPr="00954CA9">
        <w:separator/>
      </w:r>
    </w:p>
  </w:endnote>
  <w:endnote w:type="continuationSeparator" w:id="0">
    <w:p w14:paraId="29D25C2A" w14:textId="77777777" w:rsidR="00D877CF" w:rsidRPr="00954CA9" w:rsidRDefault="00D877CF">
      <w:r w:rsidRPr="00954C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D8C77" w14:textId="77777777" w:rsidR="00D877CF" w:rsidRPr="00954CA9" w:rsidRDefault="00D877CF">
      <w:r w:rsidRPr="00954CA9">
        <w:separator/>
      </w:r>
    </w:p>
  </w:footnote>
  <w:footnote w:type="continuationSeparator" w:id="0">
    <w:p w14:paraId="4F58F182" w14:textId="77777777" w:rsidR="00D877CF" w:rsidRPr="00954CA9" w:rsidRDefault="00D877CF">
      <w:r w:rsidRPr="00954CA9">
        <w:continuationSeparator/>
      </w:r>
    </w:p>
  </w:footnote>
  <w:footnote w:id="1">
    <w:p w14:paraId="364F3430" w14:textId="6E392C10" w:rsidR="00367204" w:rsidRPr="00954CA9" w:rsidRDefault="00367204" w:rsidP="00954CA9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954CA9">
        <w:rPr>
          <w:sz w:val="24"/>
          <w:lang w:val="bg-BG"/>
        </w:rPr>
        <w:t xml:space="preserve"> </w:t>
      </w:r>
      <w:r w:rsidRPr="00954CA9">
        <w:rPr>
          <w:sz w:val="24"/>
          <w:lang w:val="bg-BG"/>
        </w:rPr>
        <w:tab/>
        <w:t xml:space="preserve">Регламент (ЕС) 2023/2631 на Европейския парламент и на Съвета от 22 ноември 2023 г. относно европейските зелени облигации и незадължителното разкриване на информация за облигации, предлагани на пазара като екологично устойчиви, и за облигации, свързани с устойчивостта (ОВ L, 2023/2631, 30.11.2023 г., ELI: </w:t>
      </w:r>
      <w:hyperlink r:id="rId1" w:tgtFrame="http://data.europa.eu/eli/reg/2023/2631/oj" w:history="1">
        <w:r w:rsidRPr="00954CA9">
          <w:rPr>
            <w:rStyle w:val="Hyperlink"/>
            <w:sz w:val="24"/>
            <w:lang w:val="bg-BG"/>
          </w:rPr>
          <w:t>http://data.europa.eu/eli/reg/2023/2631/oj</w:t>
        </w:r>
      </w:hyperlink>
      <w:r w:rsidRPr="00954CA9">
        <w:rPr>
          <w:sz w:val="24"/>
          <w:lang w:val="bg-BG"/>
        </w:rPr>
        <w:t>).</w:t>
      </w:r>
    </w:p>
  </w:footnote>
  <w:footnote w:id="2">
    <w:p w14:paraId="1BA418D3" w14:textId="1959DDBC" w:rsidR="00367204" w:rsidRPr="00954CA9" w:rsidRDefault="00367204" w:rsidP="00954CA9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954CA9">
        <w:rPr>
          <w:sz w:val="24"/>
          <w:lang w:val="bg-BG"/>
        </w:rPr>
        <w:t xml:space="preserve"> </w:t>
      </w:r>
      <w:r w:rsidRPr="00954CA9">
        <w:rPr>
          <w:sz w:val="24"/>
          <w:lang w:val="bg-BG"/>
        </w:rPr>
        <w:tab/>
        <w:t xml:space="preserve">Регламент (ЕС) 2024/1252 на Европейския парламент и на Съвета от 11 април 2024 г. за създаване на рамка за гарантиране на сигурни и устойчиви доставки на суровини от критично значение и за изменение на регламенти (ЕС) № 168/2013, (ЕС) 2018/858, (ЕС) 2018/1724 и (ЕС) 2019/1020 (OВ L, 2024/1252, 3.5.2024 г., ELI: </w:t>
      </w:r>
      <w:hyperlink r:id="rId2" w:tgtFrame="http://data.europa.eu/eli/reg/2024/1252/oj" w:history="1">
        <w:r w:rsidRPr="00954CA9">
          <w:rPr>
            <w:rStyle w:val="Hyperlink"/>
            <w:sz w:val="24"/>
            <w:lang w:val="bg-BG"/>
          </w:rPr>
          <w:t>http://data.europa.eu/eli/reg/2024/1252/oj</w:t>
        </w:r>
      </w:hyperlink>
      <w:r w:rsidRPr="00954CA9">
        <w:rPr>
          <w:sz w:val="24"/>
          <w:lang w:val="bg-BG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32832908">
    <w:abstractNumId w:val="9"/>
  </w:num>
  <w:num w:numId="2" w16cid:durableId="1680740546">
    <w:abstractNumId w:val="9"/>
  </w:num>
  <w:num w:numId="3" w16cid:durableId="1903367043">
    <w:abstractNumId w:val="7"/>
  </w:num>
  <w:num w:numId="4" w16cid:durableId="1881435929">
    <w:abstractNumId w:val="7"/>
  </w:num>
  <w:num w:numId="5" w16cid:durableId="1090275092">
    <w:abstractNumId w:val="6"/>
  </w:num>
  <w:num w:numId="6" w16cid:durableId="943345235">
    <w:abstractNumId w:val="6"/>
  </w:num>
  <w:num w:numId="7" w16cid:durableId="1834684661">
    <w:abstractNumId w:val="5"/>
  </w:num>
  <w:num w:numId="8" w16cid:durableId="1946964117">
    <w:abstractNumId w:val="5"/>
  </w:num>
  <w:num w:numId="9" w16cid:durableId="1545481473">
    <w:abstractNumId w:val="4"/>
  </w:num>
  <w:num w:numId="10" w16cid:durableId="764686525">
    <w:abstractNumId w:val="4"/>
  </w:num>
  <w:num w:numId="11" w16cid:durableId="906109336">
    <w:abstractNumId w:val="8"/>
  </w:num>
  <w:num w:numId="12" w16cid:durableId="1224370047">
    <w:abstractNumId w:val="8"/>
  </w:num>
  <w:num w:numId="13" w16cid:durableId="448820846">
    <w:abstractNumId w:val="3"/>
  </w:num>
  <w:num w:numId="14" w16cid:durableId="28842319">
    <w:abstractNumId w:val="3"/>
  </w:num>
  <w:num w:numId="15" w16cid:durableId="521091541">
    <w:abstractNumId w:val="2"/>
  </w:num>
  <w:num w:numId="16" w16cid:durableId="244385957">
    <w:abstractNumId w:val="2"/>
  </w:num>
  <w:num w:numId="17" w16cid:durableId="1676879004">
    <w:abstractNumId w:val="1"/>
  </w:num>
  <w:num w:numId="18" w16cid:durableId="1004431227">
    <w:abstractNumId w:val="1"/>
  </w:num>
  <w:num w:numId="19" w16cid:durableId="1825857649">
    <w:abstractNumId w:val="0"/>
  </w:num>
  <w:num w:numId="20" w16cid:durableId="1423842118">
    <w:abstractNumId w:val="0"/>
  </w:num>
  <w:num w:numId="21" w16cid:durableId="892157797">
    <w:abstractNumId w:val="9"/>
  </w:num>
  <w:num w:numId="22" w16cid:durableId="164824818">
    <w:abstractNumId w:val="7"/>
  </w:num>
  <w:num w:numId="23" w16cid:durableId="883294634">
    <w:abstractNumId w:val="6"/>
  </w:num>
  <w:num w:numId="24" w16cid:durableId="1837649804">
    <w:abstractNumId w:val="5"/>
  </w:num>
  <w:num w:numId="25" w16cid:durableId="435715939">
    <w:abstractNumId w:val="4"/>
  </w:num>
  <w:num w:numId="26" w16cid:durableId="1138690330">
    <w:abstractNumId w:val="8"/>
  </w:num>
  <w:num w:numId="27" w16cid:durableId="1988583356">
    <w:abstractNumId w:val="3"/>
  </w:num>
  <w:num w:numId="28" w16cid:durableId="1116025904">
    <w:abstractNumId w:val="2"/>
  </w:num>
  <w:num w:numId="29" w16cid:durableId="1904559459">
    <w:abstractNumId w:val="1"/>
  </w:num>
  <w:num w:numId="30" w16cid:durableId="739252190">
    <w:abstractNumId w:val="0"/>
  </w:num>
  <w:num w:numId="31" w16cid:durableId="1828470689">
    <w:abstractNumId w:val="9"/>
  </w:num>
  <w:num w:numId="32" w16cid:durableId="1902053021">
    <w:abstractNumId w:val="7"/>
  </w:num>
  <w:num w:numId="33" w16cid:durableId="128790740">
    <w:abstractNumId w:val="6"/>
  </w:num>
  <w:num w:numId="34" w16cid:durableId="1539312966">
    <w:abstractNumId w:val="5"/>
  </w:num>
  <w:num w:numId="35" w16cid:durableId="936794347">
    <w:abstractNumId w:val="4"/>
  </w:num>
  <w:num w:numId="36" w16cid:durableId="1070883153">
    <w:abstractNumId w:val="8"/>
  </w:num>
  <w:num w:numId="37" w16cid:durableId="141897194">
    <w:abstractNumId w:val="3"/>
  </w:num>
  <w:num w:numId="38" w16cid:durableId="1882596290">
    <w:abstractNumId w:val="2"/>
  </w:num>
  <w:num w:numId="39" w16cid:durableId="1070539232">
    <w:abstractNumId w:val="1"/>
  </w:num>
  <w:num w:numId="40" w16cid:durableId="1180974398">
    <w:abstractNumId w:val="0"/>
  </w:num>
  <w:num w:numId="41" w16cid:durableId="1063986116">
    <w:abstractNumId w:val="10"/>
  </w:num>
  <w:num w:numId="42" w16cid:durableId="1313561235">
    <w:abstractNumId w:val="10"/>
  </w:num>
  <w:num w:numId="43" w16cid:durableId="1101872963">
    <w:abstractNumId w:val="10"/>
  </w:num>
  <w:num w:numId="44" w16cid:durableId="13027342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0/2026"/>
    <w:docVar w:name="dvlangue" w:val="BG"/>
    <w:docVar w:name="dvnumam" w:val="0"/>
    <w:docVar w:name="dvpe" w:val="784.507"/>
    <w:docVar w:name="dvrapporteur" w:val="Докладчик: "/>
    <w:docVar w:name="dvtitre" w:val="Резолюция на Европейския парламент от ... 2026 г. относно финансовите дейности на групата на Европейската инвестиционна банка – годишен доклад за 2025 г.(2025/2213(INI))"/>
  </w:docVars>
  <w:rsids>
    <w:rsidRoot w:val="00D877C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4C8C"/>
    <w:rsid w:val="002B18FE"/>
    <w:rsid w:val="002B5493"/>
    <w:rsid w:val="00343214"/>
    <w:rsid w:val="00361C00"/>
    <w:rsid w:val="00367204"/>
    <w:rsid w:val="003862DD"/>
    <w:rsid w:val="00395FA1"/>
    <w:rsid w:val="003E15D4"/>
    <w:rsid w:val="00411CCE"/>
    <w:rsid w:val="0041666E"/>
    <w:rsid w:val="00421060"/>
    <w:rsid w:val="00471C19"/>
    <w:rsid w:val="00481954"/>
    <w:rsid w:val="004867E3"/>
    <w:rsid w:val="00494A28"/>
    <w:rsid w:val="004C0004"/>
    <w:rsid w:val="004C5D52"/>
    <w:rsid w:val="004C6158"/>
    <w:rsid w:val="0050519A"/>
    <w:rsid w:val="005072A1"/>
    <w:rsid w:val="00514517"/>
    <w:rsid w:val="00545827"/>
    <w:rsid w:val="00547B5E"/>
    <w:rsid w:val="00560270"/>
    <w:rsid w:val="005C2568"/>
    <w:rsid w:val="005F1B17"/>
    <w:rsid w:val="005F782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CA9"/>
    <w:rsid w:val="00981893"/>
    <w:rsid w:val="00A1687D"/>
    <w:rsid w:val="00A43E52"/>
    <w:rsid w:val="00A454F4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7EC"/>
    <w:rsid w:val="00C941CB"/>
    <w:rsid w:val="00CC2357"/>
    <w:rsid w:val="00CF071A"/>
    <w:rsid w:val="00D058B8"/>
    <w:rsid w:val="00D56C11"/>
    <w:rsid w:val="00D834A0"/>
    <w:rsid w:val="00D872DF"/>
    <w:rsid w:val="00D877C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57001"/>
  <w15:chartTrackingRefBased/>
  <w15:docId w15:val="{53480ECD-FA9F-4D75-9618-C6D8BB34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3862DD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3862D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3862DD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3862DD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3862DD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3862DD"/>
    <w:rPr>
      <w:color w:val="0000FF"/>
      <w:u w:val="single"/>
    </w:rPr>
  </w:style>
  <w:style w:type="paragraph" w:styleId="Revision">
    <w:name w:val="Revision"/>
    <w:hidden/>
    <w:uiPriority w:val="99"/>
    <w:semiHidden/>
    <w:rsid w:val="00367204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252/oj" TargetMode="External"/><Relationship Id="rId1" Type="http://schemas.openxmlformats.org/officeDocument/2006/relationships/hyperlink" Target="http://data.europa.eu/eli/reg/2023/26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5355</Words>
  <Characters>32388</Characters>
  <Application>Microsoft Office Word</Application>
  <DocSecurity>0</DocSecurity>
  <Lines>269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Kiril GIRGINOV</cp:lastModifiedBy>
  <cp:revision>2</cp:revision>
  <cp:lastPrinted>2004-11-19T15:42:00Z</cp:lastPrinted>
  <dcterms:created xsi:type="dcterms:W3CDTF">2026-07-07T13:18:00Z</dcterms:created>
  <dcterms:modified xsi:type="dcterms:W3CDTF">2026-07-07T13:18:00Z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A10-0170/2026</vt:lpwstr>
  </property>
  <property fmtid="{D5CDD505-2E9C-101B-9397-08002B2CF9AE}" pid="4" name="&lt;Type&gt;">
    <vt:lpwstr>RR</vt:lpwstr>
  </property>
</Properties>
</file>